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October 21, 2022</w:t>
      </w:r>
    </w:p>
    <w:p>
      <w:pPr>
        <w:spacing w:after="0" w:line="27" w:lineRule="exact"/>
        <w:rPr>
          <w:sz w:val="24"/>
          <w:szCs w:val="24"/>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48895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91440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PRESTO AUTOMATION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176"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68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8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84-2968594</w:t>
            </w:r>
          </w:p>
        </w:tc>
        <w:tc>
          <w:tcPr>
            <w:tcW w:w="0" w:type="dxa"/>
            <w:vAlign w:val="bottom"/>
          </w:tcPr>
          <w:p>
            <w:pPr>
              <w:spacing w:after="0"/>
              <w:rPr>
                <w:sz w:val="1"/>
                <w:szCs w:val="1"/>
                <w:color w:val="auto"/>
              </w:rPr>
            </w:pPr>
          </w:p>
        </w:tc>
      </w:tr>
      <w:tr>
        <w:trPr>
          <w:trHeight w:val="68"/>
        </w:trPr>
        <w:tc>
          <w:tcPr>
            <w:tcW w:w="260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6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r>
        <w:trPr>
          <w:trHeight w:val="410"/>
        </w:trPr>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 Carlos, CA 94070</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Telephone: (650) 817-9012</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left="460" w:right="479"/>
        <w:spacing w:after="0" w:line="250" w:lineRule="auto"/>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1"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Rajat Suri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(650) 817-9012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r>
        <w:rPr>
          <w:rFonts w:ascii="Times New Roman" w:cs="Times New Roman" w:eastAsia="Times New Roman" w:hAnsi="Times New Roman"/>
          <w:sz w:val="18"/>
          <w:szCs w:val="18"/>
          <w:b w:val="1"/>
          <w:bCs w:val="1"/>
          <w:color w:val="auto"/>
        </w:rPr>
        <w:t>:</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Colin Diamond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Laura Katherine Mann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White &amp; Case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819-8200</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92" w:lineRule="exact"/>
        <w:rPr>
          <w:sz w:val="24"/>
          <w:szCs w:val="24"/>
          <w:color w:val="auto"/>
        </w:rPr>
      </w:pPr>
    </w:p>
    <w:p>
      <w:pPr>
        <w:jc w:val="both"/>
        <w:ind w:left="460" w:right="479" w:firstLine="432"/>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of the securities to the public: </w:t>
      </w:r>
      <w:r>
        <w:rPr>
          <w:rFonts w:ascii="Times New Roman" w:cs="Times New Roman" w:eastAsia="Times New Roman" w:hAnsi="Times New Roman"/>
          <w:sz w:val="14"/>
          <w:szCs w:val="14"/>
          <w:color w:val="auto"/>
        </w:rPr>
        <w:t>From time to time after this Registration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Statement becomes effective.</w:t>
      </w:r>
    </w:p>
    <w:p>
      <w:pPr>
        <w:jc w:val="both"/>
        <w:ind w:left="460" w:right="479"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(the “Securities Act”)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jc w:val="both"/>
        <w:ind w:left="460" w:right="459" w:firstLine="432"/>
        <w:spacing w:after="0" w:line="239" w:lineRule="auto"/>
        <w:rPr>
          <w:sz w:val="20"/>
          <w:szCs w:val="20"/>
          <w:color w:val="auto"/>
        </w:rPr>
      </w:pPr>
      <w:r>
        <w:rPr>
          <w:rFonts w:ascii="Times New Roman" w:cs="Times New Roman" w:eastAsia="Times New Roman" w:hAnsi="Times New Roman"/>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460"/>
        <w:spacing w:after="0" w:line="141" w:lineRule="exact"/>
        <w:rPr>
          <w:sz w:val="20"/>
          <w:szCs w:val="20"/>
          <w:color w:val="auto"/>
        </w:rPr>
      </w:pPr>
      <w:r>
        <w:rPr>
          <w:rFonts w:ascii="MS PGothic" w:cs="MS PGothic" w:eastAsia="MS PGothic" w:hAnsi="MS PGothic"/>
          <w:sz w:val="14"/>
          <w:szCs w:val="14"/>
          <w:color w:val="auto"/>
        </w:rPr>
        <w:t>☐</w:t>
      </w:r>
    </w:p>
    <w:p>
      <w:pPr>
        <w:spacing w:after="0" w:line="65" w:lineRule="exact"/>
        <w:rPr>
          <w:sz w:val="24"/>
          <w:szCs w:val="24"/>
          <w:color w:val="auto"/>
        </w:rPr>
      </w:pPr>
    </w:p>
    <w:p>
      <w:pPr>
        <w:jc w:val="both"/>
        <w:ind w:left="460" w:right="459"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w:t>
      </w:r>
    </w:p>
    <w:p>
      <w:pPr>
        <w:spacing w:after="0" w:line="1" w:lineRule="exact"/>
        <w:rPr>
          <w:sz w:val="24"/>
          <w:szCs w:val="24"/>
          <w:color w:val="auto"/>
        </w:rPr>
      </w:pPr>
    </w:p>
    <w:p>
      <w:pPr>
        <w:jc w:val="both"/>
        <w:ind w:left="460" w:right="479" w:firstLine="432"/>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w:t>
      </w:r>
    </w:p>
    <w:p>
      <w:pPr>
        <w:spacing w:after="0" w:line="1" w:lineRule="exact"/>
        <w:rPr>
          <w:sz w:val="24"/>
          <w:szCs w:val="24"/>
          <w:color w:val="auto"/>
        </w:rPr>
      </w:pPr>
    </w:p>
    <w:p>
      <w:pPr>
        <w:ind w:left="460"/>
        <w:spacing w:after="0" w:line="161" w:lineRule="exact"/>
        <w:rPr>
          <w:sz w:val="20"/>
          <w:szCs w:val="20"/>
          <w:color w:val="auto"/>
        </w:rPr>
      </w:pPr>
      <w:r>
        <w:rPr>
          <w:rFonts w:ascii="Times New Roman" w:cs="Times New Roman" w:eastAsia="Times New Roman" w:hAnsi="Times New Roman"/>
          <w:sz w:val="14"/>
          <w:szCs w:val="14"/>
          <w:color w:val="auto"/>
        </w:rPr>
        <w:t xml:space="preserve">company,” and “emerging growth company” in Rule 12b-2 of the Exchange Act. </w:t>
      </w:r>
      <w:r>
        <w:rPr>
          <w:rFonts w:ascii="MS PGothic" w:cs="MS PGothic" w:eastAsia="MS PGothic" w:hAnsi="MS PGothic"/>
          <w:sz w:val="14"/>
          <w:szCs w:val="14"/>
          <w:color w:val="auto"/>
        </w:rPr>
        <w:t>☐</w:t>
      </w:r>
    </w:p>
    <w:p>
      <w:pPr>
        <w:spacing w:after="0" w:line="170" w:lineRule="exact"/>
        <w:rPr>
          <w:sz w:val="24"/>
          <w:szCs w:val="24"/>
          <w:color w:val="auto"/>
        </w:rPr>
      </w:pPr>
    </w:p>
    <w:tbl>
      <w:tblPr>
        <w:tblLayout w:type="fixed"/>
        <w:tblInd w:w="820" w:type="dxa"/>
        <w:tblCellMar>
          <w:top w:w="0" w:type="dxa"/>
          <w:left w:w="0" w:type="dxa"/>
          <w:bottom w:w="0" w:type="dxa"/>
          <w:right w:w="0" w:type="dxa"/>
        </w:tblCellMar>
      </w:tblPr>
      <w:tr>
        <w:trPr>
          <w:trHeight w:val="226"/>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28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27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28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27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74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43" w:lineRule="exact"/>
        <w:rPr>
          <w:sz w:val="24"/>
          <w:szCs w:val="24"/>
          <w:color w:val="auto"/>
        </w:rPr>
      </w:pPr>
    </w:p>
    <w:p>
      <w:pPr>
        <w:jc w:val="both"/>
        <w:ind w:left="460" w:right="479"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2" w:lineRule="exact"/>
        <w:rPr>
          <w:sz w:val="24"/>
          <w:szCs w:val="24"/>
          <w:color w:val="auto"/>
        </w:rPr>
      </w:pPr>
    </w:p>
    <w:p>
      <w:pPr>
        <w:jc w:val="both"/>
        <w:ind w:left="460" w:right="459" w:firstLine="432"/>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170815</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213995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496570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D2232A"/>
        </w:rPr>
        <w:t>SUBJECT TO COMPLETION, DATED OCTOBER 21, 2022</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PRESTO AUTOMATION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Primary Offering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16,250,000 Shares of Common Stock</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Secondary Offering 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46,949,333 Shares of Common Stock</w:t>
      </w:r>
    </w:p>
    <w:p>
      <w:pPr>
        <w:jc w:val="center"/>
        <w:spacing w:after="0"/>
        <w:rPr>
          <w:sz w:val="20"/>
          <w:szCs w:val="20"/>
          <w:color w:val="auto"/>
        </w:rPr>
      </w:pPr>
      <w:r>
        <w:rPr>
          <w:rFonts w:ascii="Times New Roman" w:cs="Times New Roman" w:eastAsia="Times New Roman" w:hAnsi="Times New Roman"/>
          <w:sz w:val="22"/>
          <w:szCs w:val="22"/>
          <w:b w:val="1"/>
          <w:bCs w:val="1"/>
          <w:color w:val="auto"/>
        </w:rPr>
        <w:t>7,625,000 Warrants to Purchase Shares of Common Stock</w:t>
      </w:r>
    </w:p>
    <w:p>
      <w:pPr>
        <w:spacing w:after="0" w:line="128"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6"/>
          <w:szCs w:val="16"/>
          <w:color w:val="auto"/>
        </w:rPr>
        <w:t>This prospectus relates to (i) the issuance by us of up to 16,250,000 shares of common stock, par value $0.0001 per share (the “Common Stock”), of Presto Automation Inc., a Delaware corporation (the “Company” “we,” “us,” or “Presto”), that may be issued upon exercise of warrants to purchase common stock at an exercise price of $8.21 per share with respect to the public warrants and $11.50 per share of common stock with respect to the financing warrants and the private placement warrants (each as defined below), and (ii) the offer and sale, from time to time, of (a) an aggregate of 46,949,333 shares of common stock by certain of the selling securityholders named in this prospectus (each a “Selling Securityholder” and, collectively, the “Selling Securityholders”), which includes (x) 4,312,500 founder shares, (y) 7,143,687 shares of common stock issued to certain institutional and accredited investors in connection with the consummation of the Business Combination (as defined herein) (the “PIPE Shares”) and (z) 7,433,040 shares of common stock that may be issued from time to time to upon achievement of certain stock price thresholds and (b) 6,125,000 private placement warrants and 1,500,000 financing warrants.</w:t>
      </w:r>
    </w:p>
    <w:p>
      <w:pPr>
        <w:spacing w:after="0" w:line="124" w:lineRule="exact"/>
        <w:rPr>
          <w:sz w:val="20"/>
          <w:szCs w:val="20"/>
          <w:color w:val="auto"/>
        </w:rPr>
      </w:pPr>
    </w:p>
    <w:p>
      <w:pPr>
        <w:jc w:val="both"/>
        <w:ind w:left="460" w:right="459" w:firstLine="432"/>
        <w:spacing w:after="0" w:line="272" w:lineRule="auto"/>
        <w:rPr>
          <w:sz w:val="20"/>
          <w:szCs w:val="20"/>
          <w:color w:val="auto"/>
        </w:rPr>
      </w:pPr>
      <w:r>
        <w:rPr>
          <w:rFonts w:ascii="Times New Roman" w:cs="Times New Roman" w:eastAsia="Times New Roman" w:hAnsi="Times New Roman"/>
          <w:sz w:val="16"/>
          <w:szCs w:val="16"/>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05" w:lineRule="exact"/>
        <w:rPr>
          <w:sz w:val="20"/>
          <w:szCs w:val="20"/>
          <w:color w:val="auto"/>
        </w:rPr>
      </w:pPr>
    </w:p>
    <w:p>
      <w:pPr>
        <w:jc w:val="both"/>
        <w:ind w:left="460" w:right="479" w:firstLine="432"/>
        <w:spacing w:after="0" w:line="272" w:lineRule="auto"/>
        <w:rPr>
          <w:sz w:val="20"/>
          <w:szCs w:val="20"/>
          <w:color w:val="auto"/>
        </w:rPr>
      </w:pPr>
      <w:r>
        <w:rPr>
          <w:rFonts w:ascii="Times New Roman" w:cs="Times New Roman" w:eastAsia="Times New Roman" w:hAnsi="Times New Roman"/>
          <w:sz w:val="16"/>
          <w:szCs w:val="16"/>
          <w:color w:val="auto"/>
        </w:rPr>
        <w:t>We will not receive any proceeds from the sale of shares of common stock or warrants by the Selling Securityholders pursuant to this prospectus or of the shares of common stock by us pursuant to this prospectus, except with respect to amounts received by us upon exercise of the warrants to the extent such warrants are exercised for cash. However, we will pay the expenses, other than underwriting discounts and commissions, associated with the sale of securities pursuant to this prospectus.</w:t>
      </w:r>
    </w:p>
    <w:p>
      <w:pPr>
        <w:spacing w:after="0" w:line="118" w:lineRule="exact"/>
        <w:rPr>
          <w:sz w:val="20"/>
          <w:szCs w:val="20"/>
          <w:color w:val="auto"/>
        </w:rPr>
      </w:pPr>
    </w:p>
    <w:p>
      <w:pPr>
        <w:jc w:val="both"/>
        <w:ind w:left="460" w:right="479" w:firstLine="432"/>
        <w:spacing w:after="0" w:line="272" w:lineRule="auto"/>
        <w:rPr>
          <w:sz w:val="20"/>
          <w:szCs w:val="20"/>
          <w:color w:val="auto"/>
        </w:rPr>
      </w:pPr>
      <w:r>
        <w:rPr>
          <w:rFonts w:ascii="Times New Roman" w:cs="Times New Roman" w:eastAsia="Times New Roman" w:hAnsi="Times New Roman"/>
          <w:sz w:val="16"/>
          <w:szCs w:val="16"/>
          <w:color w:val="auto"/>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in the section entitled “Plan of Distribution.” You should read this prospectus and any prospectus supplement or amendment carefully before you invest in our securities.</w:t>
      </w:r>
    </w:p>
    <w:p>
      <w:pPr>
        <w:spacing w:after="0" w:line="118" w:lineRule="exact"/>
        <w:rPr>
          <w:sz w:val="20"/>
          <w:szCs w:val="20"/>
          <w:color w:val="auto"/>
        </w:rPr>
      </w:pPr>
    </w:p>
    <w:p>
      <w:pPr>
        <w:jc w:val="both"/>
        <w:ind w:left="460" w:right="479" w:firstLine="432"/>
        <w:spacing w:after="0" w:line="281" w:lineRule="auto"/>
        <w:rPr>
          <w:sz w:val="20"/>
          <w:szCs w:val="20"/>
          <w:color w:val="auto"/>
        </w:rPr>
      </w:pPr>
      <w:r>
        <w:rPr>
          <w:rFonts w:ascii="Times New Roman" w:cs="Times New Roman" w:eastAsia="Times New Roman" w:hAnsi="Times New Roman"/>
          <w:sz w:val="16"/>
          <w:szCs w:val="16"/>
          <w:color w:val="auto"/>
        </w:rPr>
        <w:t>Our shares of common stock are listed on the Nasdaq Stock Market under the symbol “PRST.” On October 19, 2022, the closing sale price of shares of our common stock was $2.01. Our warrants are listed on the Nasdaq Stock Market under the symbol “PRSTW.” On October 19, 2022, the closing sale price of our warrants was $0.11.</w:t>
      </w:r>
    </w:p>
    <w:p>
      <w:pPr>
        <w:spacing w:after="0" w:line="96" w:lineRule="exact"/>
        <w:rPr>
          <w:sz w:val="20"/>
          <w:szCs w:val="20"/>
          <w:color w:val="auto"/>
        </w:rPr>
      </w:pPr>
    </w:p>
    <w:p>
      <w:pPr>
        <w:jc w:val="both"/>
        <w:ind w:left="460" w:right="479" w:firstLine="432"/>
        <w:spacing w:after="0" w:line="272" w:lineRule="auto"/>
        <w:rPr>
          <w:sz w:val="20"/>
          <w:szCs w:val="20"/>
          <w:color w:val="auto"/>
        </w:rPr>
      </w:pPr>
      <w:r>
        <w:rPr>
          <w:rFonts w:ascii="Times New Roman" w:cs="Times New Roman" w:eastAsia="Times New Roman" w:hAnsi="Times New Roman"/>
          <w:sz w:val="16"/>
          <w:szCs w:val="16"/>
          <w:color w:val="auto"/>
        </w:rPr>
        <w:t>As of the date of this prospectus, our warrants are “out-of-the money,” which means that the trading price of the shares of our common stock underlying our warrants is below the $8.21 or $11.50 exercise price, as applicable (subject to adjustment as described herein), of the warrants. For so long as the warrants remain “out-of-the money,” we do not expect warrant holders to exercise their warrants and, therefore, we do not expect to receive cash proceeds from any such exercise. See the section entitled “</w:t>
      </w:r>
      <w:r>
        <w:rPr>
          <w:rFonts w:ascii="Times New Roman" w:cs="Times New Roman" w:eastAsia="Times New Roman" w:hAnsi="Times New Roman"/>
          <w:sz w:val="16"/>
          <w:szCs w:val="16"/>
          <w:i w:val="1"/>
          <w:iCs w:val="1"/>
          <w:color w:val="auto"/>
        </w:rPr>
        <w:t>Description of Securities—Warrants</w:t>
      </w:r>
      <w:r>
        <w:rPr>
          <w:rFonts w:ascii="Times New Roman" w:cs="Times New Roman" w:eastAsia="Times New Roman" w:hAnsi="Times New Roman"/>
          <w:sz w:val="16"/>
          <w:szCs w:val="16"/>
          <w:color w:val="auto"/>
        </w:rPr>
        <w:t>” for more information.</w:t>
      </w:r>
    </w:p>
    <w:p>
      <w:pPr>
        <w:spacing w:after="0" w:line="118" w:lineRule="exact"/>
        <w:rPr>
          <w:sz w:val="20"/>
          <w:szCs w:val="20"/>
          <w:color w:val="auto"/>
        </w:rPr>
      </w:pPr>
    </w:p>
    <w:p>
      <w:pPr>
        <w:jc w:val="both"/>
        <w:ind w:left="460" w:right="459" w:firstLine="432"/>
        <w:spacing w:after="0" w:line="271" w:lineRule="auto"/>
        <w:rPr>
          <w:sz w:val="20"/>
          <w:szCs w:val="20"/>
          <w:color w:val="auto"/>
        </w:rPr>
      </w:pPr>
      <w:r>
        <w:rPr>
          <w:rFonts w:ascii="Times New Roman" w:cs="Times New Roman" w:eastAsia="Times New Roman" w:hAnsi="Times New Roman"/>
          <w:sz w:val="16"/>
          <w:szCs w:val="16"/>
          <w:color w:val="auto"/>
        </w:rPr>
        <w:t>Approximately 63% of the total shares of Common Stock outstanding as of October 19, 2022 are being registered for resale under this prospectus (assuming no exercise of any of our warrants). Following the expiration of the applicable lock-up restrictions described herein, 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Times New Roman" w:cs="Times New Roman" w:eastAsia="Times New Roman" w:hAnsi="Times New Roman"/>
          <w:sz w:val="16"/>
          <w:szCs w:val="16"/>
          <w:i w:val="1"/>
          <w:iCs w:val="1"/>
          <w:color w:val="auto"/>
        </w:rPr>
        <w:t>Risk Factors—Risks Relating to Our Common Stock and Warrants</w:t>
      </w:r>
      <w:r>
        <w:rPr>
          <w:rFonts w:ascii="Times New Roman" w:cs="Times New Roman" w:eastAsia="Times New Roman" w:hAnsi="Times New Roman"/>
          <w:sz w:val="16"/>
          <w:szCs w:val="16"/>
          <w:color w:val="auto"/>
        </w:rPr>
        <w:t>” for more information.</w:t>
      </w:r>
    </w:p>
    <w:p>
      <w:pPr>
        <w:spacing w:after="0" w:line="117" w:lineRule="exact"/>
        <w:rPr>
          <w:sz w:val="20"/>
          <w:szCs w:val="20"/>
          <w:color w:val="auto"/>
        </w:rPr>
      </w:pPr>
    </w:p>
    <w:p>
      <w:pPr>
        <w:jc w:val="both"/>
        <w:ind w:left="460" w:right="479" w:firstLine="432"/>
        <w:spacing w:after="0" w:line="298" w:lineRule="auto"/>
        <w:rPr>
          <w:sz w:val="20"/>
          <w:szCs w:val="20"/>
          <w:color w:val="auto"/>
        </w:rPr>
      </w:pPr>
      <w:r>
        <w:rPr>
          <w:rFonts w:ascii="Times New Roman" w:cs="Times New Roman" w:eastAsia="Times New Roman" w:hAnsi="Times New Roman"/>
          <w:sz w:val="16"/>
          <w:szCs w:val="16"/>
          <w:color w:val="auto"/>
        </w:rPr>
        <w:t>We are an “emerging growth company” and a “smaller reporting company” as such terms are defined under the federal securities laws and, as such, are subject to certain reduced public company reporting requirements.</w:t>
      </w:r>
    </w:p>
    <w:p>
      <w:pPr>
        <w:spacing w:after="0" w:line="75"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shares of our common stock or warrants involves risks that are described in the “Risk Factors” section beginning on page 6 of this prospectus.</w:t>
      </w:r>
    </w:p>
    <w:p>
      <w:pPr>
        <w:spacing w:after="0" w:line="87"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92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3180" w:type="dxa"/>
            <w:vAlign w:val="bottom"/>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 2022.</w:t>
            </w:r>
          </w:p>
        </w:tc>
      </w:tr>
      <w:tr>
        <w:trPr>
          <w:trHeight w:val="391"/>
        </w:trPr>
        <w:tc>
          <w:tcPr>
            <w:tcW w:w="4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285"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83"/>
        </w:trPr>
        <w:tc>
          <w:tcPr>
            <w:tcW w:w="7480" w:type="dxa"/>
            <w:vAlign w:val="bottom"/>
            <w:gridSpan w:val="2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6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TRADEMARKS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iii</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FREQUENTLY USED TERMS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iv</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vii</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 OF THE PROSPECTUS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176"/>
        </w:trPr>
        <w:tc>
          <w:tcPr>
            <w:tcW w:w="638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PRICE OF OUR COMMON STOCK AND WARRANTS AND DIVIDEND</w:t>
            </w:r>
          </w:p>
        </w:tc>
        <w:tc>
          <w:tcPr>
            <w:tcW w:w="1100" w:type="dxa"/>
            <w:vAlign w:val="bottom"/>
            <w:tcBorders>
              <w:bottom w:val="single" w:sz="8" w:color="CCEEFF"/>
            </w:tcBorders>
            <w:gridSpan w:val="4"/>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0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INFORMATION</w:t>
            </w:r>
          </w:p>
        </w:tc>
        <w:tc>
          <w:tcPr>
            <w:tcW w:w="6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41</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UNAUDITED PRO FORMA CONDENSED COMBINED FINANCIAL STATEMENTS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175"/>
        </w:trPr>
        <w:tc>
          <w:tcPr>
            <w:tcW w:w="668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800" w:type="dxa"/>
            <w:vAlign w:val="bottom"/>
            <w:tcBorders>
              <w:bottom w:val="single" w:sz="8" w:color="CCEEFF"/>
            </w:tcBorders>
            <w:gridSpan w:val="2"/>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30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6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BENEFICIAL OWNERSHIP OF SECURITIES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SELLING SECURITYHOLDERS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SECURITIES ACT RESTRICTIONS ON RESALE OF SECURITIES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8"/>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a “shelf” registration process. Under this shelf registration process, we and the Selling Securityholders may, from time to time, issue, offer and sell, as applicable, any combination of the securities described in this prospectus in one or more offerings. We may use the shelf registration statement to issue up to an aggregate of 16,250,000 shares of Common Stock upon exercise of the public warrants, the financing warrants and the private placement warrants. The Selling Securityholders may use the shelf registration statement to sell up to an aggregate of 46,949,333 shares of Common Stock and up to 6,125,000 and 1,500,000 private placement warrants and financing warrants, respectively,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Securityholders offer and sell may be provided in a prospectus supplement that describes, among other things, the specific amounts and prices of the common stock or warrants being offered and the terms of the offering.</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0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November 10, 2021, Ventoux CCM Acquisition Corp. (“VTAQ”), Ventoux Merger Sub I Inc. (“Ventoux Merger Sub I”), Ventoux Merger Sub II LLC (“Ventoux Merger Sub II”), and E La Carte, Inc. (“Legacy Presto”) entered into an Agreement and Plan of Merger, as amended on April 1, 2022 and July 25, 2022 (the “Merger Agreement”), pursuant to which, among other transactions, on September 21, 2022 (the “Closing Date”), Ventoux Merger Sub I merged with and into Legacy Presto (the “First Merger”), with Legacy Presto surviving as a wholly-owned subsidiary of VTAQ (the “Surviving Corporation”), and immediately following the First Merger and as part of the same overall transaction as the First Merger, the Surviving Corporation merged with and into Ventoux Merger Sub II (the “Second Merger”), with Ventoux Merger Sub II surviving as a wholly-owned subsidiary of VTAQ (the First Merger and Second Merger, together with the other transactions described in the Merger Agreement, the “Business Combination”). In connection with the closing of the Business Combination, VTAQ changed its name to “Presto Automation Inc.” (sometimes referred to herein as “New Presto”).</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48"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This document contains references to trademarks and service marks belonging to other entities. Solely for convenience, trademarks and trade names referred to in this prospectus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“we,” “us,” “our,” and “Presto” refer to Presto Automation Inc.</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158" w:lineRule="exact"/>
        <w:rPr>
          <w:sz w:val="20"/>
          <w:szCs w:val="20"/>
          <w:color w:val="auto"/>
        </w:rPr>
      </w:pPr>
    </w:p>
    <w:p>
      <w:pPr>
        <w:jc w:val="both"/>
        <w:ind w:left="1320" w:right="459" w:hanging="434"/>
        <w:spacing w:after="0" w:line="254"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Fully Diluted Company Common Shares” means (A) the fully-diluted number of shares of Presto Common Stock outstanding immediately prior to the Effective Time minus, if any, (B) any shares of Presto Common Stock (1) issued or issuable in connection with certain permitted acquisitions undertaken by the Company prior to the Closing, (2) held in the treasury of the Company or owned by VTAQ, Ventoux Merger Sub, Ventoux Merger Sub II or the Company immediately prior to the Effective Time, and (3) owned by a holder who is entitled to demand and has properly demanded appraisal for such shares in accordance with, and who complies in all respects with, Section 262 of the Delaware General Corporation Law;</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Registration Rights Agreement” means the amended and restated registration rights agreement entered into between New Presto, the Sponsors, Cleveland Avenue, VTAQ’s directors and officers, the Note Investor and certain Presto Stockholders in connection with the consummation of the Business Combination;</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Warrant Agreement” means the amended and restated warrant agreement entered into between New Presto, the Sponsors and Continental in connection with the consummation of the Business Combination;</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business combination pursuant to the Merger Agreement;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means the bylaws of Presto;</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“Chardan” means Chardan Capital Markets, LLC;</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“Chardan Investments” means Chardan International Investments, LLC, one of the Sponsors of VTAQ;</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or “Current Charter” means Presto’s current amended and restated certificate of incorporation as filed with the Secretary of State on September 21, 2022;</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closing of the Business Combination;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Entity” means VTAQ after the event in which Presto becomes a wholly-owned subsidiary of VTAQ;</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a committee of at least two people appointed by the Presto Board to administer the Incentive Plan;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means Continental Stock Transfer &amp; Trust Company;</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means 15,000,000 additional shares of the common stock of New Presto to be issued to the securityholders of Presto, contingent on achievement of certain milestones;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means the Delaware General Corporation Law;</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Time” means the time at which the Business Combination became effective pursuant to its terms;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Investment” means the sale of an aggregate of 7,143,687 shares of common stock for an aggregate consideration of $55,000,000 in private placements to close immediately prior to or substantially concurrently with the Closing;</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Ratio” means the quotient obtained by dividing (a) 52,500,000 by (b) the number of Aggregate Fully Diluted Company Common Shares;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Warrants” means 1,500,000 warrants that were newly issued to the lenders party to the Credit Agreement, bearing substantially similar terms to the Private Placement Warrants;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Merger” means the merger pursuant to which Ventoux Merger Sub will merge with and into Presto;</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Shares” means the outstanding shares of our Common Stock held by the Sponsors, our directors and affiliates of our management team since December 23, 2020;</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Presto” means E La Carte, Inc., a Delaware corporation, prior to the Business Combination;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means the First Merger and Second Merger;</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means the Agreement and Plan of Merger, dated as of November 10, 2021, as amended by that certain Amendment to Agreement and Plan of Merger, dated as of April 1, 2022, as further amended by that Second Amendment to Agreement and Plan of Merger, dated as of July 25, 2022, by and among VTAQ, Ventoux Merger Sub I, Ventoux Merger Sub II and Presto;</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Presto” means VTAQ after the event in which Presto becomes a wholly-owned subsidiary of VTAQ and VTAQ changes its name to Presto Automation Inc.;</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means 1,000,000 shares of preferred stock, par value $0.0001 per share, of the 51,000,000 total number of authorized shares of all classes of capital stock;</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Conversion” means the conversion of each share of Presto Series A preferred stock, Series AA-1 preferred stock, Series AA-2 preferred stock, Series B preferred stock, Series B-1 preferred stock, Series C preferred stock and Series C-1 preferred stock issued and outstanding immediately prior to the Effective Time upon the effective time of the Merger;</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Board” means the board of directors of Presto Automation Inc. following the Business Combination;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Common Stock” means the common stock of New Presto, $0.0001 par value per share;</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Option” means an option to acquire common stock of New Presto with the same terms and conditions as applied to the Presto Option immediately prior to the Effective Time;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RSU” means each outstanding restricted stock unit in respect of Presto Common Stock;</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or “Private Warrants” means 6,125,000 warrants that were sold by VTAQ to the Sponsor in a private sale prior to the VTAQ IPO and that remain outstanding as of the date of this prospectus;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Warrants” means the warrants issued in the VTAQ IPO, each of which entitles the holder to purchase one-half (1/2) of a share of Common Stock, initially at an exercise price of $11.50 per share and as subsequently adjusted to an exercise price of $8.21 per share as further described herein;</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means restricted stock units;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Merger” means the merger immediately following the First Merger between the Surviving Corporation and Ventoux Merger Sub II;</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“Sponsors” means Ventoux Acquisition Holdings LLC and Chardan International Investments, LLC;</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Corporation” means the surviving entity following the First Merger and continuing (immediately following the First Merger) as a wholly-owned subsidiary of VTAQ;</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means the Trust Account of VTAQ, which holds the net proceeds of the VTAQ IPO and the sale of the private units, together with interest earned thereon, less amounts released to pay franchise and income tax obligations;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 means a unit consisting of one share of Common Stock, one warrant to purchase one-half (1/2) of a share of Common Stock and one right to receive one-twentieth (1/20) of a share of Common Stock;</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 Acquisition” means Ventoux Acquisition Holdings LLC;</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 Merger Sub I” means Ventoux Merger Sub I Inc., a Delaware corporation and a direct, wholly-owned subsidiary of VTAQ;</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 Merger Sub II” means Ventoux Merger Sub II, LLC, a Delaware limited liability company and a direct, wholly-owned subsidiary of VTAQ;</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means Ventoux CCM Acquisition Corp;</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Common Stock” means the common stock of VTAQ, $0.0001 par value per share;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IPO” means VTAQ’s initial public offering.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for purposes of the safe harbor provisions under the United States Private Securities Litigation Reform Act of 1995, including statements about the financial condition, results of operations, earnings outlook and prospects of Presto. Investors should note that on April 8, 2021, the staff of the SEC issued a public statement entitled “SPACs, IPOs and Liability Risk under the Securities Laws,” in which the SEC staff indicated that there is uncertainty as to the availability of the safe harbor under these Sections in connection with a SPAC merger. In addition, any statements that refer to projections (including EBITDA, adjusted EBITDA, EBITDA margin and revenue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projections prepared by, and are the responsibility of Presto’s management teams.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Factors that could cause actual results to differ from those implied by the forward-looking statements in this prospectus are more fully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are not exhaustive. Other sections of this prospectus describe additional factors that could adversely affect the business, financial condition or results of operations of Presto. New risk factors emerge from time to time and it is not possible to predict all such risk factors, nor can Presto assess the impact of all such risk factors on the business of Presto,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Presto or persons acting on their behalf are expressly qualified in their entirety by the foregoing cautionary statements. Presto undertakes no obligations to update or revise publicly any forward-looking statements, whether as a result of new information, future events or otherwise, except as required by law.</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62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160" w:lineRule="exact"/>
        <w:rPr>
          <w:sz w:val="20"/>
          <w:szCs w:val="20"/>
          <w:color w:val="auto"/>
        </w:rPr>
      </w:pPr>
    </w:p>
    <w:p>
      <w:pPr>
        <w:jc w:val="both"/>
        <w:ind w:left="540" w:right="5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titled “Where You Can Find More Information.”</w:t>
      </w:r>
    </w:p>
    <w:p>
      <w:pPr>
        <w:spacing w:after="0" w:line="115" w:lineRule="exact"/>
        <w:rPr>
          <w:sz w:val="20"/>
          <w:szCs w:val="20"/>
          <w:color w:val="auto"/>
        </w:rPr>
      </w:pPr>
    </w:p>
    <w:p>
      <w:pPr>
        <w:jc w:val="both"/>
        <w:ind w:left="540" w:right="5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prospectus to the “Company,” “we,” “us” or “our” are to Presto Automation Inc.</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Presto, a Delaware corporation headquartered in San Carlos, California, seeks to overlay next-generation digital solutions onto the approximately $3 trillion hospitality industry given the hospitality industry’s current primarily analog nature and substantial reliance on labor. At present, Presto is focused on the restaurant industry. Since its founding in 2008, Presto has shipped over 250,000 enterprise-grade digital solution systems to the restaurant hospitality industry. Presto leverages decades of deep domain experience to build a technology platform that digitizes on-premise restaurant dining rooms and drive-throughs to maximize restaurant profitability and enhance the guest dining experience. Presto offers a range of Touch, Vision and Voice products to restaurants.</w:t>
      </w:r>
    </w:p>
    <w:p>
      <w:pPr>
        <w:spacing w:after="0" w:line="122" w:lineRule="exact"/>
        <w:rPr>
          <w:sz w:val="20"/>
          <w:szCs w:val="20"/>
          <w:color w:val="auto"/>
        </w:rPr>
      </w:pPr>
    </w:p>
    <w:p>
      <w:pPr>
        <w:jc w:val="both"/>
        <w:ind w:left="1400" w:right="559" w:hanging="424"/>
        <w:spacing w:after="0" w:line="254"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Touch </w:t>
      </w:r>
      <w:r>
        <w:rPr>
          <w:rFonts w:ascii="Times New Roman" w:cs="Times New Roman" w:eastAsia="Times New Roman" w:hAnsi="Times New Roman"/>
          <w:sz w:val="18"/>
          <w:szCs w:val="18"/>
          <w:color w:val="auto"/>
        </w:rPr>
        <w:t>— Presto’s Touch products enable self-serve ordering, payment processing,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(frequently referred to as logos herein) personalization, and gaming experiences. Presto’s latest product, Presto Flex, is an all-in-one tablet that can be deployed for a variety of applications, including serving as a tabletop device, self-serve kiosk or handheld device. Presto Flex offers Wi-Fi and LTE connectivity while weighing 25% less than an iPad with three times the battery capacity of comparable tablets. A.I. technology provides speech recognition that allows automated voice ordering by both guests and staff. Presto Flex’s front and rear cameras enable coupon scanning. Presto Flex hosts a wide range of payment options and is compliant with Payment Card Industry Data Security Standards (“PCI-DSS”). On average, Presto Flex eliminates 65% of point of sale trips increasing tables serviced and tips per server.</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Vision </w:t>
      </w:r>
      <w:r>
        <w:rPr>
          <w:rFonts w:ascii="Times New Roman" w:cs="Times New Roman" w:eastAsia="Times New Roman" w:hAnsi="Times New Roman"/>
          <w:sz w:val="18"/>
          <w:szCs w:val="18"/>
          <w:color w:val="auto"/>
        </w:rPr>
        <w:t>— Presto’s AI-powered computer vision application provides real-time error detection,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visual order tracking capabilities, and repeat guest identification. Presto Vision uses strategically located cameras and powerful artificial intelligence (“AI”) algorithms to offer unique real-time insights to restaurant operations and analytics. Presto’s next generation technology quickly identifies dropouts in drive-through lines, repeat customers, errors during food preparation, and missing items in the packing process. Vision’s smart analytics promotes items with short preparation times when queues are long and notifies managers to deploy line-busting tablets when drive-through wait times or abandonment rates are high. The Vision product also helps boost order accuracy in the restaurant hospitality industry by deploying its technology to kitchens, which allows management to monitor whether orders going out the door are substantially accurate.</w:t>
      </w:r>
    </w:p>
    <w:p>
      <w:pPr>
        <w:spacing w:after="0" w:line="110"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Voice </w:t>
      </w:r>
      <w:r>
        <w:rPr>
          <w:rFonts w:ascii="Times New Roman" w:cs="Times New Roman" w:eastAsia="Times New Roman" w:hAnsi="Times New Roman"/>
          <w:sz w:val="18"/>
          <w:szCs w:val="18"/>
          <w:color w:val="auto"/>
        </w:rPr>
        <w:t>— Presto’s speech recognition technology offers guests voice-based ordering in the drive-through and other restaurant settings. Presto’s Voice product takes orders using automated A.I. that frees up staff by automatically transmitting orders to the restaurant’s POS system. Voice technology enables faster transactions and improved order accuracy by eliminating human order taking. The Voice product also increases check sizes with automatic upselling and cross-selling functionality.</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shareholders should carefully consider the following risk factors, together with all of the other information included in this prospectus.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Risks Related to Presto’s Business and Industry:</w:t>
      </w:r>
    </w:p>
    <w:p>
      <w:pPr>
        <w:spacing w:after="0" w:line="160" w:lineRule="exact"/>
        <w:rPr>
          <w:sz w:val="20"/>
          <w:szCs w:val="20"/>
          <w:color w:val="auto"/>
        </w:rPr>
      </w:pPr>
    </w:p>
    <w:p>
      <w:pPr>
        <w:jc w:val="both"/>
        <w:ind w:left="1400" w:right="559" w:hanging="424"/>
        <w:spacing w:after="0" w:line="266"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Presto fails to manage its growth effectively, to sustain its recent revenue growth or attract new customers, it may be unable to execute its business plan, maintain high levels of service and customer satisfaction, or adequately address competitive challenges.</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limited operating history with its new Vision and Voice products in a new and developing market makes it difficult to evaluate its current business and future prospects and may increase the risk that it will not be successful.</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a history of generating net losses, and if it is unable to achieve adequate revenue growth while its expenses increase, it may not achieve or maintain profitability in the future.</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has adversely impacted (including as a result of global supply chain shortages that Presto expects to continue for the foreseeable future) and may continue to adversely impact Presto’s results of operations and financial condition.</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generates a significant portion of its revenue from its three largest customers, and the loss or decline in revenue from any of these customers could harm its business, results of operations, and financial condition.</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Presto fails to continue to improve and enhance the functionality, performance, reliability, design, security, or scalability of its platform in a manner that responds to its customers’ evolving needs, its business may be adversely affected.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Presto recognizes revenue from the sale of its products over a multi-year term, downturns or upturns in sales are not immediately reflected in full in its results of operations.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and certain of its third-party partners, service providers, and subprocessors transmit and store personal information of its customers and consumers. If the security of this information is compromised, Presto’s reputation may be harmed, and it may be exposed to liability and loss of business.</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is subject to stringent and changing privacy laws, regulations and standards, and contractual obligations related to data privacy and security, and noncompliance with such laws could adversely affect its business.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restaurant industry or the global economy, including with respect to food, labor, and occupancy costs, could limit Presto’s ability to grow its business and materially impact its financial performance.</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may require additional capital, which additional financing may result in restrictions on its operations or substantial dilution to its stockholders, to support the growth of its business, and this capital might not be available on acceptable terms, if at all.</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outstanding secured debt that contains financial covenants and other restrictions on its actions that may limit its operational flexibility or otherwise adversely affect its results of operations.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sales cycles can be long and unpredictable, and its sales efforts require considerable investment of time and expense.</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identified material weaknesses in its internal control over financial reporting and, if it fails to remediate these deficiencies, it may not be able to accurately or timely report its financial condition or results of operations.</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 if we do not receive additional financing in a timely manner.</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Risks Related to Third Parties:</w:t>
      </w:r>
    </w:p>
    <w:p>
      <w:pPr>
        <w:spacing w:after="0" w:line="160" w:lineRule="exact"/>
        <w:rPr>
          <w:sz w:val="20"/>
          <w:szCs w:val="20"/>
          <w:color w:val="auto"/>
        </w:rPr>
      </w:pPr>
    </w:p>
    <w:p>
      <w:pPr>
        <w:ind w:left="1400" w:right="55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relies on a limited number of suppliers to provide part of the technology it offers. Thus, it is at risk of shortages, price increases, changes, delays or discontinuations of hardware.</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relies substantially on a select few payment processors to facilitate payments made by or to guests and customers, and if it cannot manage risks related to its relationships with its payment processors, its business, financial condition, and results of operations could be adversely affected.</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relies on computer hardware, licensed software and services rendered by third parties and the interoperability thereof in order to run its business.</w:t>
      </w:r>
    </w:p>
    <w:p>
      <w:pPr>
        <w:sectPr>
          <w:pgSz w:w="11900" w:h="16838" w:orient="portrait"/>
          <w:cols w:equalWidth="0" w:num="1">
            <w:col w:w="9019"/>
          </w:cols>
          <w:pgMar w:left="1440" w:top="270" w:right="1440" w:bottom="1440" w:gutter="0" w:footer="0" w:header="0"/>
          <w:type w:val="continuous"/>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427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7427595"/>
                    </a:xfrm>
                    <a:prstGeom prst="rect">
                      <a:avLst/>
                    </a:prstGeom>
                    <a:noFill/>
                  </pic:spPr>
                </pic:pic>
              </a:graphicData>
            </a:graphic>
          </wp:anchor>
        </w:drawing>
      </w:r>
    </w:p>
    <w:p>
      <w:pPr>
        <w:spacing w:after="0" w:line="3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Risks Related to Regulatory, Legal and Compliance Matters:</w:t>
      </w:r>
    </w:p>
    <w:p>
      <w:pPr>
        <w:spacing w:after="0" w:line="160" w:lineRule="exact"/>
        <w:rPr>
          <w:sz w:val="20"/>
          <w:szCs w:val="20"/>
          <w:color w:val="auto"/>
        </w:rPr>
      </w:pPr>
    </w:p>
    <w:p>
      <w:pPr>
        <w:jc w:val="both"/>
        <w:ind w:left="1400" w:right="559" w:hanging="424"/>
        <w:spacing w:after="0" w:line="261"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business is subject to a variety of U.S. laws and regulations (including with respect to payment transaction processing), many of which are unsettled and still developing, and Presto or its customers’ failure to comply with such laws and regulations could subject it to claims or otherwise adversely affect its business, financial condition, or results of operations.</w:t>
      </w:r>
    </w:p>
    <w:p>
      <w:pPr>
        <w:spacing w:after="0" w:line="9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U.S. and international trade policies that restrict imports or increase tariffs could have a material adverse effect on Presto’s results of operations.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could be required to collect additional sales taxes or be subject to other tax liabilities that may increase the costs its customers would have to pay for its products and adversely affect its results of operations.</w:t>
      </w:r>
    </w:p>
    <w:p>
      <w:pPr>
        <w:spacing w:after="0" w:line="1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Risks Related to Presto’s Intellectual Property:</w:t>
      </w:r>
    </w:p>
    <w:p>
      <w:pPr>
        <w:spacing w:after="0" w:line="146" w:lineRule="exact"/>
        <w:rPr>
          <w:sz w:val="20"/>
          <w:szCs w:val="20"/>
          <w:color w:val="auto"/>
        </w:rPr>
      </w:pPr>
    </w:p>
    <w:p>
      <w:pPr>
        <w:jc w:val="both"/>
        <w:ind w:left="1400" w:right="55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Presto fails to adequately protect its intellectual property rights, its competitive position could be impaired and it may lose valuable assets, generate reduced revenue and become subject to costly litigation to protect its rights.</w:t>
      </w:r>
    </w:p>
    <w:p>
      <w:pPr>
        <w:spacing w:after="0" w:line="108"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may be subject to claims by third parties of intellectual property infringement.</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uses open-source software in its platform, which could negatively affect its ability to sell its services or subject it to litigation or other actions.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985 Industrial Road, San Carlos, CA 94070. Our telephone number is (650) 817-9012. Our website address is </w:t>
      </w:r>
      <w:r>
        <w:rPr>
          <w:rFonts w:ascii="Times New Roman" w:cs="Times New Roman" w:eastAsia="Times New Roman" w:hAnsi="Times New Roman"/>
          <w:sz w:val="18"/>
          <w:szCs w:val="18"/>
          <w:i w:val="1"/>
          <w:iCs w:val="1"/>
          <w:color w:val="auto"/>
        </w:rPr>
        <w:t>www.presto.com</w:t>
      </w:r>
      <w:r>
        <w:rPr>
          <w:rFonts w:ascii="Times New Roman" w:cs="Times New Roman" w:eastAsia="Times New Roman" w:hAnsi="Times New Roman"/>
          <w:sz w:val="18"/>
          <w:szCs w:val="18"/>
          <w:color w:val="auto"/>
        </w:rPr>
        <w:t>. Information contained on our website is not a part of this prospectus, and the inclusion of our website address in this prospectus is an inactive textual reference only.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Presto’s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540" w:right="559" w:firstLine="4"/>
        <w:spacing w:after="0" w:line="252" w:lineRule="auto"/>
        <w:tabs>
          <w:tab w:leader="none" w:pos="7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Closing of Ventoux’s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99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7991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up to 16,250,000 shares of common stock that may be issued upon exercise of the warrants to purchase common stock, including the public warrants, financing warrants and private placement warrants. We are also registering the resale by the Selling Securityholders or their permitted transferees of (a) up to 46,949,333 shares of common stock, which includes (i) 4,312,500 founder shares, (ii) 7,143,687 shares of common stock issued to certain institutional and accredited investors in connection with the consummation of the Business Combination and (iii) 7,433,040 shares of common stock that may be issued from time to time upon achievement of certain stock price thresholds and (b) 6,125,000 private placement warrants and 1,500,000 financing warrants. Any investment in the securities offered hereby is speculative and involves a high degree of risk. You should carefully consider the information set forth under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16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following information is as of October 19, 2022 and does not give effect to issuances of our Common Stock or the exercise of warrants after such date.</w:t>
      </w:r>
    </w:p>
    <w:p>
      <w:pPr>
        <w:sectPr>
          <w:pgSz w:w="11900" w:h="16838" w:orient="portrait"/>
          <w:cols w:equalWidth="0" w:num="1">
            <w:col w:w="9019"/>
          </w:cols>
          <w:pgMar w:left="1440" w:top="270" w:right="1440" w:bottom="1440" w:gutter="0" w:footer="0" w:header="0"/>
          <w:type w:val="continuous"/>
        </w:sectPr>
      </w:pPr>
    </w:p>
    <w:p>
      <w:pPr>
        <w:spacing w:after="0" w:line="121" w:lineRule="exact"/>
        <w:rPr>
          <w:sz w:val="20"/>
          <w:szCs w:val="20"/>
          <w:color w:val="auto"/>
        </w:rPr>
      </w:pPr>
    </w:p>
    <w:p>
      <w:pPr>
        <w:ind w:left="720" w:right="60" w:hanging="179"/>
        <w:spacing w:after="0" w:line="261" w:lineRule="auto"/>
        <w:rPr>
          <w:sz w:val="20"/>
          <w:szCs w:val="20"/>
          <w:color w:val="auto"/>
        </w:rPr>
      </w:pPr>
      <w:r>
        <w:rPr>
          <w:rFonts w:ascii="Times New Roman" w:cs="Times New Roman" w:eastAsia="Times New Roman" w:hAnsi="Times New Roman"/>
          <w:sz w:val="18"/>
          <w:szCs w:val="18"/>
          <w:color w:val="auto"/>
        </w:rPr>
        <w:t>Shares of our common stock to be issued upon exercise of all public warrants, financing warrants and private placement warrants</w:t>
      </w:r>
    </w:p>
    <w:p>
      <w:pPr>
        <w:spacing w:after="0" w:line="153" w:lineRule="exact"/>
        <w:rPr>
          <w:sz w:val="20"/>
          <w:szCs w:val="20"/>
          <w:color w:val="auto"/>
        </w:rPr>
      </w:pPr>
    </w:p>
    <w:p>
      <w:pPr>
        <w:ind w:left="720" w:right="40" w:hanging="179"/>
        <w:spacing w:after="0" w:line="261" w:lineRule="auto"/>
        <w:rPr>
          <w:sz w:val="20"/>
          <w:szCs w:val="20"/>
          <w:color w:val="auto"/>
        </w:rPr>
      </w:pPr>
      <w:r>
        <w:rPr>
          <w:rFonts w:ascii="Times New Roman" w:cs="Times New Roman" w:eastAsia="Times New Roman" w:hAnsi="Times New Roman"/>
          <w:sz w:val="18"/>
          <w:szCs w:val="18"/>
          <w:color w:val="auto"/>
        </w:rPr>
        <w:t>Shares of our common stock outstanding prior to exercise of all public warrants, financing warrants and private placement warrants</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Resale of Shares of Common Stock and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16,250,000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50,639,837 shares</w:t>
      </w:r>
    </w:p>
    <w:p>
      <w:pPr>
        <w:spacing w:after="0" w:line="198"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We will receive up to an aggregate of approximately $158,498,750 from the exercise of all public warrants, financing warrants and private placement warrants assuming the exercise in full of all such warrants for cash. Unless we inform you otherwise in a prospectus supplement or free writing prospectus, we intend to use the net proceeds from the exercise of such warrants for general corporate purposes which may include acquisitions or other strategic investments. Our warrants are currently out-of-the money. We do not expect warrant holders to exercise their warrants and, therefore, we do not expect to receive cash proceeds from any such exercise, for so long as the warrants remain out-of-the money. See the section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for more information.</w:t>
      </w:r>
    </w:p>
    <w:p>
      <w:pPr>
        <w:spacing w:after="0" w:line="781" w:lineRule="exact"/>
        <w:rPr>
          <w:sz w:val="20"/>
          <w:szCs w:val="20"/>
          <w:color w:val="auto"/>
        </w:rPr>
      </w:pPr>
    </w:p>
    <w:p>
      <w:pPr>
        <w:sectPr>
          <w:pgSz w:w="11900" w:h="16838" w:orient="portrait"/>
          <w:cols w:equalWidth="0" w:num="2">
            <w:col w:w="3560" w:space="2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Shares of common stock offered by the</w:t>
      </w:r>
    </w:p>
    <w:p>
      <w:pPr>
        <w:spacing w:after="0" w:line="27" w:lineRule="exact"/>
        <w:rPr>
          <w:sz w:val="20"/>
          <w:szCs w:val="20"/>
          <w:color w:val="auto"/>
        </w:rPr>
      </w:pPr>
    </w:p>
    <w:p>
      <w:pPr>
        <w:ind w:left="720"/>
        <w:spacing w:after="0"/>
        <w:tabs>
          <w:tab w:leader="none" w:pos="3760" w:val="left"/>
        </w:tabs>
        <w:rPr>
          <w:sz w:val="20"/>
          <w:szCs w:val="20"/>
          <w:color w:val="auto"/>
        </w:rPr>
      </w:pPr>
      <w:r>
        <w:rPr>
          <w:rFonts w:ascii="Times New Roman" w:cs="Times New Roman" w:eastAsia="Times New Roman" w:hAnsi="Times New Roman"/>
          <w:sz w:val="18"/>
          <w:szCs w:val="18"/>
          <w:color w:val="auto"/>
        </w:rPr>
        <w:t>Selling Securityholders</w:t>
      </w:r>
      <w:r>
        <w:rPr>
          <w:sz w:val="20"/>
          <w:szCs w:val="20"/>
          <w:color w:val="auto"/>
        </w:rPr>
        <w:tab/>
      </w:r>
      <w:r>
        <w:rPr>
          <w:rFonts w:ascii="Times New Roman" w:cs="Times New Roman" w:eastAsia="Times New Roman" w:hAnsi="Times New Roman"/>
          <w:sz w:val="18"/>
          <w:szCs w:val="18"/>
          <w:color w:val="auto"/>
        </w:rPr>
        <w:t>46,949,333 shares (which includes up to 4,312,500 founder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shares, 7,143,687 PIPE Shares and 7,433,040 shares of common</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stock that may be issued from time to time upon achievement of</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certain stock price thresholds)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Warrants offered by the Selling</w:t>
      </w:r>
    </w:p>
    <w:p>
      <w:pPr>
        <w:spacing w:after="0" w:line="27" w:lineRule="exact"/>
        <w:rPr>
          <w:sz w:val="20"/>
          <w:szCs w:val="20"/>
          <w:color w:val="auto"/>
        </w:rPr>
      </w:pPr>
    </w:p>
    <w:p>
      <w:pPr>
        <w:ind w:left="720"/>
        <w:spacing w:after="0"/>
        <w:tabs>
          <w:tab w:leader="none" w:pos="3760" w:val="left"/>
        </w:tabs>
        <w:rPr>
          <w:sz w:val="20"/>
          <w:szCs w:val="20"/>
          <w:color w:val="auto"/>
        </w:rPr>
      </w:pPr>
      <w:r>
        <w:rPr>
          <w:rFonts w:ascii="Times New Roman" w:cs="Times New Roman" w:eastAsia="Times New Roman" w:hAnsi="Times New Roman"/>
          <w:sz w:val="18"/>
          <w:szCs w:val="18"/>
          <w:color w:val="auto"/>
        </w:rPr>
        <w:t>Securityholders</w:t>
      </w:r>
      <w:r>
        <w:rPr>
          <w:sz w:val="20"/>
          <w:szCs w:val="20"/>
          <w:color w:val="auto"/>
        </w:rPr>
        <w:tab/>
      </w:r>
      <w:r>
        <w:rPr>
          <w:rFonts w:ascii="Times New Roman" w:cs="Times New Roman" w:eastAsia="Times New Roman" w:hAnsi="Times New Roman"/>
          <w:sz w:val="18"/>
          <w:szCs w:val="18"/>
          <w:color w:val="auto"/>
        </w:rPr>
        <w:t>6,125,000 private placement warrants and 1,500,000 financing</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warrants</w:t>
      </w:r>
    </w:p>
    <w:p>
      <w:pPr>
        <w:spacing w:after="0" w:line="180"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color w:val="auto"/>
        </w:rPr>
        <w:t>Exercise Price</w:t>
      </w:r>
      <w:r>
        <w:rPr>
          <w:sz w:val="20"/>
          <w:szCs w:val="20"/>
          <w:color w:val="auto"/>
        </w:rPr>
        <w:tab/>
      </w:r>
      <w:r>
        <w:rPr>
          <w:rFonts w:ascii="Times New Roman" w:cs="Times New Roman" w:eastAsia="Times New Roman" w:hAnsi="Times New Roman"/>
          <w:sz w:val="18"/>
          <w:szCs w:val="18"/>
          <w:color w:val="auto"/>
        </w:rPr>
        <w:t>$8.21 per share with respect to the public warrants and $11.50</w:t>
      </w:r>
    </w:p>
    <w:p>
      <w:pPr>
        <w:spacing w:after="0" w:line="27" w:lineRule="exact"/>
        <w:rPr>
          <w:sz w:val="20"/>
          <w:szCs w:val="20"/>
          <w:color w:val="auto"/>
        </w:rPr>
      </w:pPr>
    </w:p>
    <w:p>
      <w:pPr>
        <w:ind w:left="3780" w:right="559"/>
        <w:spacing w:after="0" w:line="260" w:lineRule="auto"/>
        <w:rPr>
          <w:sz w:val="20"/>
          <w:szCs w:val="20"/>
          <w:color w:val="auto"/>
        </w:rPr>
      </w:pPr>
      <w:r>
        <w:rPr>
          <w:rFonts w:ascii="Times New Roman" w:cs="Times New Roman" w:eastAsia="Times New Roman" w:hAnsi="Times New Roman"/>
          <w:sz w:val="18"/>
          <w:szCs w:val="18"/>
          <w:color w:val="auto"/>
        </w:rPr>
        <w:t>per share with respect to the private placement warrants and the financing warrants, subject to adjustment as described herein.</w:t>
      </w:r>
    </w:p>
    <w:p>
      <w:pPr>
        <w:spacing w:after="0" w:line="154" w:lineRule="exact"/>
        <w:rPr>
          <w:sz w:val="20"/>
          <w:szCs w:val="20"/>
          <w:color w:val="auto"/>
        </w:rPr>
      </w:pPr>
    </w:p>
    <w:p>
      <w:pPr>
        <w:ind w:left="540"/>
        <w:spacing w:after="0"/>
        <w:tabs>
          <w:tab w:leader="none" w:pos="3760" w:val="left"/>
        </w:tabs>
        <w:rPr>
          <w:sz w:val="20"/>
          <w:szCs w:val="20"/>
          <w:color w:val="auto"/>
        </w:rPr>
      </w:pPr>
      <w:r>
        <w:rPr>
          <w:rFonts w:ascii="Times New Roman" w:cs="Times New Roman" w:eastAsia="Times New Roman" w:hAnsi="Times New Roman"/>
          <w:sz w:val="18"/>
          <w:szCs w:val="18"/>
          <w:color w:val="auto"/>
        </w:rPr>
        <w:t>Redemption</w:t>
      </w:r>
      <w:r>
        <w:rPr>
          <w:sz w:val="20"/>
          <w:szCs w:val="20"/>
          <w:color w:val="auto"/>
        </w:rPr>
        <w:tab/>
      </w:r>
      <w:r>
        <w:rPr>
          <w:rFonts w:ascii="Times New Roman" w:cs="Times New Roman" w:eastAsia="Times New Roman" w:hAnsi="Times New Roman"/>
          <w:sz w:val="18"/>
          <w:szCs w:val="18"/>
          <w:color w:val="auto"/>
        </w:rPr>
        <w:t>The private placement warrants and financing warrants are not</w:t>
      </w:r>
    </w:p>
    <w:p>
      <w:pPr>
        <w:spacing w:after="0" w:line="27" w:lineRule="exact"/>
        <w:rPr>
          <w:sz w:val="20"/>
          <w:szCs w:val="20"/>
          <w:color w:val="auto"/>
        </w:rPr>
      </w:pPr>
    </w:p>
    <w:p>
      <w:pPr>
        <w:ind w:left="3780" w:right="579"/>
        <w:spacing w:after="0" w:line="260" w:lineRule="auto"/>
        <w:rPr>
          <w:sz w:val="20"/>
          <w:szCs w:val="20"/>
          <w:color w:val="auto"/>
        </w:rPr>
      </w:pPr>
      <w:r>
        <w:rPr>
          <w:rFonts w:ascii="Times New Roman" w:cs="Times New Roman" w:eastAsia="Times New Roman" w:hAnsi="Times New Roman"/>
          <w:sz w:val="18"/>
          <w:szCs w:val="18"/>
          <w:color w:val="auto"/>
        </w:rPr>
        <w:t>redeemable by us. See “</w:t>
      </w:r>
      <w:r>
        <w:rPr>
          <w:rFonts w:ascii="Times New Roman" w:cs="Times New Roman" w:eastAsia="Times New Roman" w:hAnsi="Times New Roman"/>
          <w:sz w:val="18"/>
          <w:szCs w:val="18"/>
          <w:i w:val="1"/>
          <w:iCs w:val="1"/>
          <w:color w:val="auto"/>
        </w:rPr>
        <w:t>Description of Our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for further discussion.</w:t>
      </w:r>
    </w:p>
    <w:p>
      <w:pPr>
        <w:sectPr>
          <w:pgSz w:w="11900" w:h="16838" w:orient="portrait"/>
          <w:cols w:equalWidth="0" w:num="1">
            <w:col w:w="9019"/>
          </w:cols>
          <w:pgMar w:left="1440" w:top="270" w:right="1440"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 w:lineRule="exact"/>
        <w:rPr>
          <w:sz w:val="20"/>
          <w:szCs w:val="20"/>
          <w:color w:val="auto"/>
        </w:rPr>
      </w:pPr>
    </w:p>
    <w:tbl>
      <w:tblPr>
        <w:tblLayout w:type="fixed"/>
        <w:tblInd w:w="470" w:type="dxa"/>
        <w:tblCellMar>
          <w:top w:w="0" w:type="dxa"/>
          <w:left w:w="0" w:type="dxa"/>
          <w:bottom w:w="0" w:type="dxa"/>
          <w:right w:w="0" w:type="dxa"/>
        </w:tblCellMar>
      </w:tblPr>
      <w:tr>
        <w:trPr>
          <w:trHeight w:val="559"/>
        </w:trPr>
        <w:tc>
          <w:tcPr>
            <w:tcW w:w="244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566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shares of common stock by the Selling Securityholders. With</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respect to shares of common stock underlying the warrants, we</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will not receive any proceeds from such shares except with</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respect to amounts received by us upon exercise of such</w:t>
            </w:r>
          </w:p>
        </w:tc>
      </w:tr>
      <w:tr>
        <w:trPr>
          <w:trHeight w:val="214"/>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warrants to the extent such warrants are exercised for cash. See</w:t>
            </w:r>
          </w:p>
        </w:tc>
      </w:tr>
      <w:tr>
        <w:trPr>
          <w:trHeight w:val="218"/>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above for more information on the proceeds</w:t>
            </w:r>
          </w:p>
        </w:tc>
      </w:tr>
      <w:tr>
        <w:trPr>
          <w:trHeight w:val="234"/>
        </w:trPr>
        <w:tc>
          <w:tcPr>
            <w:tcW w:w="244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expect to receive from the exercise of such warrants.</w:t>
            </w:r>
          </w:p>
        </w:tc>
      </w:tr>
      <w:tr>
        <w:trPr>
          <w:trHeight w:val="373"/>
        </w:trPr>
        <w:tc>
          <w:tcPr>
            <w:tcW w:w="24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Ticker Symbol</w:t>
            </w: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Our shares of common stock and public warrants are listed on</w:t>
            </w:r>
          </w:p>
        </w:tc>
      </w:tr>
      <w:tr>
        <w:trPr>
          <w:trHeight w:val="234"/>
        </w:trPr>
        <w:tc>
          <w:tcPr>
            <w:tcW w:w="244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Nasdaq under the symbol “PRST” and “PRSTW.”</w:t>
            </w:r>
          </w:p>
        </w:tc>
      </w:tr>
      <w:tr>
        <w:trPr>
          <w:trHeight w:val="387"/>
        </w:trPr>
        <w:tc>
          <w:tcPr>
            <w:tcW w:w="24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Lock-up restrictions</w:t>
            </w: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Substantially all of our stockholders, including the Selling</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Securityholders, are subject to certain restrictions on transfer</w:t>
            </w:r>
          </w:p>
        </w:tc>
      </w:tr>
      <w:tr>
        <w:trPr>
          <w:trHeight w:val="214"/>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until  the  termination  of  applicable  lock-up  periods.  See</w:t>
            </w:r>
          </w:p>
        </w:tc>
      </w:tr>
      <w:tr>
        <w:trPr>
          <w:trHeight w:val="236"/>
        </w:trPr>
        <w:tc>
          <w:tcPr>
            <w:tcW w:w="244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 Restrictions on Resale of Common Stock.</w:t>
            </w:r>
            <w:r>
              <w:rPr>
                <w:rFonts w:ascii="Times New Roman" w:cs="Times New Roman" w:eastAsia="Times New Roman" w:hAnsi="Times New Roman"/>
                <w:sz w:val="18"/>
                <w:szCs w:val="18"/>
                <w:color w:val="auto"/>
              </w:rPr>
              <w:t>”</w:t>
            </w:r>
          </w:p>
        </w:tc>
      </w:tr>
      <w:tr>
        <w:trPr>
          <w:trHeight w:val="415"/>
        </w:trPr>
        <w:tc>
          <w:tcPr>
            <w:tcW w:w="2440" w:type="dxa"/>
            <w:vAlign w:val="bottom"/>
            <w:tcBorders>
              <w:left w:val="single" w:sz="8" w:color="auto"/>
              <w:bottom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spacing w:after="0"/>
              <w:rPr>
                <w:sz w:val="24"/>
                <w:szCs w:val="24"/>
                <w:color w:val="auto"/>
              </w:rPr>
            </w:pPr>
          </w:p>
        </w:tc>
      </w:tr>
      <w:tr>
        <w:trPr>
          <w:trHeight w:val="388"/>
        </w:trPr>
        <w:tc>
          <w:tcPr>
            <w:tcW w:w="24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risk factors apply to our business and operations following the completion of the Business Combination. These risk factors are not exhaustive and investors are encouraged to perform their own investigation with respect to the business, prospects, financial condition and operating results of Presto. You should carefully consider the following risk factors in addition to the other information included in this prospectus, including matters addressed in the section entitled “Cautionary Statement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the financial statements included herein.</w:t>
      </w:r>
    </w:p>
    <w:p>
      <w:pPr>
        <w:spacing w:after="0" w:line="159" w:lineRule="exact"/>
        <w:rPr>
          <w:sz w:val="20"/>
          <w:szCs w:val="20"/>
          <w:color w:val="auto"/>
        </w:rPr>
      </w:pPr>
    </w:p>
    <w:p>
      <w:pPr>
        <w:ind w:left="460" w:right="3859"/>
        <w:spacing w:after="0" w:line="469" w:lineRule="auto"/>
        <w:rPr>
          <w:sz w:val="20"/>
          <w:szCs w:val="20"/>
          <w:color w:val="auto"/>
        </w:rPr>
      </w:pPr>
      <w:r>
        <w:rPr>
          <w:rFonts w:ascii="Times New Roman" w:cs="Times New Roman" w:eastAsia="Times New Roman" w:hAnsi="Times New Roman"/>
          <w:sz w:val="18"/>
          <w:szCs w:val="18"/>
          <w:b w:val="1"/>
          <w:bCs w:val="1"/>
          <w:color w:val="auto"/>
        </w:rPr>
        <w:t xml:space="preserve">Risks Related to Presto’s Business and Business Development </w:t>
      </w:r>
      <w:r>
        <w:rPr>
          <w:rFonts w:ascii="Times New Roman" w:cs="Times New Roman" w:eastAsia="Times New Roman" w:hAnsi="Times New Roman"/>
          <w:sz w:val="18"/>
          <w:szCs w:val="18"/>
          <w:b w:val="1"/>
          <w:bCs w:val="1"/>
          <w:i w:val="1"/>
          <w:iCs w:val="1"/>
          <w:color w:val="auto"/>
        </w:rPr>
        <w:t>Risks Relating to our Business Plan</w:t>
      </w:r>
    </w:p>
    <w:p>
      <w:pPr>
        <w:spacing w:after="0" w:line="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6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operations have expanded rapidly and we expect that will continue. To manage our current and anticipated future growth effectively, we must continue to maintain and enhance our finance and accounting systems and controls, as well as our information technology (“IT”) and security infrastructure. For example, we expect we will need to invest in and seek to enhance our supply chain, inventory and IT systems and capabilities, including with respect to internal information sharing and interconnectivity between various systems within our infrastructure.</w:t>
      </w:r>
    </w:p>
    <w:p>
      <w:pPr>
        <w:spacing w:after="0" w:line="9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must also attract, train, and retain a significant number of qualified sales and marketing personnel, client support personnel, professional services personnel, software engineers, technical personnel, and management personnel, without undermining our corporate culture of rapid innovation, teamwork, and attention to customer success that has been central to our growth.</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Failure to effectively manage our growth could also lead us to over-invest or under-invest in our development and operations, result in weaknesses in our infrastructure, systems, or controls, give rise to operational mistakes, financial losses, loss of productivity or business opportunities, and result in loss of employees and reduced productivity of remaining employees. To support our growth, we expect to make significant sales and marketing expenditures to increase sales of our platform and increase awareness of our brand and significant research and development expenses to increase the functionality of our platform and to introduce additional related products and services. A significant portion of our investments in our sales and marketing and research and development activities will precede the benefits from such investments, and we cannot be sure that we will receive an adequate return on our investments. If our management is unable to effectively manage our growth, our expenses may increase more than expected, our revenue may not increase or may grow more slowly than expected, and we may be unable to implement our business strategy.</w:t>
      </w:r>
    </w:p>
    <w:p>
      <w:pPr>
        <w:spacing w:after="0" w:line="13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adversely affected if our existing and future products fail to achieve and maintain customer acceptance.</w:t>
      </w:r>
    </w:p>
    <w:p>
      <w:pPr>
        <w:spacing w:after="0" w:line="6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platform is made up of our Touch, Voice and Vision products, of which Voice and Vision are relatively new. It is possible that these products may be difficult to sell and/or it may become evident that these products, or different products that we develop in the future, are not productive uses of our capital or time. This could result in us modifying our business and focus away from these products. There are substantial risks and uncertainties associated with these efforts, and we could invest significant capital and resources.</w:t>
      </w:r>
    </w:p>
    <w:p>
      <w:pPr>
        <w:spacing w:after="0" w:line="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eliminate or phase out a product and are not able to offer and successfully market and sell an alternative product, our revenue may decrease, which could have a material adverse effect on our results of operations. Developing new products also imposes burdens on our internal teams, including management, compliance, product development and marketing. These processes are costly, and our efforts to develop, integrate and enhance our products may not be successful, or our initial timetables for the development, introduction and roll-out of new products and profitability targets may not be met. If we incur significant costs in developing new products, if we are not able to successfully market and sell these new products, or if our customers fail to widely accept these new products, there could be a material adverse effect on our results of operations due to a decrease of our revenues and a reduction of our profitability.</w:t>
      </w:r>
    </w:p>
    <w:p>
      <w:pPr>
        <w:spacing w:after="0" w:line="10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addition, our revenues, costs, margin, and cash flow may fluctuate because new products generally require startup costs while revenues take time to develop, which may adversely impact our results of operations.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do not attract new customers and increase our customers’ use of our platform, our business will suffer.</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derive, and expect to continue to derive, a majority of our revenue and cash inflows from our integrated cloud-based platform, which encompasses software and hardware components. As such, our ability to attract new customers, retain existing customers, and increase the use of our platform by existing customers is critical to our success.</w:t>
      </w:r>
    </w:p>
    <w:p>
      <w:pPr>
        <w:spacing w:after="0" w:line="11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Our future revenue will depend on our success in attracting additional customers to our platform. Our ability to attract additional customers will depend on a number of factors, including the effectiveness of our sales team, the success of our marketing levels, our levels of investment in expanding our sales and marketing teams, referrals by existing customers, and the availability of competitive restaurant technology platforms. We may not experience the same levels of success with respect to our customer acquisition strategies as seen in prior periods, and if the costs associated with acquiring new customers materially rises in the future, our expenses may rise significantly.</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to attracting new customers, we will seek to expand the usage of our platform by broadening the adoption by our customers of various products included within our platform. Further, while many of our customers deploy our platform to all of their restaurant locations, some of our customers initially deploy our platform to a subset of locations. For those customers, we seek to expand the use of our platform to additional locations over time. Our ability to increase adoption of our products by our customers and to increase penetration of our existing customers’ locations will depend on a number of factors, including our customers’ satisfaction with our platform, competition, pricing and our ability to demonstrate the value proposition of our products.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recent revenue growth in future periods.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grown rapidly over the last several years, and our recent revenue growth rate and financial performance should not be considered indicative of our future performance. You should not rely on our revenue or key business metrics for any previous quarterly or annual period as indicative of our revenue, revenue growth, key business metrics, or key business metrics growth in future periods. In particular, our revenue growth rate has fluctuated in prior periods. We expect our revenue growth rate to fluctuate over the short and long term. We may experience declines in our revenue growth rate as a result of a number of factors, including slowing demand for our platform, insufficient growth in the number of customers and their guests that utilize our platform, increasing competition, changing customer and guest behaviors, a decrease in the growth of our overall market, our failure to continue to capitalize on growth opportunities, the impact of regulatory requirements, and the maturation of our business, among others.</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impacted and may continue to adversely impact our business, financial condition, and results of operations.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COVID-19 pandemic has adversely affected workforces, consumers, economies, and financial markets globally. The adverse impact of the pandemic has been and may continue to be particularly acute among enterprise restaurant customers, which comprise the majority of our customer base, and many franchisees have been required to cease or substantially diminish business operations for an indeterminate period of time. The pandemic also has disrupted, and may continue to disrupt, our supply chains and relationships with third-party partners. For example, during 2020 and 2021, we experienced difficulties related to equipment availability and spare parts, extended repair times and international shipping delays. These issues resulted in a delay in product expansion and maintenance revenue, as well as increased the time necessary to negotiate customer contracts and for product implementation. While we have seen these difficulties subside during 2022, especially in regards to international shipments, there can be no assurance that these improvements will continue. Furthermore, the pandemic has also had, and may continue to have, a variety of additional effects on our business and operations, including reducing the demand for our platform, restricting our operations and sales and marketing efforts, impeding our ability to conduct product development and other important business activities, and decreasing technology spending.</w:t>
      </w:r>
    </w:p>
    <w:p>
      <w:pPr>
        <w:spacing w:after="0" w:line="13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However, while adversely impacting the restaurant industry and our business, the COVID-19 pandemic has also increased the focus by restaurants on the need for a digital technology platform that can address the need for safe, frictionless, contact-free experiences in restaurants and address off-premise dining. While we believe these trends may positively impact our business in the longer-term, we cannot predict the extent to which the increased focus on the need for digital solutions such as those offered by our platform will persist. For example, we cannot predict the manner and extent to which the reemergence of on-premise dining and other types of in-person activity will impact our business, including with respect to engaging with our products. Due to the uncertainty of the COVID-19 pandemic, we will continue to assess the situation, including abiding by any government-imposed restrictions, market-by-market. We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are unable to accurately predict the ultimate impact that the COVID-19 pandemic will have on our operations going forward due to uncertainties that will be dictated by the length of time that the disruptions resulting from the pandemic continue, which will, in turn, depend on the currently unknowable duration and severity of the COVID-19 pandemic, the impact of governmental regulations that might be imposed in response to the pandemic, the effectiveness and wide-spread availability of the vaccines, the speed and extent to which normal economic and operating conditions will resume, and overall changes in consumer behavior. We also cannot accurately forecast the potential impact of additional outbreaks as government restrictions are relaxed, the impact of further shelter-in-place or other government restrictions that are implemented in response to such outbreaks, or the impact on our customers’ ability to remain in business, each of which could continue to have an adverse impact on our business.</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and financial results,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such as those relating to our liquidity, our indebtedness, and our ability to comply with the covenants contained in the agreements that govern our indebtedness.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with our new products in a new and developing market makes it difficult to evaluate our current business and future prospects, and may increase the risk that we will not be successful.</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a limited operating history with our products, particularly our Voice and Vision products. As a result, we have less experience with these products and their related pricing models, which makes it difficult to accurately assess our future prospects. You should consider our future prospects in light of the challenges and uncertainties that we face, including:</w:t>
      </w:r>
    </w:p>
    <w:p>
      <w:pPr>
        <w:spacing w:after="0" w:line="99" w:lineRule="exact"/>
        <w:rPr>
          <w:sz w:val="20"/>
          <w:szCs w:val="20"/>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it may not be possible to fully discern the trends that we are subject to;</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operate in a new and developing market with a rapidly changing competitive landscape;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may be unable to accurately predict our revenue and operating expenses for new products that we release;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enhance or retain our brand among customers and potential customers;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may in the future enter into additional new and developing markets that may not develop as we expect or that our platform may not adequately address;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elements of our business strategy are new and subject to ongoing development</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difficulties frequently experienced by growing companies in rapidly changing industries, including increasing and unforeseen expenses as we continue to grow our business. If our assumptions regarding these risks and uncertainties, which we use to plan and operate our business, are incorrect or change, or if we do not manage these risks successfully, our reputation, business, results of operations, and prospects will be harmed.</w:t>
      </w:r>
    </w:p>
    <w:p>
      <w:pPr>
        <w:spacing w:after="0" w:line="179" w:lineRule="exact"/>
        <w:rPr>
          <w:sz w:val="20"/>
          <w:szCs w:val="20"/>
          <w:color w:val="auto"/>
        </w:rPr>
      </w:pPr>
    </w:p>
    <w:p>
      <w:pPr>
        <w:jc w:val="both"/>
        <w:ind w:left="4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currently generate significant revenue from a small number of large customers, and the loss or decline in revenue from any of these customers could harm our business, results of operations, and financial condition.</w:t>
      </w:r>
    </w:p>
    <w:p>
      <w:pPr>
        <w:spacing w:after="0" w:line="6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each of the years ended June 30, 2022 and 2021, our three largest restaurant logos (including, as applicable, the franchisees of such restaurants aggregated as a single customer for reporting purposes) generated an aggregate of approximately 93% our revenue. Although these customers have previously entered into multi-year term contracts with us, they may reduce or terminate their usage of our platform or decide not to renew their agreements with us and we have and may continue to transition certain customer relationships between the enterprise and franchisee levels.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in the past, and we may in the future, lose one or more of our largest customers. While no such losses have been material to date, in the event that any other of our largest restaurant customers do not continue to use our platform, use fewer of our products, use our products in a more limited capacity, or not at all, our business, results of operations, and financial condition could be adversely affected in the future.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improve and enhance the functionality, performance, reliability, design, security, or scalability of our platform in a manner that responds to our customers’ evolving needs, our business may be adversely affected.</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industry is characterized by rapid technological change, frequent new product and service introductions, and evolving industry standards. Our success has been based on our ability to identify and anticipate the needs of our customers and design and maintain a platform that provides them with the tools they need to operate their businesses in a manner that is productive and meets or exceeds their expectations. Our ability to attract new customers and increase sales to both new and existing customers will depend in large part on our ability to continue to improve and enhance the functionality, performance, reliability, design, security, and scalability of our platform. Additionally, to achieve and maintain market acceptance for our platform, we must effectively integrate with new or existing software solutions that meet changing customer demands in a timely manner.</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we expand our platform and services, and as the number of our customers with higher volume sales increases, we expect that we will need to offer increased functionality, scalability and support, including to keep our platform, systems, and services secure, which requires us to devote additional resources to such efforts. To the extent we are not able to enhance our platform’s functionality in order to maintain its utility and security, enhance our platform’s scalability in order to maintain its performance and availability, or improve our support functions in order to meet increased customer service demands, our business, operating results, and financial condition could be adversely affected.</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experience difficulties with software development that could delay or prevent the development, deployment, introduction, or implementation of new products and enhancements. Software development involves a significant amount of time, as it can take our developers months to update, code, and test new and upgraded products and integrate those products into our platform. We must also continually update, test, certify, maintain, and enhance our software platform. We may make significant investments in new products or enhancements that may not achieve expected returns. The continual improvement and enhancement of our platform requires significant investment and we may not have the resources to make such investment. Our improvements and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perform it in a manner that responds to our customers’ evolving needs, our business, operating results, and financial condition will be adversely affected.</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brand is integral to our success. If we fail to effectively maintain, promote, and enhance our brand, our business and competitive advantage may be harmed.</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that maintaining, promoting, and enhancing the Presto brand is critical to expanding our business. Maintaining and enhancing our brand will depend largely on our ability to continue to provide high-quality, well-designed, useful, reliable, and innovative products, which we may not do successfully in the future.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Errors, defects, security incidents, disruptions, or other performance problems with our platform, including with third-party applications, services, or partners, including our partners who provide payment processing services, may harm our reputation and brand. We may introduce new products or terms of service that our customers or their consumers do not like, which may negatively affect our brand. Additionally, if our customers or their consumers have a negative experience using our products or third-party solutions integrated within our platform, such an experience may affect our brand, especially as and if we continue to attract multi-location restaurant customers to our platform.</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unfavorable media coverage or negative publicity about our company, for example, the quality and reliability of our platform, our privacy and security practices or the loss or misuse of our customer data or consumers’ personal information, our platform changes, litigation, or regulatory activity, or regarding the actions of our partners or our customers, could seriously harm our reputation. Such negative publicity could also adversely affect the size, demographics, engagement, and loyalty of our customers, and result in decreased revenue, which could seriously harm our business.</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that the importance of brand recognition will increase as competition in our market increases, which we expect to occur. In addition to our ability to provide reliable and useful products at competitive prices, successful promotion of our brand will depend on the effectiveness of our marketing efforts. While we primarily market our</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platform through direct sales efforts, our platform is also marketed through a number of free traffic sources, including customer referrals and word-of-mouth. Our efforts to market our brand have involved significant expenses, which we intend to increase, and as our market becomes increasingly competitive, these marketing initiatives may become increasingly difficult and expensive. Our marketing spend may not yield increased revenue, and even if it does, any increased revenue may not offset the expenses we incur in building and maintaining our brand.</w:t>
      </w:r>
    </w:p>
    <w:p>
      <w:pPr>
        <w:spacing w:after="0" w:line="183"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and other key employees, the loss of any of whom could adversely affect our business, operating results, and financial condition. We may also engage the services of third parties who provide consulting services to support our business and the failure to identify and/or retain such third parties could adversely affect our business, operating results and financial condition.</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contributions of our senior management, including our Founder and Chief Executive Officer, Rajat Suri, and other key employees to execute on our business plan, keep our platform stable and secure, and to identify and pursue new opportunities and platform innovations. The failure to properly manage succession plans or the loss of services of senior management or other key employees could significantly delay or prevent the achievement of our strategic objectives. From time to time, there may be changes in our senior management team resulting from the hiring or departure of executives, which could disrupt our business. We do not maintain key person life insurance policies on any of our employees. The loss of the services of one or more of our senior management or other key employees for any reason could adversely affect our business, financial condition, and operating results, and require significant amounts of time, training, and resources to find suitable replacements and integrate them within our business, and could affect our corporate culture.</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engage the services of third parties who provide us with certain consulting services to support our business. Any failure to identify and/or retain such third parties could adversely affect our business, operating results and financial condition and could require significant amounts of time and resources to find suitable replacements.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recruit, retain, and develop qualified personnel is critical to our success and growth.</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business functions at the intersection of rapidly changing technological, social, economic, and regulatory environments that require a wide range of expertise and intellectual capital. For us to successfully compete and grow, we must recruit, retain, and develop personnel who can provide the necessary expertise across a broad spectrum of disciplines. In addition, we must develop, maintain and, as necessary, implement appropriate succession plans to ensure we have the necessary human resources capable of maintaining continuity in our business.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market for qualified personnel is competitive, and we may not succeed in recruiting additional personnel or may fail to effectively replace current personnel who depart with qualified or effective successors. Our effort to retain and develop personnel may also result in significant additional expenses, which could adversely affect our profitability. In addition, job candidates and existing employees often consider the value of the equity awards they receive in connection with their employment. The trading price of our common stock following the Business Combination is likely to be volatile, could be subject to fluctuations in response to various factors and may not appreciate. If the perceived value of our equity awards declines for these or other reasons, it may adversely affect our ability to attract and retain highly qualified employees. Our employees may receive significant proceeds from sales of our equity in the public markets following the Business Combination, which may reduce their motivation to continue to work for us.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become subject to legal proceedings and claims that arise in the ordinary course of business, such as claims brought by our customers, our partners, or third parties in connection with commercial disputes or our technology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make acquisitions and investments, or successfully integrate them into our business, our business, results of operations and financial condition could be adversely affected.</w:t>
      </w:r>
    </w:p>
    <w:p>
      <w:pPr>
        <w:spacing w:after="0" w:line="7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will continue to consider a wide array of potential strategic transactions, including acquisitions of businesses, new technologies, services and other assets and strategic investments that complement our business. We may evaluate target companies and make acquisitions in the future. There is no assurance that such acquired businesses will be successfully integrated into our business or generate substantial growth or revenue.</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Acquisitions involve numerous risks, any of which could harm our business and negatively affect our financial condition and results of operations, including:</w:t>
      </w:r>
    </w:p>
    <w:p>
      <w:pPr>
        <w:spacing w:after="0" w:line="81" w:lineRule="exact"/>
        <w:rPr>
          <w:sz w:val="20"/>
          <w:szCs w:val="20"/>
          <w:color w:val="auto"/>
        </w:rPr>
      </w:pPr>
    </w:p>
    <w:p>
      <w:pPr>
        <w:ind w:left="1320" w:right="47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suitable acquisition targets, which could increase prices and adversely affect our ability to consummate deals on favorable or acceptable terms;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material delay in closing a transaction;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for additional capital that was not anticipated at the time of the acquisition;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lawsuits or claims;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technologies, operations, existing contracts and personnel of an acquired company;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key employees or business partners of an acquired company;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existing operations or alternative acquisition opportunities;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or synergies of a transaction;</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the problems, liabilities or other shortcomings or challenges of an acquired company or technology, including issues related to intellectual property, regulatory compliance practices, litigation, accounting practices, or employee or user issues;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regulatory bodies may enact new laws or promulgate new regulations that are adverse to an acquired company or business;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of our trade secrets or confidential information that we share with potential acquisition candidates;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an acquired company or investment in new offerings cannibalizes a portion of our existing business;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 acquisition.</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results of operations and financial condition could be adversely affected.</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Businesses we acquire may not have disclosure controls and procedures and internal controls over financial reporting, cybersecurity controls and data privacy compliance programs, or their existing controls and programs may be weaker than or otherwise not in conformity with ours.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Depending upon the nature and scale of any future businesses we acquire, the implementation of our disclosure controls and procedures as well as the implementation of our internal controls over financial reporting, cybersecurity and data privacy at an acquired company may be a lengthy process and may divert our attention from other business operations. Our integration efforts may periodically expose deficiencies or suspected deficiencies in the controls, procedures and programs of an acquired company that were not identified in our due diligence undertaken prior to consummating the acquisition. Where there exists a risk of deficiencies in controls, procedures or programs, we may not be in a position to comply with our obligations under applicable laws, regulations, rules and listing standards or we may be required to avail ourselves of scope limitations with respect to certifications required thereunder, and, as a result, our business and financial condition may be materially harmed.</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pricing decisions and pricing models may adversely affect our ability to attract new customers and retain existing customers.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limited experience determining the optimal prices for our newest products. We have changed our pricing model from time to time and expect to do so in the future. It may turn out that the new pricing models, or the pricing for any other products we may develop, are not optimal, which may result in our products not being profitable or not gaining market share. As competitors introduce new products that compete with ours, we may be unable to attract new customers at the same price or based on the same pricing models that we have used historically. Pricing decisions and pricing models may also impact the mix of adoption among our products and negatively impact our overall revenue. Moreover, restaurant brands may be sensitive to price increases or to the prices offered by competitors. As a result, in the future we may be required to reduce our prices, which could adversely affect our revenue, profitability, financial position, and cash flows.</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technical and maintenance support services are not satisfactory to our customers, they may not buy future products, which could materially and adversely affect our future results of operations and financial condition.</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business relies on our customers’ satisfaction with the technical and maintenance support services we provide to support our products. If we fail to provide technical and maintenance support services that are responsive, satisfy our customers’ expectations, and timely resolve issues that they encounter with our products, then they may not purchase additional products from us in the future.</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 consistently high level of customer service or if we fail to manage our reputation, our brand, business and financial results may be harmed.</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believe our focus on customer service and support is critical to attract and onboard new customers and grow our business. As a result, we have invested heavily in the quality and training of our support team, along with the tools they use to provide this service.</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number of our customers has grown significantly, which puts additional pressure on our support staff. If we are unable to provide efficient and effective customer support at scale, our ability to grow our operations may be harmed and we may need to hire additional support personnel, which could harm our margins and results of operations.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or our third-party service providers are unable to maintain a consistently high level of customer service, we may lose existing customers. In addition, our ability to attract new customers is highly dependent on our reputation and on positive recommendations from our existing customers. Any failure to maintain a consistently high level of customer service and to help our customers quickly resolve issues and provide effective ongoing support could harm our ability to retain existing customers and attract new customers and our reputation with existing or potential customers could suffer. We may experience difficulties maintaining a consistent level of service across our international operations and third-party providers.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corporate culture as we grow, our success and our business and competitive position may be harmed.</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believe that a key contributor to our success to date has been our corporate culture, which is based on an ownership mentality, teamwork, customer focus, integrity, and respect. Any failure to preserve our culture could negatively affect our ability to retain and recruit personnel, which is critical to our growth, and to effectively focus on and pursue our corporate objectives. Our anticipated headcount growth and our transition from a private company to a public company may make it difficult to maintain these important aspects of our culture. If we fail to maintain our corporate culture, or if we are unable to retain or hire key personnel, our business and competitive position may be harmed.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Increases in food, labor, and occupancy costs could adversely affect results of operations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financial success is dependent, in part, on the ability of our restaurant customers to increase the size and revenue of their business. These customers may experience increased operating costs, including as a result of changes to food, labor, occupancy, insurance, and supply costs, as well as costs of safety equipment related to the COVID-19 pandemic, rising inflation and interest rates, and they may be unable to recover these costs through increased menu prices. Various factors beyond our control, including government regulations relating to independent contractor</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classifications and minimum wage increases, may affect the total cost of running a restaurant. If our current or future customers are unable to maintain or increase the size and revenue of their business, or maintain profitability, our business, financial condition, and results of operations could be harmed.</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strategies may not be fully effective in mitigating our risk exposure in all market environments or against all types of risk.</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operate in a rapidly changing industry. Accordingly, our risk management strategies may not be fully effective to identify, monitor, and manage all risks that our business encounters. In addition, when we introduce new products, focus on expanding relationships with new types of customers, or begin to operate in new markets, we may be less able to forecast risk levels and reserve accurately for potential losses, as a result of fraud or otherwise. If our strategies are not fully effective or we are not successful in identifying and mitigating all risks to which we are or may be exposed, we may suffer uninsured liability or harm to our reputation, or be subject to litigation or regulatory actions, any of which could adversely affect our business, financial condition, and results of operations.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financial instruments may restrict our ability to pursue our business strategies.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party to a credit agreement (the “Credit Agreement”) with Metropolitan Partners Group Administration, LLC, as administrative, payment and collateral agent, the lenders and other parties party thereto, pursuant to which such lenders extended us term loans having an aggregate original principal amount of $55 million which we are borrowed in full at the consummation of the Business Combination. The Credit Agreement contains certain financial covenants, including a minimum cash covenant and maximum net leverage ratio of 1.20 to 1.00, as well as customary affirmative and restrictive covenants, including covenants regarding the incurrence of additional indebtedness or liens, payment of dividends and distributions, investments, transactions with affiliates, delivery of financial statements, payment of taxes, maintenance of insurance, dispositions of property, mergers or acquisitions, among other customary covenants. The terms of our outstanding debt may restrict our current and future operations and could adversely affect our ability to finance our future operations or capital needs or to execute business strategies in the manner desired. In addition, complying with these covenants may make it more difficult for us to successfully execute our business strategy, invest in our growth strategy, and compete against companies who are not subject to such restrictions.</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failure by us to comply with these covenants or the payment requirements specified in our financial instruments could result in an event of default under the agreement, which would give the lenders the right to declare any and all debt outstanding, together with accrued and unpaid interest and fees, to be immediately due and payable. In addition, the lenders under the Credit Agreement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may not have sufficient cash or be able to borrow sufficient funds to refinance the debt or sell sufficient assets to repay the debt, which could materially and adversely affect our cash flows, business, results of operations, and financial condition. There can be no assurance that we will remain in compliance with the covenants set forth in the Credit Agreement, and if we do not comply with such covenants, our debt may be accelerated, which could adversely affect us. Further, the terms of any new or additional financing may be on terms that are more restrictive or less desirable to 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Presto’s Technology and Privacy</w:t>
      </w:r>
    </w:p>
    <w:p>
      <w:pPr>
        <w:spacing w:after="0" w:line="225"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third-party partners, service providers, and subprocessors transmit and store personal information of our customers and consumers. If the security of this information is compromised or is otherwise accessed without authorization, our reputation may be harmed and we may be exposed to liability and loss of business.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transmit and store personal information and other confidential information of our partners, our customers, and consumers. Third-party applications integrated with our platform may also handle or store personal information, credit card information, including cardholder data and sensitive authentication data, or other confidential information. We do not proactively monitor the content that our customers upload and store, or the information provided to us through the applications integrated with our platform, and, therefore, we do not control the substance of the content on our servers, which may include personal information. Additionally, we use third-party service providers and subprocessors to help us deliver services to customers and consumers. These service providers and subprocessors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may handle or store personal information, credit card information, or other confidential information. There may in the future be successful attempts by third parties to obtain unauthorized access to the personal information of our partners, our customers, and consumers. This information could also be otherwise exposed through human error, malfeasance, or otherwise. The unauthorized release, unauthorized access, or compromise of this information could have an adverse effect on our business, financial condition, and results of operations. Even if such a data breach did not arise out of our actions or inactions, or if it were to affect one or more of our competitors or our customers’ competitors, the resulting consumer concern could negatively affect our customers and our business.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integrate with a number of third-party service providers in order to meet our customers’ needs, and although we contractually require our customers to ensure the security of such service providers, a security breach of one of these providers could become negatively associated with our brand, or our assistance in responding to such a breach could tie up our internal resources. By the nature of the integrations, we could also get directly drawn into any resulting lawsuits. We are also subject to federal and state laws regarding cybersecurity and the protection of data. Our agreements with customers and partners require us to notify them in the event of certain security incidents. Additionally, some jurisdictions, as well as our contracts with certain customers, require us to use industry-standard or reasonable measures to safeguard personal information or confidential information. As cardholder data and sensitive authentication data is transmitted through our platform, we may be required by card networks and our contracts with payment processors to adhere to PCI-DSS. We are also subject to the operating rules of the National Automated Clearing House Association (“NACHA”).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3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failure to comply with legal, regulatory or contractual requirements, and the rules of payment card networks and self-regulatory organizations, including PCI-DSS and NACHA, around the security of personal information, cardholder data, or sensitive authentication data, could lead to significant fines and penalties imposed by regulators and card networks, as well as claims by our customers, consumers, or other relevant stakeholders.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In addition, if our security measures fail to protect credit card information adequately, we could be liable to our partners, our customers and, consumers for their losses. As a result, we could be subject to fines, we could face regulatory or other legal action, and our customers could end their relationships with us. There can be no assurance that the limitations of liability in our contracts would be enforceable or adequate or would otherwise protect us from any such liabilities or damages with respect to any particular claim. We also cannot be sure that our existing insurance coverage and coverage for errors and omissions will continue to be available on acceptable terms or will be available in sufficient amounts to cover one or more large claims, or that our insurers will not deny coverage as to any future claim. The successful assertion of one or more large claims against us that exceeds our available insurance coverage, or changes in our insurance policies, including premium increases, or the imposition of large deductible or co-insurance requirements, could have an adverse effect on our business and results of operations.</w:t>
      </w:r>
    </w:p>
    <w:p>
      <w:pPr>
        <w:spacing w:after="0" w:line="18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privacy laws, regulations and standards, and contractual obligations related to data privacy and security. Our actual or perceived failure to comply with such obligations could harm our reputation, subject us to significant fines and liability, or adversely affect our business.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regulatory framework for privacy and security issues in the United States is rapidly evolving. Laws in all 50 states require us to provide notice to customers when certain sensitive personal information has been disclosed as a result of a data breach. These laws are frequently inconsistent, and compliance in the event of a widespread data breach is costly. Moreover, states regularly enact new laws and regulations, which require us to provide consumers with certain disclosures related to our privacy practices, as well as maintain systems necessary to allow customers to invoke their rights. For example, on January 1, 2020, California adopted the California Consumer Privacy Act of 2018 (“CCPA”), which provides new data privacy rights for consumers and new operational requirements for covered businesses. The CCPA gives California residents more control over their personal information and includes a statutory damages framework and private right of action imposing civil penalties against businesses that fail to comply with certain security practices. Although the CCPA’s implementation standards and enforcement practices are likely to remain uncertain for the foreseeable future, the CCPA may increase our compliance costs and exposure to liability. Moreover, additional states that adopt privacy laws that differ from the CCPA may require us to do unanticipated and unbudgeted</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work in order to comply with additional privacy and data security requirements. The costs associated with compliance may impede our development and could limit the adoption of our services. Finally, any failure by our vendors to comply with applicable law or regulations could result in proceedings against us by governmental entities or others.</w:t>
      </w:r>
    </w:p>
    <w:p>
      <w:pPr>
        <w:spacing w:after="0" w:line="11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publish privacy policies, self-certifications and documentation. Although we endeavor to comply with our published policies, certifications, and documentation, we may at times fail to do so or may be perceived to have failed to do so. Such failures can subject us to potential local, state, and federal action if they are found to be deceptive, unfair, or misrepresentative of our actual practices, resulting in reputational or financial harm to the company. Furthermore, if customer concerns regarding data security increase, customers may be hesitant to provide us with the data necessary to provide our service effectively. This could generally limit the adoption of our product and the growth of our company.</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denial of service attacks, or other hacking and phishing attacks on our systems or the systems with which our platform integrates could harm our reputation or subject us to significant liability, and adversely affect our business and financial results.</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operate in an industry which is prone to cyber-attacks. In our operation as a private company, our board of directors reviews cybersecurity risks brought to its attention by members of senior management who report up to our board of directors. We have an established in-house security team which is responsible for reviewing and overseeing our cybersecurity program and bringing any cybersecurity risks to the attention of leadership and the board of directors. Failure to prevent or mitigate security breaches and improper access to or disclosure of our data, our customers’ data, or their consumers’ data, could result in the loss or misuse of such data, which could harm our business and reputation. The security measures we have integrated into our systems and processes, which are designed to prevent or minimize security breaches, may not function as expected or may not be sufficient to protect our internal networks and platform against attacks. Further, our platform also integrates with third-party applications and points of sale (“POS”) and management systems over which we exercise no control. Such third-party applications and POS and management systems are also susceptible to security breaches, which could directly or indirectly result in a breach of our platform. The failure of a customer’s third-party front-end provider to adequately protect their systems could result in an attack that we are unable to prevent from the back-end, which could result in a service outage for all customers, and may require us to take the affected customer offline to restore service to the platform for other customers. In addition, techniques used to sabotage or to obtain unauthorized access to data change frequently. As a result, we may be unable to anticipate these techniques or implement adequate measures to prevent an intrusion into our networks directly, or into our platform through the third-party applications or POS and management systems with which our platform integrates.</w:t>
      </w:r>
    </w:p>
    <w:p>
      <w:pPr>
        <w:spacing w:after="0" w:line="11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storage and use of our customers’ data concerning their restaurants and consumers is essential to their use of our platform, which stores, transmits and processes our customers’ proprietary information and information relating to them and consumers. If a security breach were to occur, as a result of third-party action, employee error, malfeasance, or otherwise, and the confidentiality, integrity or availability of our customers’ data was disrupted, we could incur significant liability to our customers and their consumers, and our platform may be perceived as less desirable, which could negatively affect our business and damage our reputation. In addition, any loss of customer or individual consumer data could create significant monetary damages for us that may harm our ability to operate the business.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 security vulnerability in our platform or POS integration software could compromise our customers’ in-store networks, which could expose customer or consumer information beyond what we collect through our platform. As a multitenant software-as-a-service (“SaaS”) provider, despite our logical separation of data between customers, we may face an increased risk of accidentally commingling data between customers due to employee error, a software bug, or otherwise, which may result in unauthorized disclosure of data between customers. We may in the future be subject to distributed denial of service (“DDoS”) attacks, a technique used by hackers to take an internet service offline by overloading its servers. A DDoS attack could delay or interrupt service to our customers and their consumers and may deter consumers from ordering or engaging with our customers’ restaurants. Our platform and third-party applications may also be subject to DDoS attacks in the future and we cannot guarantee that applicable recovery systems, security protocols, network protection mechanisms and other procedures are or will be adequate to prevent network and service interruption, system failure, or data loss. In addition, computer malware, viruses, hacking, credential stuffing, social engineering, phishing, physical theft, and other attacks by third parties are prevalent in our industry. We may experience such attacks in the future and, as a result of our increased visibility, we believe that we are increasingly a target for such breaches and attacks.</w:t>
      </w:r>
    </w:p>
    <w:p>
      <w:pPr>
        <w:sectPr>
          <w:pgSz w:w="11900" w:h="16838" w:orient="portrait"/>
          <w:cols w:equalWidth="0" w:num="1">
            <w:col w:w="9019"/>
          </w:cols>
          <w:pgMar w:left="1440" w:top="270"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Moreover, our platform and third-party applications, services, or POS and management systems integrated with our platform, could be breached if vulnerabilities in our platform or third-party applications or POS and management systems are exploited by unauthorized third parties or due to employee error, malfeasance, or otherwise. Further, third parties may attempt to fraudulently induce employees or customers into disclosing sensitive information such as user names, passwords, or other information or otherwise compromise the security of our internal networks, electronic systems and/or physical facilities in order to gain access to our data or our customers’ data. Because techniques used to obtain unauthorized access change frequently and the size and severity of DDoS attacks and security breaches are increasing, we may be unable to implement adequate preventative measures or stop DDoS attacks or security breaches while they are occurring. In addition to our own platform and applications, some of the third parties we work with may receive information provided by us, by our customers, or by our customers’ consumers through web or mobile applications integrated with our platform. If these third parties fail to adhere to adequate data security practices, or in the event of a breach of their networks, our own and our customers’ data may be improperly accessed, used, or disclosed.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Any actual or perceived DDoS attack or security breach of our platform, systems, and networks could damage our reputation and brand, expose us to a risk of litigation and possible liability and require us to expend significant capital and other resources to respond to and alleviate problems caused by the DDoS attack or security breach. Our ability to retain adequate cyber-crime and liability insurance may be reduced. Some jurisdictions have enacted laws requiring companies to notify individuals of data security breaches involving certain types of personal data and our agreements with certain customers and partners require us to notify them in the event of a security incident. Such mandatory disclosures are costly, could lead to negative publicity, and may cause our customers to lose confidence in the effectiveness of our data security measures. Moreover, if a high-profile security breach occurs with respect to another SaaS provider or one of the service providers we partner with, customers may lose trust in the security of the SaaS business model generally, which could adversely impact our ability to retain revenue from existing customers or attract new ones. Any of these events could harm our reputation or subject us to significant liability, and materially and adversely affect our business and financial results.</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technology and infrastructure may adversely affect our business and operating results.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platform at any time and within an acceptable amount of time. Our platform is proprietary, and we rely on the expertise of members of our engineering, operations, and software development teams for our platform’s continued performance. We have experienced, and may in the future experience, disruptions, outages, and other performance problems related to our platform due to a variety of factors, including infrastructure changes, introductions of new functionality, human or software errors, delays in scaling our technical infrastructure if we do not maintain enough excess capacity and accurately predict our infrastructure requirements, capacity constraints due to an overwhelming number of users accessing our platform simultaneously, denial-of-service attacks, human error, actions or inactions attributable to third parties, earthquakes, hurricanes, floods, fires, natural disasters, power losses, disruptions in telecommunications services, fraud, military or political conflicts, terrorist attacks and other geopolitical unrest, computer viruses, ransomware, malware, or other events. Our systems also may be subject to break-ins, sabotage, theft, and intentional acts of vandalism, including by our own employees. Some of our systems are not fully redundant and our disaster recovery planning may not be sufficient for all eventualities. Further, our business and/or network interruption insurance may not be sufficient to cover all of our losses that may result from interruptions in our service as a result of systems failures and similar events.</w:t>
      </w:r>
    </w:p>
    <w:p>
      <w:pPr>
        <w:spacing w:after="0" w:line="11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From time to time we may experience limited periods of server downtime due to server failure or other technical difficulties. In some instances, we may not be able to identify the cause or causes of these performance problems within an acceptable period of time. It may become increasingly difficult to maintain and improve our performance, especially during peak usage times and as our platform becomes more complex and our user traffic increases. If our platform is unavailable or if our users are unable to access our platform within a reasonable amount of time, or at all, our business would be adversely affected and our brand could be harmed. In the event of any of the factors described above, or certain other failures of our infrastructure, customer or guest data may be permanently lost. Moreover, a limited number of our agreements with customers may provide for limited service level commitments from time to time.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we experience significant periods of service downtime in the future, we may be subject to claims by our customers against these service level commitments. These events have resulted in losses in revenue, though such losses have not been material to date. System failures in the future could result in significant losses of revenue.</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To the extent that we do not effectively address capacity constraints, upgrade our systems as needed, and continually develop our technology and network architecture to accommodate actual and anticipated changes in technology, our business and operating results may be adversely affected.</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customers’ continued and unimpeded access to the internet, and upon their willingness to use the internet for commerce.</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success depends upon the general public’s ability to access the internet, including through mobile devices, and its continued willingness to use the internet to pay for purchases, communicate, access social media, research and conduct commercial transactions. The adoption of any laws or regulations that adversely affect the growth, popularity or use of the internet, including changes to laws or regulations impacting internet neutrality, could decrease the demand for our platforms, increase our operating costs, or otherwise adversely affect our business. Given uncertainty around these rules, we could experience discriminatory or anti-competitive practices that could impede both our and our customers’ growth, increase our costs or adversely affect our business. In the future, providers of internet browsers could introduce new features that would make it difficult for customers to use our platform. In addition, internet browsers for desktop, tablets or mobile devices could introduce new features, or change existing browser specifications, such that they would be incompatible with our platform. If customers become unable, unwilling or less willing to use the internet for commerce for any reason, including lack of access to high-speed communications equipment, congestion of traffic on the internet, internet outages or delays, disruptions or other damage to customers’ computers, increases in the cost of accessing the internet and security and privacy risks or the perception of such risks, our business could be adversely affected.</w:t>
      </w:r>
    </w:p>
    <w:p>
      <w:pPr>
        <w:spacing w:after="0" w:line="19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Defects, errors, or vulnerabilities in our applications, backend systems, hardware, or other technology systems and those of third-party technology providers could harm our reputation and brand and adversely impact our business, financial condition, and results of operations.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software underlying our platform is highly complex and may contain undetected errors or vulnerabilities, some of which may only be discovered after the code has been released. Our practice is to effect frequent releases of software updates. Third-party software that we incorporate into our platform and our backend systems, hardware, or other technology systems, or those of third-party technology providers, may also be subject to defects, errors, or vulnerabilities. Any such defects, errors, or vulnerabilities could result in negative publicity, a loss of customers or loss of revenue, and access or other performance issues. Such vulnerabilities could also be exploited by bad actors and result in exposure of customer or guest data,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Capital Requirements</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generating net losses, and if we are unable to achieve adequate revenue growth while our expenses increase, we may not achieve or maintain profitability in the future.</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incurred a net loss in each year since our inception and have a significant accumulated deficit. We have incurred net losses since our inception, including net losses of $56.3 and $49.8 million for the years ended June 30, 2022 and 2021, respectively. As of June 30, 2022, we had an accumulated deficit of $200.7 million. Our losses and accumulated deficit are a result of the substantial investments we have made to grow our business. We expect our costs will increase over time and our losses to continue as we expect to continue to invest significant additional funds in expanding our business, sales, and marketing activities, research and development as we continue to build software designed specifically for the restaurant industry, and maintaining high levels of customer support, each of which we consider critical to our continued success. We also expect to incur additional general and administrative expenses as a result of our growth and expect our costs to increase to support our operations as a public company. In addition, to support the continued growth of our business and to meet the demands of continuously changing security and</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operational requirements, we plan to continue investing in our operations and technology infrastructure. Historically, our costs have increased over the years due to these factors, and we expect to continue to incur increasing costs to support our anticipated future growth. If we are unable to generate adequate revenue growth and manage our expenses, we may continue to incur significant losses and may not achieve or maintain profitability.</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Further, we may make decisions that would adversely affect our short-term operating results if we believe those decisions will improve the experiences of our customers and their guests and if we believe such decisions will improve our operating results over the long term. These decisions may not be consistent with the expectations of investors and may not produce the long-term benefits that we expect, in which case our business may be materially and adversely affected.</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if we do not receive additional financing in a timely manner.</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recurring net losses and negative cash flows from operating activities, and we have financed operations primarily through financing transactions, such as the issuance of convertible promissory notes and loans, and sales of convertible preferred stock. As of June 30, 2022, we had an accumulated deficit of $200.7 million and we expect to continue to generate significant operating losses for the foreseeable future. Therefore, cash and cash equivalents may not be sufficient to fund operating expenses, currently anticipated expenditures and other obligations as they come due, and we may require additional capital infusion to fully fund our ongoing operations. As a result, substantial doubt exists about our ability to continue as a going concern within one year after the issuance date of our financial statements for the fiscal year ended June 30, 2022.</w:t>
      </w:r>
    </w:p>
    <w:p>
      <w:pPr>
        <w:spacing w:after="0" w:line="18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12" w:lineRule="exact"/>
        <w:rPr>
          <w:sz w:val="20"/>
          <w:szCs w:val="20"/>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or any of our products;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including due to the potential lack of durability of the growth we have experienced in the near term due to COVID-19 and the associated shelter-in-place orders on consumer preferences for digital ordering and customer adoption of new products as COVID-19 associated restrictions abate;</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purchases and deployments;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relative to investments in our existing infrastructure and platform;</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sales commissions;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or pandemics, such as the COVID-19 pandemic;</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and business confidence typically associated with inflationary or recessionary environments;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customers, or our partners;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modules and platform capabilities or third-party applications or POS or management systems that our platform integrates with; 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hostilities or wars (such as the ongoing invasion of Ukraine by Russia), incidents of terrorism, natural disasters or responses to such events.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restaurant industry or the global economy could limit our ability to grow our business and materially impact our financial performance.</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operating results may vary based on the impact of changes in the restaurant industry or the global economy on us or our customers and their guests. Our revenue growth and potential profitability depend on demand for business management software and platforms serving the restaurant industry. Historically, during economic downturns, there have been reductions in spending on IT as well as pressure for extended billing terms and other financial concessions. If economic conditions deteriorate, our current and prospective customers may elect to decrease their IT budgets, which would limit our ability to grow our business and adversely affect our operating results.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deterioration in general economic conditions (including distress in financial markets and turmoil in specific economies around the world) may adversely affect our financial performance by causing a reduction in locations through restaurant closures and reduced operating hours. A reduction in the amount of consumer spending or credit card transactions could result in a decrease of our revenue and profits. Adverse economic factors may accelerate the timing, or increase the impact of, risks to our financial performance. These factors could include:</w:t>
      </w:r>
    </w:p>
    <w:p>
      <w:pPr>
        <w:spacing w:after="0" w:line="120" w:lineRule="exact"/>
        <w:rPr>
          <w:sz w:val="20"/>
          <w:szCs w:val="20"/>
          <w:color w:val="auto"/>
        </w:rPr>
      </w:pPr>
    </w:p>
    <w:p>
      <w:pPr>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economies and the pace of economic recovery which can change consumer spending behaviors;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and business confidence typically associated with recessionary environments;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unemployment levels, which may result in decreased spending by consumers;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concerns in the United States and other countries around the world, which could impact consumer confidence and spending;</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volatility in the performance of our customers’ businesses;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 consumers decreasing spending for value-added services we market and sell;</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actions, including the effect of laws and regulations and any related government stimulus;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impacting global supply, including those attributable to the ongoing COVID-19 pandemic and those resulting from the ongoing invasion of Ukraine by Russia.</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which additional financing may result in restrictions on our operations or substantial dilution to our stockholders, to support the growth of our business, and this capital might not be available on acceptable terms, if at all.</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customer working capital and financing transactions such as the issuance of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In particular, the COVID-19 pandemic, the ongoing invasion of Ukraine by Russia and rising inflation and interest rates have caused disruption in the global financial markets, which may reduce our ability to access capital and negatively affect our liquidity in the future.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to holders of our common stock. Furthermore, if we issue additional equity securities, stockholders will experience dilution, and the new equity securities could have rights senior to those of our existing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June 30, 2022, the Company had federal and state NOLs for approximately $134.7 million and $41.6 million, respectively. The state NOLs begin to expire in 2029 if not utilized. It is possible that we will not generate taxable income in time to use NOLs before their expiration, or at all. Under Section 382 and Section 383 of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the Business Combination.</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Under the Tax Cuts and Jobs Act (the “Tax Act”), as amended by the Coronavirus Aid, Relief, and Economic Security Act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Additionally, under the Tax Act, as modified by the CARES Act, NOLs from tax years that began after December 31, 2017 may offset no more than 80% of current taxable income annually for taxable years beginning after December 31, 2020, but the 80% limitation on the use of NOLs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The balance of our valuation allowance offset our U.S. NOLs at June 30, 2022 such that these changes did not materially impact our balance sheet as of such date. However, in future years, if and when a net deferred tax asset is recognized related to our NOLs, the changes in the carryforward and carryback periods as well as the limitation on use of NOLs may significantly impact our valuation allowance assessments for NOLs generated after December 31, 2020.</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experience elements of seasonal fluctuations in our financial results, which could cause our stock price to fluctuate.</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on the behavior patterns of our customers and their guests. For example, our transaction revenue per location has historically been stronger in the second and third quarters as a result of our customers experiencing greater sales during warmer months, though this effect varies regionally. Seasonality may cause fluctuations in our financial results, and other trends that develop may similarly impact our results of operations.</w:t>
      </w:r>
    </w:p>
    <w:p>
      <w:pPr>
        <w:spacing w:after="0" w:line="179"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procure third-party insurance policies to cover various operations-related risks including property and general liability, professional liability, directors’ and officers’ liability, workers’ compensation, cybersecurity, technology errors and omissions, ocean/marine cargo, commercial crime and other coverage in amounts and on terms deemed adequate by our management. For certain types of operations-related risks or future risks related to our new and evolving services, we may not be able to, or may choose not to, acquire insurance. In addition, we may not obtain enough insurance to adequately mitigate such operations-related risks or risks related to our new and evolving services, and we may have to pay high premiums, self-insured retentions, or deductibles for the coverage we do obtain. Additionally, if any of our insurance providers becomes insolvent, it would be unable to pay any operations-related claims that we make. Further, some of our agreements with customers may require that we procure certain types of insurance, and if we are unable to obtain and maintain such insurance, we would be in violation of the terms of these customer agreements.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amount of one or more operations-related claims were to exceed our applicable aggregate coverage limits, we would bear the excess, in addition to amounts already incurred in connection with deductibles, or self-insured retentions.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Presto’s Competition, Sales, and Marketing</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We may not be able to compete successfully against current and future competitors.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face competition in various aspects of our business and we expect such competition to intensify in the future, as existing and new competitors, including some of our current partners, introduce new products or enhance existing products that are directly competitive with our products. Our platform combines functionality from numerous product categories, and we may compete against providers in each of these categories, including Touch, Voice and Vision. Our potential new or existing competitors may be able to develop solutions that are better received by customers or may be able to respond more quickly and effectively than we can to new or changing opportunities, technologies, regulations, or customer requirements. If competitors, many of which are much better capitalized than we are, are successful in providing our customers with more attractive products or pricing, our business and results of operation may be harmed.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Competition may intensify as current or future competitors enter into business combinations or alliances or raise additional capital, or as established companies in other market segments expand into our market segments. For instance, current or future competitors could use strong or dominant positions in one or more markets to gain a competitive advantage against us in areas where we operate including by integrating additional or competing platforms or features into products they control. In addition, certain customers may choose to partner with our competitors in a specific geographic market, or choose to engage exclusively with our competitors. Further, our current partners could add features to their products, including POS functionality, limit or terminate the availability of their products on our platform, or directly compete with our products by expanding their product offerings. Current and future competitors may also choose to offer a different pricing model or to undercut prices in an effort to increase their market share. If we cannot compete successfully against current and future competitors, our business, results of operations, and financial condition could be negatively impacted.</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Mergers of or other strategic transactions by our competitors, our customers, or our partners could weaken our competitive position or reduce our revenue.</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one or more of our competitors partners were to consolidate or partner with another one of our competitors the change in landscape could adversely affect our ability to compete effectively. Our competitors may also establish or strengthen cooperative relationships with our third party partners, thereby limiting our ability to promote our platform. In addition, we may lose customers that merge with or are acquired by companies using a competitor’s or an internally developed solution. Disruptions in our business caused by these events could adversely affect our revenue growth and results of operations.</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and our sales efforts require considerable investment of time and expense. If our sales cycle lengthens or we invest substantial resources pursuing unsuccessful sales opportunities, our operating results and growth would be harmed.</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historically incurred significant costs and experienced long sales cycles when selling to customers. In the restaurant brand market segment, the decision to adopt any of our products may require the approval of multiple technical and business decision makers, including security, compliance, operations, finance and treasury, marketing, and IT. In addition, while our customers may more quickly deploy our products on a limited basis, before they will commit to deploying our products at scale, they often require extensive education about our platform and significant customer support time or pilot programs, engage in protracted pricing negotiations and seek to secure development resources. In addition, sales cycles for our customers in general and larger customers in particular, are inherently complex and unpredictable. These complex and resource intensive sales efforts could place additional strain on our development and engineering resources. Further, even after our customers contract to use our platform, they may require extensive integration or deployment resources from us before they become active customers, which have at times extended to multiple quarterly periods following the execution of the agreement. Finally, our customers may choose to develop their own solutions that do not include any or all of our products. They also may demand reductions in pricing as their usage of our platform increases, which could have an adverse impact on our gross margin. If we are unable to increase the revenue that we derive from these customers, then our business, results of operations and financial condition may be adversely affected.</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Presto’s Partners and Other Third Parties</w:t>
      </w:r>
    </w:p>
    <w:p>
      <w:pPr>
        <w:spacing w:after="0" w:line="22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 affected from time to time by design and manufacturing defects that could adversely affect our business and result in harm to our reputation.</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offer products that can be affected by design and manufacturing defects. Defects may exist in components and products that we source from third parties. Any such defects could make our services and products unsafe, create a risk of property damage and personal injury, and subject us to the hazards and uncertainties of product liability claims and related litigation. In addition, from time to time, we may experience outages, service slowdowns, or errors that affect our products. As a result, our products may not perform as anticipated and may not meet customer expectations. There can be no assurance that we will be able to detect and fix all issues and defects in the hardware in our products. Failure to do so could result in widespread technical and performance issues affecting our products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at risk of shortages, price increases, changes, delays or discontinuations of that hardware, particularly in regards to our Touch product, which could disrupt and materially adversely affect our business.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Touch product requires the use of third-party hardware that we sell to customers. Due to such reliance, we are subject to the risk of shortages and long lead times in the supply of hardware needed for our Touch product.</w:t>
      </w:r>
    </w:p>
    <w:p>
      <w:pPr>
        <w:spacing w:after="0" w:line="9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in the past experienced, and may in the future experience, product shortages or delays or other hardware problems, and the availability of such products may be difficult to predict. Additionally, various sources of supply-chain risk, including strikes or shutdowns at delivery ports, civil unrest, hostilities or wars (such as the ongoing invasion of Ukraine by Russia), disruptions or shutdowns caused by health crises such as the COVID-19 pandemic, or loss of or damage to hardware products while they are in transit or storage, could limit the supply of such products. We are reliant on one supplier for our legacy Touch product device and one supplier for our latest-generation Touch device, and in the event of a shortage or supply interruption from those suppliers, or should those suppliers be otherwise unable to supply products to us in the quantities and on the time frames we require, we may not be able to develop alternate sources quickly, cost-effectively, or at all. For additional information on these suppliers and our agreements with them, see the section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Platform and Product Offering</w:t>
      </w:r>
      <w:r>
        <w:rPr>
          <w:rFonts w:ascii="Times New Roman" w:cs="Times New Roman" w:eastAsia="Times New Roman" w:hAnsi="Times New Roman"/>
          <w:sz w:val="18"/>
          <w:szCs w:val="18"/>
          <w:color w:val="auto"/>
        </w:rPr>
        <w:t>.” Any interruption or delay in product supply, any increases in product costs,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inability to obtain this hardware from alternate sources at acceptable prices and within a reasonable amount of time, would harm our ability to provide it to our customers on a timely basis. This could harm our relationships with our customers, prevent us from acquiring new customers, and materially and adversely affect our business.</w:t>
      </w:r>
    </w:p>
    <w:p>
      <w:pPr>
        <w:spacing w:after="0" w:line="12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rely substantially on one third-party to process payments made by guests of our customers, and if we cannot manage risks related to our relationships with this payment processor or any future third-party payment processors, our business, financial condition, and results of operations could be adversely affected.</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currently substantially rely on Fiserv as our third-party payment processor to process payments made by guests of customers on our platform. While we are seeking to develop payment processing relationships with other payment processors, we expect to continue to rely on a limited number of payment processors for the foreseeable future. In the event that Fiserv or any additional third-party payment processors in the future fail to maintain adequate levels of support, experience interrupted operations, do not provide high quality service, discontinue their lines of business, terminate their contractual arrangements with us, or cease or reduce operations, we may suffer additional burden and be required to pursue new third-party relationships, which could materially disrupt our operations and our ability to provide our products and services, and could divert management’s time and resources. In addition, such incidents could result in periods of time during which our platform cannot function properly, and therefore cannot collect payments from customers and their guests, which could adversely affect our relationships with our customers and our business, reputation, brand, financial condition, and results of operations. It would be difficult to replace third-party processors, including Fiserv, in a timely manner if they were unwilling or unable to provide us with these services in the future, and our business and operations could be adversely affected. If these services fail or are of poor quality, our business, reputation, and operating results could be harmed.</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Fiserv or any additional third-party payment processors in the future are subjected to losses, including any fines for reversals, chargebacks, or fraud assessed by Visa, Mastercard and other payment networks (collectively, the “Payment Networks”), that are caused by us or our customers due to failure to comply with the Payment Network rules or applicable law, our third-party payment processor may impose penalties on our customers or restrict our ability to process transactions through the Payment Networks, and we may lose our ability to process payments through one or more Payment Networks. Thus, in the event of a significant loss by Fiserv or any future third-party payment processor, we may be required to expend a large amount of cash promptly upon notification of the occurrence of such an event. A contractual dispute with our processing partner could adversely affect our business, financial condition, or results of operations.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7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Third-party hardware, software and services may not continue to be available on commercially reasonable terms, or at all.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processed on our platform may subject us to regulatory requirements and the rules of payment card networks, and other risks that could be costly and difficult to comply with or that could harm our business.</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payment card networks require us to comply with payment card network operating rules, including special operating rules that apply to us as a “payment service provider” that provides payment processing-related services to merchants and payment processors. The payment card networks set these network rules and have discretion to interpret them and change them. We are also required by our payment processors to comply with payment card network operating rules and we have agreed to reimburse our payment processors for any fines they are assessed by payment card networks as a result of any rule violations by us or our customers. Any changes to or interpretations of the network rules that are inconsistent with the way we and the payment processors and merchants currently operate may require us to make changes to our business that could be costly or difficult to implement. If we fail to make such changes or otherwise resolve the issue with the payment card networks, the networks could fine us, cancel or suspend our registration as a payment service provider, or prohibit us from processing payment cards, which would have an adverse effect on our business, financial condition, and operating results. In addition, violations of the network rules or any failure to maintain good standing with the payment card networks as a payment service provider could impact our ability to facilitate payment card transactions on our platform, increase our costs, or could otherwise harm our business. If we were unable to facilitate payment card transactions on our platform, or were limited in our ability to do so, our business would be materially and adversely affected.</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fail to comply with the rules and regulations adopted by the payment card networks, we would be in breach of our contractual obligations to our payment processors, financial institutions, or partners. Such failure to comply may subject us to fines, penalties, damages, higher transaction fees and civil liability, and could eventually prevent us from processing or accepting payment cards or could lead to a loss of payment processor partners, even if there is no compromise of customer or consumer information. In the event that we are found to be in violation of any of these legal or regulatory requirements, our business, financial condition, and results of operations could be harmed.</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believe the licensing requirements of the Financial Crimes Enforcement Network and state agencies that regulate banks, money service businesses, money transmitters, and other providers of electronic commerce services do not apply to us. One or more governmental agencies may conclude that, under its statutes or regulations, we are engaged in activity requiring licensing or registration. In that event, we may be subject to monetary penalties, adverse publicity, and may be required to cease doing business with residents of those states until we obtain the requisite license or registration.</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upon Amazon Web Services and other infrastructure to operate our platform, and any disruption of or interference with our use of these providers would adversely affect our business, results of operations, and financial condition.</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outsource substantial portions of our cloud infrastructure to Amazon Web Services (“AWS”), and other infrastructure providers. Our customers need to be able to access our platform at any time, without interruption or degradation of performance. Their failure to access our platform could make us liable for service credits or, in more severe cases, contractual breaches. We are, therefore, vulnerable to service interruptions at AWS and other infrastructure providers, which could negatively impact our revenue. We have experienced, and expect that in the future we may experience interruptions, delays and outages in service and availability due to a variety of factors,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including infrastructure changes, human or software errors, website hosting disruptions, and capacity constraints including those related to the complexity and number of order permutations. Capacity constraints could be due to a number of potential causes, including technical failures, natural disasters, fraud, or security attacks. In addition, if an infrastructure provider’s security is compromised, or our modules or platform are unavailable or our customers or their consumers are unable to use our platform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platform become more complex and the usage of our platform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of the above circumstances or events may harm our reputation, cause customers to stop using our platform,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76"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estimates and information contained in this prospectus are based on information from third-party sources, and we do not independently verify the accuracy or completeness of the data contained in such sources or the methodologies for collecting such data. Any real or perceived inaccuracies in such estimates or information may harm our reputation and adversely affect your ability to evaluate our business.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Certain estimates and information contained in this prospectus, including general expectations concerning our industry and the market in which we operate, our market opportunity, and our market size, are based to some extent on information provided by third parties. This information involves a number of assumptions and limitations, and, although we believe the information from such third-party sources is reliable, we have not independently verified the accuracy or completeness of the information contained in such third-party sources or the methodologies for collecting such information or developing such estimates. If there are any limitations or errors with respect to such information, or if such estimates are inaccurate, your ability to evaluate our business and prospects could be impaired and our reputation with investors could suffer.</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example, market opportunity estimates included in this prospectus are subject to significant uncertainty and are based on assumptions and estimates that may not prove to be accurate. Not every customer included in our market opportunity estimates will necessarily purchase any, or all, of the products on our platform, and some or many of those potential customers may choose to use products offered by our competitors. We cannot be certain that any particular number or percentage of the potential customers included in our calculation of our market opportunity will generate any particular level of revenue for us. Even if the market in which we compete meets the size estimates and growth forecasts in this prospectus, our business could fail to grow for a variety of reasons, including competition, customer preferences and the other risks described in this prospectus. Accordingly, the estimates of market opportunity and forecasts of market growth included in this prospectus should not be taken as necessarily indicative of our future growth.</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 and our ability to integrate with third-party applications and software.</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our ability to integrate third-party applications, software, and other offerings into our platform. We anticipate that the growth of our business will continue to depend on third-party relationships including relationships with our POS systems, digital agencies, payment processors, loyalty providers, and other partners. Identifying, negotiating, and documenting relationships with third parties and integrating third-party content and technology requires significant time and resources, and third-party providers may choose to terminate their relationship with us, compete directly against us, enter into exclusive arrangements with our competitors, or make material changes to their businesses, solutions, or services that could be detrimental to our business.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Third-party developers may change the features of their offering of applications and software or alter the terms governing the use of their offerings in a manner that is adverse to us. We may also be unable to maintain our relationships with certain third-parties if we are unable to integrate our platform with their offerings. In addition,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third-parties may refuse to partner with us or limit or restrict our access to their offerings. We may not be able to adapt to the data transfer requirements of third party offerings. If third-party applications or software change such that we do not, or cannot, maintain the compatibility of our platform with these applications and software, or if we fail to ensure there are third-party applications and software that our customers desire to add to their ordering or delivery portals, demand for our platform could decline. If we are unable to maintain technical interoperability, our customers may not be able to effectively integrate our platform with other systems and services they use. If we fail to integrate our platform with new third-party offerings that our customers need to operate their businesses, or to provide the proper support or ease of integration our customers require, we may not be able to offer the functionality that our customers and their consumers expect, which would harm our business.</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third party service providers we integrate with may not perform as expected under our agreements or under their agreements with our customers, we or our customers may in the future have disagreements or disputes with such providers, or such providers may experience reduced growth or change their business models in ways that are disadvantageous to us or our customers. If we lose access to solutions or services from a particular partner, or experience a significant reduction or disruption in the supply of services from a current partner, it could have an adverse effect on our business and operating results.</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transaction revenue is partly dependent on our third-party developer partners to develop and update all entertainment applications. The decisions of developers to remove their applications or change the terms of our commercial relationship could adversely impact our transaction revenue.</w:t>
      </w:r>
    </w:p>
    <w:p>
      <w:pPr>
        <w:spacing w:after="0" w:line="107"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rely on third-party developers to develop the entertainment applications that we host. Accordingly, our business depends on our ability to promote, enter into and maintain successful commercial relationships with such developers. In general, we rely on standard terms of service for third party developers which govern the distribution, operations and fee sharing arrangements for hosting entertainment applications. In some cases, we rely on negotiated agreements with third party developers that modify our standard terms of service. There can be no assurance that the developers that have developed applications will continue to maintain these entertainment applications or be willing to provide new entertainment applications in the future. If we are unable to attract and maintain these third party developer relationships, if the terms and conditions of such commercial relationships become less favorable to us or if a developer decides to remove their entertainment applications, our transaction revenue would suffer.</w:t>
      </w:r>
    </w:p>
    <w:p>
      <w:pPr>
        <w:spacing w:after="0" w:line="11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we rely on our developer partners to manage and maintain their entertainment applications, including updating their entertainment applications to include the latest version. The failure of our developer partners to provide timely and reliable updates could adversely impact our financial condition and results of operations and prospects.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Finally, a small number of entertainment applications and related developers have accounted for a substantial portion of our transaction revenue. If these entertainment applications were to become less popular or be removed and we are unable to identify suitable replacements, our transaction revenue would be would suffer.</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expand our sales capabilities could harm our ability to increase our subscriber base and achieve broader market acceptance of our platforms.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Increasing our customer base and achieving broader market acceptance of our platform will depend, in part, on our ability to effectively expand our sales and marketing operations and activities. We are substantially dependent on our direct sales force to obtain new customers. We plan to continue to expand our direct sales force and to increase the number of our sales professionals. Our ability to achieve significant revenue growth in the future will depend, in part, on our success in recruiting, training and retaining a sufficient number of experienced sales professionals. New hires require significant training and time before they achieve full productivity, particularly in new sales segments and territories. Our recent and planned hires may not become productive as quickly as we expect, and we may be unable to hire or retain sufficient numbers of qualified individuals in the future in the markets where we do business. Because we do not have a long history of expanding our sales force, we cannot predict whether, or to what extent, our sales will increase as we expand our sales force or how long it will take for sales personnel to become productive. If our sales expansion efforts do not generate a significant increase in revenue, our business and future growth prospects could be harmed.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Other Compliance Requirements</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U.S. laws and regulations, many of which are unsettled and still developing, and our or our customers’ failure to comply with such laws and regulations could subject us to claims or otherwise adversely affect our business, financial condition, or results of operations.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restaurant technology industry and the offering of products therein is relatively nascent and rapidly evolving. We are subject to a variety of U.S. laws and regulations. Laws, regulations and standards governing issues such as worker classification, labor and employment, anti-discrimination, online credit card payments, payment and payroll processing, financial services, gratuities, pricing and commissions, text messaging, subscription services, intellectual property, data retention, privacy, data security, consumer protection, background checks, website and mobile application accessibility, wages, and tax are often complex and subject to varying interpretations, in many cases due to their lack of specificity. The scope and interpretation of existing and new laws, and whether they are applicable to us, is often uncertain and may be conflicting, including varying standards and interpretations between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such as federal, state, and local administrative agencies.</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It is also likely that if our business grows and evolves and our services are used in a greater number of geographies, we would become subject to laws and regulations in additional jurisdictions. It is difficult to predict how existing laws would be applied to our business and the new laws to which it may become subject.</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not be able to respond quickly or effectively to regulatory, legislative, and other developments, and these changes may in turn impair our ability to offer our existing or planned products and/or increase our cost of doing business. While we have and will need to continue to invest in the development of policies and procedures in order to comply with the requirements of the evolving, highly regulated regulatory regimes applicable to our business and those of our customers, our compliance programs are relatively nascent and we cannot assure that our compliance programs will prevent the violation of one or more laws or regulations. If we are not able to comply with these laws or regulations or if we become liable under these laws or regulations, including any future laws or obligations that we may not be able to anticipate at this time, we could be adversely affected, and we may be forced to implement new measures to reduce our exposure to this liability. This may require us to expend substantial resources, discontinue certain services or platform features, limit our customer base, or find ways to limit our offerings in particular jurisdictions, which would adversely affect our business. Any failure to comply with applicable laws and regulations could also subject us to claims and other legal and regulatory proceedings, fines, or other penalties, criminal and civil proceedings, forfeiture of significant assets, and other enforcement actions. In addition, the increased attention focused upon liability issues as a result of lawsuits and legislative proposals could adversely affect our reputation or otherwise impact the growth of our business.</w:t>
      </w:r>
    </w:p>
    <w:p>
      <w:pPr>
        <w:spacing w:after="0" w:line="11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Further, from time to time, we leverage third parties to help conduct our businesses. We may be held liable for any corrupt or other illegal activities of these third-party partners and intermediaries, our employees, representatives, contractors, channel partners, and agents, even if we do not explicitly authorize such activities. While we have policies and procedures to address compliance with such laws, we cannot assure you that our employees and agents will not take actions in violation of our policies and applicable law, for which we may be ultimately held responsible.</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Illegal or improper activities of customers or customer noncompliance with laws and regulations governing, among other things, online credit card payments, gratuities, pricing and commissions, data retention, privacy, data security, consumer protection, wages, and tax could expose us to liability and adversely affect our business, brand, financial condition, and results of operations. While we have implemented various measures intended to anticipate, identify, and address the risk of these types of activities, these measures may not adequately address or prevent all illegal or improper activities by these parties from occurring and such conduct could expose us to liability, including through litigation, or adversely affect our brand or reputation.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changes in U.S. and international trade policies that restrict imports or increase tariffs could have a material adverse effect on our results of operations.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depend on third party manufacturers and suppliers located outside of the United States, including in China, in connection with the manufacture of certain of our products and related components. Accordingly, our business is subject to risks associated with international manufacturing. For example, the former Trump Administration imposed significant increases in tariffs on goods imported into the United States from China and other countries. Increased tariffs, including on goods imported from China, or the institution of additional protectionist trade measures could adversely affect our manufacturing costs, and in turn, our business, financial condition, operating results, and cash flows.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customers would have to pay for our products and adversely affect our results of operations.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An increasing number of states have considered or adopted laws that attempt to impose tax collection obligations on out-of-state companies.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mobile devices, and e-commerce is evolving, and unfavorable changes could substantially adversely affect our business, financial condition, and results of operations.</w:t>
      </w:r>
    </w:p>
    <w:p>
      <w:pPr>
        <w:spacing w:after="0" w:line="91"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and state regulations and laws specifically governing the internet, mobile devices, and e-commerce that are constantly evolving. Existing and future laws and regulations, or changes thereto, may impede the growth of the internet, mobile devices, or other online services, increase the cost of providing online services, require us to change our business practices, or raise compliance costs or other costs of doing business. These evolving regulations and laws may cover taxation, tariffs, user privacy, data protection, pricing and commissions, content, copyrights, distribution, social media marketing, advertising practices, sweepstakes, mobile, electronic contracts and other communications, consumer protection, and the characteristics and quality of our services. It is not clear how existing laws governing issues such as property ownership, sales, use, and other taxes, and personal privacy apply to the Internet.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Presto’s Intellectual Property</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intellectual property rights, our competitive position could be impaired and we may lose valuable assets, generate reduced revenue and become subject to costly litigation to protect our rights.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As of June 30, 2022 we had eight registered domain names for websites that we use in our business, such as </w:t>
      </w:r>
      <w:r>
        <w:rPr>
          <w:rFonts w:ascii="Times New Roman" w:cs="Times New Roman" w:eastAsia="Times New Roman" w:hAnsi="Times New Roman"/>
          <w:sz w:val="18"/>
          <w:szCs w:val="18"/>
          <w:i w:val="1"/>
          <w:iCs w:val="1"/>
          <w:color w:val="auto"/>
        </w:rPr>
        <w:t>presto.com</w:t>
      </w:r>
      <w:r>
        <w:rPr>
          <w:rFonts w:ascii="Times New Roman" w:cs="Times New Roman" w:eastAsia="Times New Roman" w:hAnsi="Times New Roman"/>
          <w:sz w:val="18"/>
          <w:szCs w:val="18"/>
          <w:color w:val="auto"/>
        </w:rPr>
        <w:t xml:space="preserve"> and other variations, and no registered trademarks, patents or copyrights. 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existing products, impair the functionality of our products, delay introductions of new products, result in our substituting inferior or more costly technologies into our products, or harm our reputation or brand. In addition, we may be required to license additional technology from third parties to develop and market new products, and we may not be able to license that technology on commercially reasonable terms or at all. Our inability to license this technology could harm our ability to compete.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of intellectual property infringement.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trademarks, copyrights, trade secrets, and other intellectual property rights, and frequent claims and related litigation regarding such intellectual property rights. Third parties have in the past asserted, and may in the future assert, that our platform, technology, methods or practices infringe, misappropriate, or otherwise violate their intellectual property or other proprietary rights. Such claims may be made by our competitors seeking to obtain a competitive advantage or by other parties. Additionally, non-practicing entities purchasing intellectual property assets for the purpose of making claims of infringement may attempt to extract settlements from us. The risk of claims may increase as the number of modules that we offer and competitors in our market increases and overlaps occur. In addition, to the extent that we gain greater visibility and market exposure, we face a higher risk of being the subject of intellectual property infringement claims.</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Any such claims, regardless of merit, that results in litigation could result in substantial expenses, divert the attention of management, cause significant delays in introducing new or enhanced services or technology, materially disrupt the conduct of our business and have a material and adverse effect on our brand, business, financial condition, and results of operations. Although we do not believe that our proprietary technology, processes, and methods have been patented by any third party, it is possible that patents have been issued to third parties that cover all or a portion of our business. As a consequence of any patent or other intellectual property claims, we could be required to pay substantial damages, develop non-infringing technology, enter into royalty-bearing licensing agreements, stop selling or marketing some or all of our products, or re-brand our product. We may also be obligated to indemnify our customers against intellectual property claims, and we may have to pay substantial settlement costs, including royalty payments, in connection with any such claim or litigation and to obtain licenses, or modify applications, which could be costly. If it appears necessary, we may seek to secure license rights to intellectual property that we are alleged to infringe at a significant cost, potentially even if we believe such claims to be without merit. If required licenses cannot be obtained, or if existing licenses are not renewed, litigation could result. Litigation is inherently uncertain and can cause us to expend significant money, time and attention to it, even if we are ultimately successful. Any adverse decision could result in a loss of our proprietary rights, subject us to significant liabilities, require us to seek licenses for alternative technologies from third parties, prevent us from offering all or a portion of our modules and otherwise negatively affect our business and operating results.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platform, which could negatively affect our ability to sell our services or subject us to litigation or other actions.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rely on open source software in our proprietary platform and we expect to continue to rely on open source software in our platform in the future. The terms of certain open source licenses to which we are subject have not been interpreted by U.S., and there is a risk that these licenses could be construed in a manner that could impose unanticipated conditions or restrictions on our ability to commercialize our platforms. Certain open source projects also include other open source software and there is a risk that those dependent open source libraries may be subject to inconsistent licensing terms. This could create further uncertainties as to the governing terms for the open source software. Moreover, we cannot ensure that we have not incorporated and are currently relying on additional open</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source software in our platform in a manner that is inconsistent with the terms of the applicable license or our current policies and procedures. Although we employ open source software license screening measures, if we were to combine our proprietary software platform with open source software in a certain manner we could, under certain open source licenses, be required to release the source code of our proprietary platform, which could allow our customers and competitors to freely use such software solutions without compensation to us.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we could be required to incur significant legal expenses defending against such allegations and could be subject to significant damages, required to comply with onerous conditions or restrictions, required to make our proprietary source code for our platform and any modifications and derivative works developed using such open source software generally available at no cost, purchase a costly license or cease offering the implicated services unless and until we can re-engineer them to avoid use of the open source software in dispute, which could disrupt the business dependent on the affected platforms. This re-engineering process could require significant additional research and development resources, and we may not be able to complete it successfully. In addition to risks related to license requirements, use of certain open source software can lead to greater risks than use of third-party commercial software, as open source licensors generally do not provide warranties or controls on the origin of software.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Some open source projects have known vulnerabilities and architectural instabilities and are provided on an “as-is” basis which, if not properly addressed, could negatively affect the performance of our platform. Any of these risks could be difficult to eliminate or manage, and if not addressed, could have a negative effect on our business, results of operations, and financial condition.</w:t>
      </w:r>
    </w:p>
    <w:p>
      <w:pPr>
        <w:spacing w:after="0" w:line="200" w:lineRule="exact"/>
        <w:rPr>
          <w:sz w:val="20"/>
          <w:szCs w:val="20"/>
          <w:color w:val="auto"/>
        </w:rPr>
      </w:pPr>
    </w:p>
    <w:p>
      <w:pPr>
        <w:spacing w:after="0" w:line="21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software licensed from, and services rendered by, third parties in order to provide our products and run our business.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rely on software licensed from, and services rendered by, third parties in order to provide our products and run our business. Third-party software and services may not continue to be available on commercially reasonable terms, or at all. Any loss of the right to use, or any failures of, third-party software or services could result in delays in our ability to provide our modules or run our business until equivalent software or services are developed by us or, if available, identified, obtained and integrated, which could be costly and time-consuming and may not result in an equivalent product, any of which could cause an adverse effect on our business and operating results. Further, customers could assert claims against us in connection with such service disruption or cease conducting business with us altogether. Even if not successful, a claim brought against us by any of our customers would likely be time-consuming and costly to defend and could seriously damage our reputation and brand, making it harder for us to sell our modules.</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trademarks, or service marks.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have registered domain names that we use in, or are related to, our business, most importantly </w:t>
      </w:r>
      <w:r>
        <w:rPr>
          <w:rFonts w:ascii="Times New Roman" w:cs="Times New Roman" w:eastAsia="Times New Roman" w:hAnsi="Times New Roman"/>
          <w:sz w:val="18"/>
          <w:szCs w:val="18"/>
          <w:i w:val="1"/>
          <w:iCs w:val="1"/>
          <w:color w:val="auto"/>
        </w:rPr>
        <w:t xml:space="preserve">www.presto.com. </w:t>
      </w:r>
      <w:r>
        <w:rPr>
          <w:rFonts w:ascii="Times New Roman" w:cs="Times New Roman" w:eastAsia="Times New Roman" w:hAnsi="Times New Roman"/>
          <w:sz w:val="18"/>
          <w:szCs w:val="18"/>
          <w:color w:val="auto"/>
        </w:rPr>
        <w:t>If we lose the ability to use a domain name, whether due to trademark claims, failure to renew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registration, or any other cause, we may be forced to market our offerings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Operating as Public Company</w:t>
      </w:r>
    </w:p>
    <w:p>
      <w:pPr>
        <w:spacing w:after="0" w:line="22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senior management team has limited experience managing a public company, and regulatory compliance obligations may divert its attention from the day-to-day management of our business.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individuals who now constitute our senior management team have limited experience managing a publicly-traded company, interacting with public company investors and complying with the increasingly complex laws pertaining to public companies. Our senior management team may not successfully or efficiently manage our transition to being a public company subject to significant regulatory oversight and reporting obligations under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spacing w:after="0" w:line="18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 public reporting company, we are subject to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Our management is not required to make such certification for the annual report for the year ending June 30, 2023, but will be required for the annual report for the year ending June 30, 2024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although we could potentially qualify as an “emerging growth company.”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also become inadequate because of changes in our business,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The material weaknesses as of June 30, 2022 that we have identified are listed below.</w:t>
      </w:r>
    </w:p>
    <w:p>
      <w:pPr>
        <w:spacing w:after="0" w:line="116" w:lineRule="exact"/>
        <w:rPr>
          <w:sz w:val="20"/>
          <w:szCs w:val="20"/>
          <w:color w:val="auto"/>
        </w:rPr>
      </w:pPr>
    </w:p>
    <w:p>
      <w:pPr>
        <w:jc w:val="both"/>
        <w:ind w:left="1320" w:right="479" w:hanging="434"/>
        <w:spacing w:after="0" w:line="266"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our financial statement closing process. Specifically, we did not design and maintain effective controls over certain account analyses and account reconciliations.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internal accounting records to adequately support the reporting of certain transactions in our financial statements.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are in the early stages of designing and implementing a plan to remediate the material weaknesses identified. Our plan includes the following actions:</w:t>
      </w:r>
    </w:p>
    <w:p>
      <w:pPr>
        <w:spacing w:after="0" w:line="94" w:lineRule="exact"/>
        <w:rPr>
          <w:sz w:val="20"/>
          <w:szCs w:val="20"/>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risk assessment process supporting the identification of risks facing Presto.</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to enhance our review of significant accounting transactions and other new technical accounting and financial reporting issues and preparing and reviewing accounting memoranda addressing these issues. Hiring additional experienced accounting, financial reporting and internal control personnel and changing roles and responsibilities of our personnel as we transition to being a public company and are required to comply with Section 404 of the Sarbanes Oxley Act of 2002. We have recently hired additional resources and we are engaging with a third-party consulting firm to assist us with our formal internal control plan and provide staff augmentation of our internal audit function.</w:t>
      </w:r>
    </w:p>
    <w:p>
      <w:pPr>
        <w:spacing w:after="0" w:line="11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to enable an effective and timely review of account analyses and account reconciliations.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to enable an accurate and timely review of accounting records that support our accounting processes and maintain documents for internal accounting reviews.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2023.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and our independent registered public accounting firm are not required to perform an evaluation of our internal control over financial reporting for the year ending June 30, 2023, and were not required to perform such evaluation for the years ending June 30, 2022 and 2021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adoption dates of recently issued accounting standards not yet adopted for public companies and exemptions from the requirements to hold a nonbinding advisory vote on executive compensation and obtain stockholder approval of any golden parachute payments not previously approved. We will remain an emerging growth company until the earlier of (i) the last day of the fiscal year (A) following the fifth anniversary of the completion of the VTAQ IPO, (B) in which we have total annual revenue of at least $1.235 billion, or (C) in which we are deemed to be a large accelerated filer, with at least $700 million of equity securities held by non-affiliates as of the end of our second fiscal quarter that year, and (ii) the date on which we have issued more than $1 billion in non-convertible debt during the prior three-year period.</w:t>
      </w:r>
    </w:p>
    <w:p>
      <w:pPr>
        <w:spacing w:after="0" w:line="106"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w:t>
      </w:r>
    </w:p>
    <w:p>
      <w:pPr>
        <w:spacing w:after="0" w:line="3" w:lineRule="exact"/>
        <w:rPr>
          <w:sz w:val="20"/>
          <w:szCs w:val="20"/>
          <w:color w:val="auto"/>
        </w:rPr>
      </w:pPr>
    </w:p>
    <w:p>
      <w:pPr>
        <w:jc w:val="both"/>
        <w:ind w:left="460" w:right="479" w:hanging="6"/>
        <w:spacing w:after="0" w:line="253" w:lineRule="auto"/>
        <w:tabs>
          <w:tab w:leader="none" w:pos="7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 result of the reduced disclosure requirements applicable to us, investor confidence in our company and the market price of our common stock may be adversely affected. We cannot predict if investors will find our common stock less attractive because we may rely on these exemptions. If some investors find our common stock less attractive, there may be a less active trading market for our common stock, and our stock price may be more volatile.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costs as a result of operating as a public company.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the Dodd-Frank Wall Street Reform and Consumer Protection Act of 2010, the listing requirements of Nasdaq and other applicable securities laws and regulations. For example, the Exchange Act requires, among other things, that we file annual, quarterly, and current reports with respect to our business, financial condition, and results of operations. Compliance with these rules and regulations will increase our legal and financial compliance costs, and increase demand on our systems, particularly after we are no longer an emerging growth company. In addition, as a public company, we may be subject to stockholder activism, which can lead to additional substantial costs, distract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management, and impact the manner in which we operate our business in ways we cannot currently anticipate. As a result of disclosure of information in filings required of a public company, our business and financial condition will become more visible, which may result in threatened or actual litigation, including by competitors. We expect these rules and regulations to increase our legal and financial compliance costs and to make some activities more difficult, time-consuming, and costly, although we are currently unable to estimate these costs with any degree of certainty.</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also expect that being a public company and being subject to new rules and regulations will make it more expensive for us to obtain directors and officers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These factors may therefore strain our resources, divert management’s attention, and affect our ability to attract and retain qualified board members and executive officers.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Our Common Stock and Warrants</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Bylaws may discourage, delay or prevent a merger, acquisition or other change in control in our company that stockholders may consider favorable, including transactions in which you might otherwise receive a premium for your shares.</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These provisions could also limit the price that investors might be willing to pay in the future for shares of our common stock, thereby depressing the market price of our common stock. Such provisions including the following:</w:t>
      </w:r>
    </w:p>
    <w:p>
      <w:pPr>
        <w:spacing w:after="0" w:line="95" w:lineRule="exact"/>
        <w:rPr>
          <w:sz w:val="20"/>
          <w:szCs w:val="20"/>
          <w:color w:val="auto"/>
        </w:rPr>
      </w:pPr>
    </w:p>
    <w:p>
      <w:pPr>
        <w:ind w:left="1320" w:right="45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the Presto Board;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Presto Board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two-thirds of the voting power of all of the then-outstanding shares of the voting stock, voting together as a single class, to amend the provisions of our Charter or Bylaws, which may inhibit the ability of an acquiror to effect such amendments to facilitate an unsolicited takeover attempt;</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the Presto Board to elect a director to fill a vacancy occurring in the Presto Board for any cause, which prevents stockholders from being able to fill vacancies on the Presto Board;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the Board, the Chief Executive Officer, the Lead Independent Director or a majority of the Board then in office, which could delay the ability of our stockholders to force consideration of a proposal or to take action, including the removal of directors.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and other provisions in our Charter and Bylaws could make it more difficult for stockholders or potential acquirors to obtain control of the Presto Board of directors or initiate actions that are opposed by the then-current Presto Board, including delay or impede a merger, tender offer or proxy contest involving us. The existence of these provisions could negatively affect the price of our common stock and limit opportunities for you to realize value in a corporate transaction.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Charter will provide that the Court of Chancery of the State of Delaware is the exclusive forum for:</w:t>
      </w:r>
    </w:p>
    <w:p>
      <w:pPr>
        <w:spacing w:after="0" w:line="158" w:lineRule="exact"/>
        <w:rPr>
          <w:sz w:val="20"/>
          <w:szCs w:val="20"/>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Charter or our Bylaws;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Charter provides that the federal district courts of the United States of America will be the exclusive forum for resolving any complaint asserting a cause of action arising under the Securities Act. We note that there is uncertainty as to whether a court would enforce these provisions and that investors cannot waive compliance with the federal securities laws and the rules and regulations thereunder.</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Alternatively, if a court were to find these provisions of our Charter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the Presto Board.</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Provisions in our Charter and Bylaws that will be in effect upon the consummation of the Business Combination could make a merger, tender offer or proxy contest difficult, thereby depressing the trading price of our common stock.</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in the foreseeable future, capital appreciation, if any, would be your sole source of gain.</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such shares for the foreseeable future.</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its securities.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price of our securities may continue to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can vary due to general economic conditions and forecasts, our general business condition and the release of our financial reports.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our securities from trading on its exchange, which could limit investors’ ability to make transactions in its securities and subject us to additional trading restrictions.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Currently, our common stock and public warrants are listed on Nasdaq under the symbols “PRST” and “PRSTW.” In order to continue the list of these securities on the NYSE, we are required to maintain certain financial, distribution and stock price levels. Generally, we are required to maintain a minimum market capitalization (generally $45,000,000) and a minimum number of holders of our securities (generally 450 public holders). If Nasdaq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121" w:lineRule="exact"/>
        <w:rPr>
          <w:sz w:val="20"/>
          <w:szCs w:val="20"/>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Since our common stock and public warrants are listed on Nasdaq, they are covered securities. However, if our securities were no longer listed on Nasdaq, they would not be covered securities and we would be subject to regulation in each state in which we offer our securities.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public warrants may never be in the money, and they may expire worthless.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exercise price for our public warrants is $8.21 per share, and the exercise price for our private placement warrants and financing warrants is $11.50 per share (each as subject to adjustment as described herein), which exceeds the market price of our common stock, which was $2.01 per share based on the closing price of our common stock on Nasdaq on October 19, 2022. If all of our warrants were exercised in full for cash, we would receive an aggregate of approximately $158,498,750. We do not expect warrant holders to exercise their warrants and, therefore, we do not expect to receive cash proceeds from any such exercise, for so long as the warrants remain out-of-the money. There can be no assurance that the public warrants will ever be in the money prior to their expiration and, as such, the warrants may expire worthless.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public warrants prior to their exercise at a time that is disadvantageous to the warrant holders, thereby making the warrants worthless.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redeem outstanding warrants (excluding any private placement warrants held by the Sponsor or its permitted transferees) at any time after they become exercisable and prior to their expiration, at $0.01 per warrant, provided that the last reported sales price (or the closing bid price of our common stock in the event our common stock is not traded on any specific trading day) of our common stock equals or exceeds $16.50 per-share for any 20 trading days within a 30 trading-day period ending on the third business day prior to the date we send proper notice of such redemption, provided that on the date we give notice of redemption and during the entire period thereafter until the time we redeem the warrants, there is an effective registration statement under the Securities Act covering the shares of our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w:t>
      </w:r>
    </w:p>
    <w:p>
      <w:pPr>
        <w:spacing w:after="0" w:line="1" w:lineRule="exact"/>
        <w:rPr>
          <w:sz w:val="20"/>
          <w:szCs w:val="20"/>
          <w:color w:val="auto"/>
        </w:rPr>
      </w:pPr>
    </w:p>
    <w:p>
      <w:pPr>
        <w:ind w:left="460" w:right="479" w:hanging="6"/>
        <w:spacing w:after="0" w:line="260" w:lineRule="auto"/>
        <w:tabs>
          <w:tab w:leader="none" w:pos="8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the nominal redemption price which, at the time the outstanding warrants are called for redemption, will be substantially less than the market value of its warrants.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Warrants to purchase Presto Common Stock became exercisable on September 21, 2022, which could increase the number of shares eligible for future resale in the public market and result in dilution to its stockholders.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of the closing of the Business Combination, there were 24,875,000 warrants outstanding, all of which are became exercisable on the Closing Date. Each public warrant entitles its holder to purchase one share of common stock at an exercise price of $8.21 per share, and each private placement warrant and financing warrant entitles its holder to purchase one share of common stock at an exercise price of $11.50 per share (subject to adjustment as described herein). To the extent warrants are exercised, additional shares of common stock will be issued, which will result in dilution to our then existing stockholders and increase the number of shares eligible for resale in the public market. Sales of substantial numbers of such shares in the public market could depress the market price of our common stock.</w:t>
      </w:r>
    </w:p>
    <w:p>
      <w:pPr>
        <w:spacing w:after="0" w:line="18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sale of all of the securities registered for resale hereunder and future sales of substantial amounts of our securities in the public market (including the shares of common stock issuable upon exercise of our warrants), or the perception that such sales may occur, may cause the market price of our securities to decline significantly.</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shares of common stock offered for resale by the Selling Securityholders in this prospectus represent approximately 63% of total Presto Common Stock outstanding as of October 19, 2022 (assuming no exercise of any of our warrants). The sale of all of these securities in the public market, or the perception that holders of a large number of securities intend to sell their securities, could reduce the market price of our common stock and public warrants.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Although certain of the Selling Securityholders, including former Legacy Presto securityholders, the Sponsor and its permitted transferees, PIPE investors and each other stockholder party to the Registration Rights Agreement, holding substantially all of the shares registered for resale hereunder, are currently prohibited from transferring any of their shares of common stock for a period of 18 months following the Closing Date, once such resale restrictions end, the market price of our common stock could decline if the holders of currently restricted shares sell them or are perceived by the market as intending to sell them.</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Furthermore, as previously disclosed, the Sponsor paid the nominal price of $0.005 per share for the shares of common stock held by it and $1.00 per private placement warrant. The shares held by the Sponsor and its permitted transferees represent approximately 6.3% of the total outstanding shares of the Company’s common stock. As a result of these nominal prices compared with the market prices of our common stock and public warrants, which as of October 19, 2022, were $2.01 per share and $0.11 per warrant, respectively, and the $10 per unit price paid in VTAQ’s initial public offering, the Sponsor is likely to earn a positive return on its investment even if other holders of shares of common stock, including our public stockholders, experience a negative return on their investment in the Company’s securities. As a result, the Sponsor and its permitted transferees may be incentivized to sell its securities when others are not.</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offerings or issuances of equity securities by us may adversely affect the market price of our common stock or otherwise dilute all other stockholders.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Presto Common Stock or offering debt or other equity securities, including commercial paper, medium-term notes, senior or subordinated notes, debt securities convertible into equity or shares of preferred stock. We also expect to grant equity awards to employees, directors, and consultants under our stock incentive plans.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Issuing additional shares of Presto Common Stock or other equity securities or securities convertible into equity may dilute the economic and voting rights of our existing stockholders or reduce the market price of Presto Common Stock or both. Upon liquidation, holders of such debt securities and preferred shares, if issued, and lenders with respect to other borrowings would receive a distribution of our available assets prior to the holders of Presto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our ability to pay dividends to the holders of the Presto Common Stock. Our decision to issue securities in any future offering will depend on market conditions and other factors beyond our control, which may adversely affect the amount, timing and nature of our future offerings.</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trading market for our securities is influenced by the research and reports that industry or securities analysts may publish about us, our business, our market or our competitors.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securities would likely decline. If any analyst who may cover us were to cease coverage of us or fail to regularly publish reports on it, we could lose visibility in the financial markets, which could cause its stock price or trading volume to decline.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management’s attention.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share price of our common stock may be volatile and, in the past, companies that have experienced volatility in the market price of their stock have been subject to securities class action litigation. Presto may be the target of this type of litigation in the future. Litigation of this type could result in substantial costs and diversion of management’s attention and resources, which could have a material adverse effect on its business, financial condition, results of operations and prospects. Any adverse determination in litigation could also subject us to significant liabilities.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All of the shares of common stock and warrants offered by the Selling Securityholders will be sold by them for their respective accounts. We will not receive any of the proceeds from these sales. We will receive up to an aggregate of approximately $158,498,750 from the exercise of all public warrants, financing warrants private placement warrants assuming the exercise in full of all such warrants for cash. Our warrants are currently “out-of-the money,” which means that the trading price of the shares of our common stock underlying our warrants is below the $8.21 and $11.50 exercise prices, as applicable (subject to adjustment as described herein), of the warrants. For so long as the warrants remain “out-of-the money,” we do not expect warrant holders to exercise their warrants and, therefore, we do not expect to receive cash proceeds from any such exercise. See the section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for more information.</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exercise of such warrants for general corporate purposes which may include acquisitions or other strategic investments.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MARKET PRICE OF OUR COMMON STOCK AND WARRANTS AND DIVIDEND INFORMATION</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 Price of Our Common Stock and Warrants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Trading of our common stock and warrants began on Nasdaq on September 22, 2022, under the ticker symbol “PRST” for common stock and “PRSTW” for the warrants. Prior to the Business Combination, the Ventoux Common Stock, Ventoux Warrants, Ventoux Rights and Ventoux Units traded under the ticker symbols “VTAQ”, “VTAQW”, “VTAQR” and “VTAQU”, respectively, on Nasdaq. On October 19, 2022, the closing sale price of our common stock was $2.01 per share and the closing price of our warrants was $0.11 per warrant.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prior to the Business Combination, Ventoux had not paid any dividends on its ordinary shares. The payment of cash dividends in the future will be dependent upon our revenues and earnings, if any, capital requirements and general financial condition. The payment of any cash dividends will be within the discretion of our board of directors. Our ability to declare dividends are limited by the terms of financing and other agreements.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4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unaudited pro forma condensed combined balance sheet of Presto and VTAQ as of June 30, 2022 and the unaudited pro forma condensed combined statements of operations of Presto and VTAQ for the year ended June 30, 2022 have been prepared in accordance with Article 11 of Regulation S-X as amended by the final rule, Release No. 33-10786 “Amendments to Financial Disclosures about Acquired and Disposed Businesses” and presents the combination of the financial information of VTAQ and Presto after giving effect to the Business Combination and related transactions, as described in the accompanying notes.</w:t>
      </w:r>
    </w:p>
    <w:p>
      <w:pPr>
        <w:spacing w:after="0" w:line="11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Presto as of June 30, 2022 and the unaudited pro forma condensed combined statements of operations of Presto for the year ended June 30, 2022 present the combination of the historical financial information of VTAQ and the historical financial information of Presto on a pro forma basis after giving effect to the Business Combination and related transactions, summarized below:</w:t>
      </w:r>
    </w:p>
    <w:p>
      <w:pPr>
        <w:spacing w:after="0" w:line="116" w:lineRule="exact"/>
        <w:rPr>
          <w:sz w:val="20"/>
          <w:szCs w:val="20"/>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Financing;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Presto Preferred Stock having exchanged their preferred shares of Presto for common shares of the combined entity utilizing the conversion ratio stipulated in Presto’s Certificate of Incorporation, which is $0.3017, $9.3597, $3.3215, $0.9959, $0.6711, $6.6080, and $5.2864 for Series A, Series AA-1, Series AA-2, Series B, Series B-1, Series C, and Series C-1, respectively;</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Presto convertible promissory notes having converted such notes into the right to receive common stock of Presto, and concurrently the warrants associated with such notes, as applicable, were cancelled;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conversion of Presto preferred shares and Presto convertible promissory notes into Presto Common Stock, all the Presto common stockholders having exchanged their common shares into shares of New Presto using the Exchange Ratio as of June 30, 2022 of approximately 0.8444 shares of New Presto common stock for each share of Presto Common Stock (the “Exchange Ratio”). The holders of Presto Common Stock also received the contingent right to receive their proportionate share of the Earnout Shares;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Presto vested and unvested stock option awards having automatically converted into vested and unvested stock options of the combined entity using the Exchange Ratio and also having received the contingent right to receive their proportionate share of the Earnout Shares;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Presto vested and unvested RSUs having automatically converted into vested and unvested RSUs of the combined entity using the Exchange Ratio and also received the contingent right to receive their proportionate share of the Earnout Shares;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warrants to purchase shares of Presto being assumed and converted into a newly issued warrant exercisable for common stock of the combined entity using the Exchange Ratio, with the warrant holders receiving the contingent right to receive their proportionate share of the Earnout Shares.</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2022 gives pro forma effect to the Business Combination and related transactions as if they were completed on June 30, 2022. The unaudited pro forma condensed combined statements of operations for the year ended June 30, 2022 gives pro forma effect to the Business Combination and related transactions as if they had occurred on July 1, 2021.</w:t>
      </w:r>
    </w:p>
    <w:p>
      <w:pPr>
        <w:spacing w:after="0" w:line="99"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and should be read in conjunction with the unaudited condensed consolidated interim financial statements of VTAQ for the six months ended June 30, 2022, the audited consolidated financial statements of VTAQ for the fiscal year ended December 31, 2021, and the audited consolidated financial statements of Presto for the fiscal year ended June 30, 2022, as well as the disclosures contained in the sections entitled “Management’s Discussion and Analysis of Financial Condition and Results of Operations of Presto”.</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presented for illustrative purposes only and are not necessarily indicative of the financial condition or results of operations that would have been had the Business Combination and related transactions occurred on the dates indicated. Further, the unaudited pro forma condensed combined financial information also may not be useful in predicting the future financial condition and results of operations of Presto.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20" w:type="dxa"/>
            <w:vAlign w:val="bottom"/>
          </w:tcPr>
          <w:p>
            <w:pPr>
              <w:spacing w:after="0"/>
              <w:rPr>
                <w:sz w:val="13"/>
                <w:szCs w:val="13"/>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VTAQ</w:t>
            </w:r>
          </w:p>
        </w:tc>
        <w:tc>
          <w:tcPr>
            <w:tcW w:w="120" w:type="dxa"/>
            <w:vAlign w:val="bottom"/>
          </w:tcPr>
          <w:p>
            <w:pPr>
              <w:spacing w:after="0"/>
              <w:rPr>
                <w:sz w:val="13"/>
                <w:szCs w:val="13"/>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VTAQ</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VTAQ</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20" w:type="dxa"/>
            <w:vAlign w:val="bottom"/>
          </w:tcPr>
          <w:p>
            <w:pPr>
              <w:spacing w:after="0"/>
              <w:rPr>
                <w:sz w:val="13"/>
                <w:szCs w:val="13"/>
                <w:color w:val="auto"/>
              </w:rPr>
            </w:pPr>
          </w:p>
        </w:tc>
        <w:tc>
          <w:tcPr>
            <w:tcW w:w="7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2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6"/>
                <w:szCs w:val="16"/>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5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(Historical) Adjustments</w:t>
            </w:r>
          </w:p>
        </w:tc>
        <w:tc>
          <w:tcPr>
            <w:tcW w:w="260" w:type="dxa"/>
            <w:vAlign w:val="bottom"/>
          </w:tcPr>
          <w:p>
            <w:pPr>
              <w:spacing w:after="0"/>
              <w:rPr>
                <w:sz w:val="16"/>
                <w:szCs w:val="16"/>
                <w:color w:val="auto"/>
              </w:rPr>
            </w:pPr>
          </w:p>
        </w:tc>
        <w:tc>
          <w:tcPr>
            <w:tcW w:w="16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(Pro Forma) Adjustments</w:t>
            </w:r>
          </w:p>
        </w:tc>
        <w:tc>
          <w:tcPr>
            <w:tcW w:w="320" w:type="dxa"/>
            <w:vAlign w:val="bottom"/>
          </w:tcPr>
          <w:p>
            <w:pPr>
              <w:spacing w:after="0"/>
              <w:rPr>
                <w:sz w:val="16"/>
                <w:szCs w:val="16"/>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and cash</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3,017</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3,017</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406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66,050</w:t>
            </w:r>
          </w:p>
        </w:tc>
        <w:tc>
          <w:tcPr>
            <w:tcW w:w="40" w:type="dxa"/>
            <w:vAlign w:val="bottom"/>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3(a)</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69,473</w:t>
            </w: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equivalents</w:t>
            </w:r>
          </w:p>
        </w:tc>
        <w:tc>
          <w:tcPr>
            <w:tcW w:w="1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Accounts</w:t>
            </w:r>
          </w:p>
        </w:tc>
        <w:tc>
          <w:tcPr>
            <w:tcW w:w="12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1,518</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1,518</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receivable</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869</w:t>
            </w:r>
          </w:p>
        </w:tc>
        <w:tc>
          <w:tcPr>
            <w:tcW w:w="120" w:type="dxa"/>
            <w:vAlign w:val="bottom"/>
          </w:tcPr>
          <w:p>
            <w:pPr>
              <w:spacing w:after="0"/>
              <w:rPr>
                <w:sz w:val="22"/>
                <w:szCs w:val="22"/>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869</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Deferred</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expenses,</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8,443</w:t>
            </w:r>
          </w:p>
        </w:tc>
        <w:tc>
          <w:tcPr>
            <w:tcW w:w="12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8,443</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8,443</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Prepaid and other</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707</w:t>
            </w:r>
          </w:p>
        </w:tc>
        <w:tc>
          <w:tcPr>
            <w:tcW w:w="120" w:type="dxa"/>
            <w:vAlign w:val="bottom"/>
          </w:tcPr>
          <w:p>
            <w:pPr>
              <w:spacing w:after="0"/>
              <w:rPr>
                <w:sz w:val="17"/>
                <w:szCs w:val="17"/>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707</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7"/>
                <w:szCs w:val="17"/>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w:t>
            </w:r>
          </w:p>
        </w:tc>
        <w:tc>
          <w:tcPr>
            <w:tcW w:w="14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20"/>
        </w:trPr>
        <w:tc>
          <w:tcPr>
            <w:tcW w:w="1080" w:type="dxa"/>
            <w:vAlign w:val="bottom"/>
            <w:vMerge w:val="restart"/>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Total current</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14,554</w:t>
            </w:r>
          </w:p>
        </w:tc>
        <w:tc>
          <w:tcPr>
            <w:tcW w:w="120" w:type="dxa"/>
            <w:vAlign w:val="bottom"/>
            <w:shd w:val="clear" w:color="auto" w:fill="CCEEFF"/>
          </w:tcPr>
          <w:p>
            <w:pPr>
              <w:spacing w:after="0"/>
              <w:rPr>
                <w:sz w:val="9"/>
                <w:szCs w:val="9"/>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14,554</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476</w:t>
            </w:r>
          </w:p>
        </w:tc>
        <w:tc>
          <w:tcPr>
            <w:tcW w:w="120" w:type="dxa"/>
            <w:vAlign w:val="bottom"/>
            <w:shd w:val="clear" w:color="auto" w:fill="CCEEFF"/>
          </w:tcPr>
          <w:p>
            <w:pPr>
              <w:spacing w:after="0"/>
              <w:rPr>
                <w:sz w:val="9"/>
                <w:szCs w:val="9"/>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476</w:t>
            </w:r>
          </w:p>
        </w:tc>
        <w:tc>
          <w:tcPr>
            <w:tcW w:w="14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66,050</w:t>
            </w:r>
          </w:p>
        </w:tc>
        <w:tc>
          <w:tcPr>
            <w:tcW w:w="4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81,080</w:t>
            </w:r>
          </w:p>
        </w:tc>
        <w:tc>
          <w:tcPr>
            <w:tcW w:w="0" w:type="dxa"/>
            <w:vAlign w:val="bottom"/>
          </w:tcPr>
          <w:p>
            <w:pPr>
              <w:spacing w:after="0"/>
              <w:rPr>
                <w:sz w:val="1"/>
                <w:szCs w:val="1"/>
                <w:color w:val="auto"/>
              </w:rPr>
            </w:pPr>
          </w:p>
        </w:tc>
      </w:tr>
      <w:tr>
        <w:trPr>
          <w:trHeight w:val="194"/>
        </w:trPr>
        <w:tc>
          <w:tcPr>
            <w:tcW w:w="1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Deferred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expenses, net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of current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2,842</w:t>
            </w:r>
          </w:p>
        </w:tc>
        <w:tc>
          <w:tcPr>
            <w:tcW w:w="12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2,842</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2,842</w:t>
            </w: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portion</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Deferred</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transaction</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5,765</w:t>
            </w:r>
          </w:p>
        </w:tc>
        <w:tc>
          <w:tcPr>
            <w:tcW w:w="12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5,765</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(5,765)</w:t>
            </w:r>
          </w:p>
        </w:tc>
        <w:tc>
          <w:tcPr>
            <w:tcW w:w="40" w:type="dxa"/>
            <w:vAlign w:val="bottom"/>
            <w:shd w:val="clear" w:color="auto" w:fill="CCEEFF"/>
          </w:tcPr>
          <w:p>
            <w:pPr>
              <w:spacing w:after="0"/>
              <w:rPr>
                <w:sz w:val="12"/>
                <w:szCs w:val="12"/>
                <w:color w:val="auto"/>
              </w:rPr>
            </w:pPr>
          </w:p>
        </w:tc>
        <w:tc>
          <w:tcPr>
            <w:tcW w:w="3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Property, plant</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equipment,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1,975</w:t>
            </w:r>
          </w:p>
        </w:tc>
        <w:tc>
          <w:tcPr>
            <w:tcW w:w="12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1,975</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1,975</w:t>
            </w: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Intangible assets,</w:t>
            </w:r>
          </w:p>
        </w:tc>
        <w:tc>
          <w:tcPr>
            <w:tcW w:w="12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4,226</w:t>
            </w:r>
          </w:p>
        </w:tc>
        <w:tc>
          <w:tcPr>
            <w:tcW w:w="12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4,226</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4,226</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long-term</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18</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1,156</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1,156</w:t>
            </w:r>
          </w:p>
        </w:tc>
        <w:tc>
          <w:tcPr>
            <w:tcW w:w="7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Investments held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 Trust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12,832</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(3,304)</w:t>
            </w:r>
          </w:p>
        </w:tc>
        <w:tc>
          <w:tcPr>
            <w:tcW w:w="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9,528</w:t>
            </w:r>
          </w:p>
        </w:tc>
        <w:tc>
          <w:tcPr>
            <w:tcW w:w="14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(9,528)</w:t>
            </w:r>
          </w:p>
        </w:tc>
        <w:tc>
          <w:tcPr>
            <w:tcW w:w="4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08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30,536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30,536</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13,308</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(3,304)</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50,757</w:t>
            </w:r>
          </w:p>
        </w:tc>
        <w:tc>
          <w:tcPr>
            <w:tcW w:w="4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91,297</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bottom w:val="single" w:sz="8" w:color="CCEEFF"/>
            </w:tcBorders>
            <w:vMerge w:val="restart"/>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Liabilities and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Accounts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5,916</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CCEEFF"/>
            </w:tcBorders>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5,916</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(3,202)</w:t>
            </w:r>
          </w:p>
        </w:tc>
        <w:tc>
          <w:tcPr>
            <w:tcW w:w="40" w:type="dxa"/>
            <w:vAlign w:val="bottom"/>
            <w:shd w:val="clear" w:color="auto" w:fill="CCEEFF"/>
          </w:tcPr>
          <w:p>
            <w:pPr>
              <w:spacing w:after="0"/>
              <w:rPr>
                <w:sz w:val="10"/>
                <w:szCs w:val="10"/>
                <w:color w:val="auto"/>
              </w:rPr>
            </w:pPr>
          </w:p>
        </w:tc>
        <w:tc>
          <w:tcPr>
            <w:tcW w:w="3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2,714</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payable</w:t>
            </w: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Accrued</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6,215</w:t>
            </w:r>
          </w:p>
        </w:tc>
        <w:tc>
          <w:tcPr>
            <w:tcW w:w="12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6,215</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1,910</w:t>
            </w:r>
          </w:p>
        </w:tc>
        <w:tc>
          <w:tcPr>
            <w:tcW w:w="12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1,910</w:t>
            </w:r>
          </w:p>
        </w:tc>
        <w:tc>
          <w:tcPr>
            <w:tcW w:w="14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8,106</w:t>
            </w: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Financing</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obligations,</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8,840</w:t>
            </w:r>
          </w:p>
        </w:tc>
        <w:tc>
          <w:tcPr>
            <w:tcW w:w="12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8,840</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8,840</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loans,</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25,443</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25,443</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(25,443)</w:t>
            </w:r>
          </w:p>
        </w:tc>
        <w:tc>
          <w:tcPr>
            <w:tcW w:w="40" w:type="dxa"/>
            <w:vAlign w:val="bottom"/>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Convertible</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promissory</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89,663</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(89,663)</w:t>
            </w:r>
          </w:p>
        </w:tc>
        <w:tc>
          <w:tcPr>
            <w:tcW w:w="20" w:type="dxa"/>
            <w:vAlign w:val="bottom"/>
            <w:shd w:val="clear" w:color="auto" w:fill="CCEEFF"/>
          </w:tcPr>
          <w:p>
            <w:pPr>
              <w:spacing w:after="0"/>
              <w:rPr>
                <w:sz w:val="12"/>
                <w:szCs w:val="12"/>
                <w:color w:val="auto"/>
              </w:rPr>
            </w:pPr>
          </w:p>
        </w:tc>
        <w:tc>
          <w:tcPr>
            <w:tcW w:w="3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(6)</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notes, current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Deferred</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w:t>
            </w: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10,532</w:t>
            </w:r>
          </w:p>
        </w:tc>
        <w:tc>
          <w:tcPr>
            <w:tcW w:w="120" w:type="dxa"/>
            <w:vAlign w:val="bottom"/>
          </w:tcPr>
          <w:p>
            <w:pPr>
              <w:spacing w:after="0"/>
              <w:rPr>
                <w:sz w:val="17"/>
                <w:szCs w:val="17"/>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10,532</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10,532</w:t>
            </w:r>
          </w:p>
        </w:tc>
        <w:tc>
          <w:tcPr>
            <w:tcW w:w="0" w:type="dxa"/>
            <w:vAlign w:val="bottom"/>
          </w:tcPr>
          <w:p>
            <w:pPr>
              <w:spacing w:after="0"/>
              <w:rPr>
                <w:sz w:val="1"/>
                <w:szCs w:val="1"/>
                <w:color w:val="auto"/>
              </w:rPr>
            </w:pPr>
          </w:p>
        </w:tc>
      </w:tr>
      <w:tr>
        <w:trPr>
          <w:trHeight w:val="20"/>
        </w:trPr>
        <w:tc>
          <w:tcPr>
            <w:tcW w:w="1080" w:type="dxa"/>
            <w:vAlign w:val="bottom"/>
            <w:vMerge w:val="restart"/>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Total current</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146,609</w:t>
            </w:r>
          </w:p>
        </w:tc>
        <w:tc>
          <w:tcPr>
            <w:tcW w:w="12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(89,663)</w:t>
            </w:r>
          </w:p>
        </w:tc>
        <w:tc>
          <w:tcPr>
            <w:tcW w:w="20" w:type="dxa"/>
            <w:vAlign w:val="bottom"/>
            <w:shd w:val="clear" w:color="auto" w:fill="CCEEFF"/>
          </w:tcPr>
          <w:p>
            <w:pPr>
              <w:spacing w:after="0"/>
              <w:rPr>
                <w:sz w:val="9"/>
                <w:szCs w:val="9"/>
                <w:color w:val="auto"/>
              </w:rPr>
            </w:pPr>
          </w:p>
        </w:tc>
        <w:tc>
          <w:tcPr>
            <w:tcW w:w="34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56,946</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1,910</w:t>
            </w:r>
          </w:p>
        </w:tc>
        <w:tc>
          <w:tcPr>
            <w:tcW w:w="120" w:type="dxa"/>
            <w:vAlign w:val="bottom"/>
            <w:shd w:val="clear" w:color="auto" w:fill="CCEEFF"/>
          </w:tcPr>
          <w:p>
            <w:pPr>
              <w:spacing w:after="0"/>
              <w:rPr>
                <w:sz w:val="9"/>
                <w:szCs w:val="9"/>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1,910</w:t>
            </w:r>
          </w:p>
        </w:tc>
        <w:tc>
          <w:tcPr>
            <w:tcW w:w="14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(28,664)</w:t>
            </w:r>
          </w:p>
        </w:tc>
        <w:tc>
          <w:tcPr>
            <w:tcW w:w="40" w:type="dxa"/>
            <w:vAlign w:val="bottom"/>
            <w:shd w:val="clear" w:color="auto" w:fill="CCEEFF"/>
          </w:tcPr>
          <w:p>
            <w:pPr>
              <w:spacing w:after="0"/>
              <w:rPr>
                <w:sz w:val="9"/>
                <w:szCs w:val="9"/>
                <w:color w:val="auto"/>
              </w:rPr>
            </w:pPr>
          </w:p>
        </w:tc>
        <w:tc>
          <w:tcPr>
            <w:tcW w:w="320" w:type="dxa"/>
            <w:vAlign w:val="bottom"/>
            <w:tcBorders>
              <w:right w:val="single" w:sz="8" w:color="CCEEFF"/>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30,192</w:t>
            </w:r>
          </w:p>
        </w:tc>
        <w:tc>
          <w:tcPr>
            <w:tcW w:w="0" w:type="dxa"/>
            <w:vAlign w:val="bottom"/>
          </w:tcPr>
          <w:p>
            <w:pPr>
              <w:spacing w:after="0"/>
              <w:rPr>
                <w:sz w:val="1"/>
                <w:szCs w:val="1"/>
                <w:color w:val="auto"/>
              </w:rPr>
            </w:pPr>
          </w:p>
        </w:tc>
      </w:tr>
      <w:tr>
        <w:trPr>
          <w:trHeight w:val="194"/>
        </w:trPr>
        <w:tc>
          <w:tcPr>
            <w:tcW w:w="1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Senior Term</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54,210</w:t>
            </w:r>
          </w:p>
        </w:tc>
        <w:tc>
          <w:tcPr>
            <w:tcW w:w="40" w:type="dxa"/>
            <w:vAlign w:val="bottom"/>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54,210</w:t>
            </w: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Related party</w:t>
            </w:r>
          </w:p>
        </w:tc>
        <w:tc>
          <w:tcPr>
            <w:tcW w:w="12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1,925</w:t>
            </w:r>
          </w:p>
        </w:tc>
        <w:tc>
          <w:tcPr>
            <w:tcW w:w="12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1,925</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(1,925)</w:t>
            </w:r>
          </w:p>
        </w:tc>
        <w:tc>
          <w:tcPr>
            <w:tcW w:w="40" w:type="dxa"/>
            <w:vAlign w:val="bottom"/>
            <w:shd w:val="clear" w:color="auto" w:fill="CCEEFF"/>
          </w:tcPr>
          <w:p>
            <w:pPr>
              <w:spacing w:after="0"/>
              <w:rPr>
                <w:sz w:val="10"/>
                <w:szCs w:val="10"/>
                <w:color w:val="auto"/>
              </w:rPr>
            </w:pPr>
          </w:p>
        </w:tc>
        <w:tc>
          <w:tcPr>
            <w:tcW w:w="3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PPP loan, net of</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current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2,000</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portion</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Earnout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3,845</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(9)</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3,845</w:t>
            </w:r>
          </w:p>
        </w:tc>
        <w:tc>
          <w:tcPr>
            <w:tcW w:w="0" w:type="dxa"/>
            <w:vAlign w:val="bottom"/>
          </w:tcPr>
          <w:p>
            <w:pPr>
              <w:spacing w:after="0"/>
              <w:rPr>
                <w:sz w:val="1"/>
                <w:szCs w:val="1"/>
                <w:color w:val="auto"/>
              </w:rPr>
            </w:pPr>
          </w:p>
        </w:tc>
      </w:tr>
      <w:tr>
        <w:trPr>
          <w:trHeight w:val="126"/>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Warrant</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(3)</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4,149</w:t>
            </w:r>
          </w:p>
        </w:tc>
        <w:tc>
          <w:tcPr>
            <w:tcW w:w="12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4,149</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734</w:t>
            </w:r>
          </w:p>
        </w:tc>
        <w:tc>
          <w:tcPr>
            <w:tcW w:w="120" w:type="dxa"/>
            <w:vAlign w:val="bottom"/>
          </w:tcPr>
          <w:p>
            <w:pPr>
              <w:spacing w:after="0"/>
              <w:rPr>
                <w:sz w:val="12"/>
                <w:szCs w:val="12"/>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734</w:t>
            </w:r>
          </w:p>
        </w:tc>
        <w:tc>
          <w:tcPr>
            <w:tcW w:w="14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1,325</w:t>
            </w:r>
          </w:p>
        </w:tc>
        <w:tc>
          <w:tcPr>
            <w:tcW w:w="4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6,208</w:t>
            </w: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Deferred</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revenue, net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of current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portion</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237</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08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152,995</w:t>
            </w:r>
          </w:p>
        </w:tc>
        <w:tc>
          <w:tcPr>
            <w:tcW w:w="12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(89,663)</w:t>
            </w: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63,332</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4,569</w:t>
            </w:r>
          </w:p>
        </w:tc>
        <w:tc>
          <w:tcPr>
            <w:tcW w:w="120" w:type="dxa"/>
            <w:vAlign w:val="bottom"/>
          </w:tcPr>
          <w:p>
            <w:pPr>
              <w:spacing w:after="0"/>
              <w:rPr>
                <w:sz w:val="22"/>
                <w:szCs w:val="22"/>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4,569</w:t>
            </w:r>
          </w:p>
        </w:tc>
        <w:tc>
          <w:tcPr>
            <w:tcW w:w="14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28,791</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96,692</w:t>
            </w:r>
          </w:p>
        </w:tc>
        <w:tc>
          <w:tcPr>
            <w:tcW w:w="0" w:type="dxa"/>
            <w:vAlign w:val="bottom"/>
          </w:tcPr>
          <w:p>
            <w:pPr>
              <w:spacing w:after="0"/>
              <w:rPr>
                <w:sz w:val="1"/>
                <w:szCs w:val="1"/>
                <w:color w:val="auto"/>
              </w:rPr>
            </w:pPr>
          </w:p>
        </w:tc>
      </w:tr>
      <w:tr>
        <w:trPr>
          <w:trHeight w:val="111"/>
        </w:trPr>
        <w:tc>
          <w:tcPr>
            <w:tcW w:w="108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Common stock</w:t>
            </w:r>
          </w:p>
        </w:tc>
        <w:tc>
          <w:tcPr>
            <w:tcW w:w="1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right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CCEEFF"/>
              <w:right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right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right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right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CCEEFF"/>
              <w:right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subject to</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possible</w:t>
            </w: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12,808</w:t>
            </w: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(3,304)</w:t>
            </w:r>
          </w:p>
        </w:tc>
        <w:tc>
          <w:tcPr>
            <w:tcW w:w="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9,504</w:t>
            </w:r>
          </w:p>
        </w:tc>
        <w:tc>
          <w:tcPr>
            <w:tcW w:w="14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(9,504)</w:t>
            </w:r>
          </w:p>
        </w:tc>
        <w:tc>
          <w:tcPr>
            <w:tcW w:w="40" w:type="dxa"/>
            <w:vAlign w:val="bottom"/>
            <w:shd w:val="clear" w:color="auto" w:fill="CCEEFF"/>
          </w:tcPr>
          <w:p>
            <w:pPr>
              <w:spacing w:after="0"/>
              <w:rPr>
                <w:sz w:val="12"/>
                <w:szCs w:val="12"/>
                <w:color w:val="auto"/>
              </w:rPr>
            </w:pPr>
          </w:p>
        </w:tc>
        <w:tc>
          <w:tcPr>
            <w:tcW w:w="3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(8)</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redemption</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0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Presto Preferred</w:t>
            </w:r>
          </w:p>
        </w:tc>
        <w:tc>
          <w:tcPr>
            <w:tcW w:w="12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w:t>
            </w:r>
          </w:p>
        </w:tc>
        <w:tc>
          <w:tcPr>
            <w:tcW w:w="20" w:type="dxa"/>
            <w:vAlign w:val="bottom"/>
            <w:shd w:val="clear" w:color="auto" w:fill="CCEEFF"/>
          </w:tcPr>
          <w:p>
            <w:pPr>
              <w:spacing w:after="0"/>
              <w:rPr>
                <w:sz w:val="10"/>
                <w:szCs w:val="10"/>
                <w:color w:val="auto"/>
              </w:rPr>
            </w:pPr>
          </w:p>
        </w:tc>
        <w:tc>
          <w:tcPr>
            <w:tcW w:w="34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Combined entity</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7"/>
              </w:rPr>
              <w:t>(6)</w:t>
            </w:r>
          </w:p>
        </w:tc>
        <w:tc>
          <w:tcPr>
            <w:tcW w:w="120" w:type="dxa"/>
            <w:vAlign w:val="bottom"/>
            <w:shd w:val="clear" w:color="auto" w:fill="CCEEFF"/>
          </w:tcPr>
          <w:p>
            <w:pPr>
              <w:spacing w:after="0"/>
              <w:rPr>
                <w:sz w:val="10"/>
                <w:szCs w:val="10"/>
                <w:color w:val="auto"/>
              </w:rPr>
            </w:pPr>
          </w:p>
        </w:tc>
        <w:tc>
          <w:tcPr>
            <w:tcW w:w="7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44</w:t>
            </w:r>
          </w:p>
        </w:tc>
        <w:tc>
          <w:tcPr>
            <w:tcW w:w="7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shd w:val="clear" w:color="auto" w:fill="CCEEFF"/>
          </w:tcPr>
          <w:p>
            <w:pPr>
              <w:spacing w:after="0"/>
              <w:rPr>
                <w:sz w:val="10"/>
                <w:szCs w:val="10"/>
                <w:color w:val="auto"/>
              </w:rPr>
            </w:pPr>
          </w:p>
        </w:tc>
        <w:tc>
          <w:tcPr>
            <w:tcW w:w="320" w:type="dxa"/>
            <w:vAlign w:val="bottom"/>
            <w:tcBorders>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Additional paid-</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78,290</w:t>
            </w:r>
          </w:p>
        </w:tc>
        <w:tc>
          <w:tcPr>
            <w:tcW w:w="12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84,754</w:t>
            </w:r>
          </w:p>
        </w:tc>
        <w:tc>
          <w:tcPr>
            <w:tcW w:w="20" w:type="dxa"/>
            <w:vAlign w:val="bottom"/>
          </w:tcPr>
          <w:p>
            <w:pPr>
              <w:spacing w:after="0"/>
              <w:rPr>
                <w:sz w:val="10"/>
                <w:szCs w:val="10"/>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3(b)</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163,044</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64,921</w:t>
            </w:r>
          </w:p>
        </w:tc>
        <w:tc>
          <w:tcPr>
            <w:tcW w:w="40" w:type="dxa"/>
            <w:vAlign w:val="bottom"/>
          </w:tcPr>
          <w:p>
            <w:pPr>
              <w:spacing w:after="0"/>
              <w:rPr>
                <w:sz w:val="10"/>
                <w:szCs w:val="10"/>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3(c)</w:t>
            </w:r>
          </w:p>
        </w:tc>
        <w:tc>
          <w:tcPr>
            <w:tcW w:w="12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227,965</w:t>
            </w:r>
          </w:p>
        </w:tc>
        <w:tc>
          <w:tcPr>
            <w:tcW w:w="0" w:type="dxa"/>
            <w:vAlign w:val="bottom"/>
          </w:tcPr>
          <w:p>
            <w:pPr>
              <w:spacing w:after="0"/>
              <w:rPr>
                <w:sz w:val="1"/>
                <w:szCs w:val="1"/>
                <w:color w:val="auto"/>
              </w:rPr>
            </w:pPr>
          </w:p>
        </w:tc>
      </w:tr>
      <w:tr>
        <w:trPr>
          <w:trHeight w:val="188"/>
        </w:trPr>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 capital</w:t>
            </w: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52" w:name="page53"/>
    <w:bookmarkEnd w:id="52"/>
    <w:p>
      <w:pPr>
        <w:spacing w:after="0" w:line="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Accumulated</w:t>
      </w:r>
    </w:p>
    <w:p>
      <w:pPr>
        <w:spacing w:after="0" w:line="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deficit</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p>
      <w:pPr>
        <w:ind w:left="640"/>
        <w:spacing w:after="0" w:line="227" w:lineRule="auto"/>
        <w:rPr>
          <w:sz w:val="20"/>
          <w:szCs w:val="20"/>
          <w:color w:val="auto"/>
        </w:rPr>
      </w:pPr>
      <w:r>
        <w:rPr>
          <w:rFonts w:ascii="Times New Roman" w:cs="Times New Roman" w:eastAsia="Times New Roman" w:hAnsi="Times New Roman"/>
          <w:sz w:val="14"/>
          <w:szCs w:val="14"/>
          <w:b w:val="1"/>
          <w:bCs w:val="1"/>
          <w:color w:val="auto"/>
        </w:rPr>
        <w:t>stockholders’</w:t>
      </w:r>
    </w:p>
    <w:p>
      <w:pPr>
        <w:ind w:left="640"/>
        <w:spacing w:after="0" w:line="222" w:lineRule="auto"/>
        <w:rPr>
          <w:sz w:val="20"/>
          <w:szCs w:val="20"/>
          <w:color w:val="auto"/>
        </w:rPr>
      </w:pPr>
      <w:r>
        <w:rPr>
          <w:rFonts w:ascii="Times New Roman" w:cs="Times New Roman" w:eastAsia="Times New Roman" w:hAnsi="Times New Roman"/>
          <w:sz w:val="14"/>
          <w:szCs w:val="14"/>
          <w:b w:val="1"/>
          <w:bCs w:val="1"/>
          <w:color w:val="auto"/>
        </w:rPr>
        <w:t>(deficit)</w:t>
      </w:r>
    </w:p>
    <w:p>
      <w:pPr>
        <w:ind w:left="640"/>
        <w:spacing w:after="0"/>
        <w:rPr>
          <w:sz w:val="20"/>
          <w:szCs w:val="20"/>
          <w:color w:val="auto"/>
        </w:rPr>
      </w:pPr>
      <w:r>
        <w:rPr>
          <w:rFonts w:ascii="Times New Roman" w:cs="Times New Roman" w:eastAsia="Times New Roman" w:hAnsi="Times New Roman"/>
          <w:sz w:val="14"/>
          <w:szCs w:val="14"/>
          <w:b w:val="1"/>
          <w:bCs w:val="1"/>
          <w:color w:val="auto"/>
        </w:rPr>
        <w:t>equity</w:t>
      </w:r>
    </w:p>
    <w:p>
      <w:pPr>
        <w:spacing w:after="0" w:line="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Total liabilities</w:t>
      </w:r>
    </w:p>
    <w:p>
      <w:pPr>
        <w:ind w:left="640"/>
        <w:spacing w:after="0" w:line="227" w:lineRule="auto"/>
        <w:rPr>
          <w:sz w:val="20"/>
          <w:szCs w:val="20"/>
          <w:color w:val="auto"/>
        </w:rPr>
      </w:pPr>
      <w:r>
        <w:rPr>
          <w:rFonts w:ascii="Times New Roman" w:cs="Times New Roman" w:eastAsia="Times New Roman" w:hAnsi="Times New Roman"/>
          <w:sz w:val="14"/>
          <w:szCs w:val="14"/>
          <w:b w:val="1"/>
          <w:bCs w:val="1"/>
          <w:color w:val="auto"/>
        </w:rPr>
        <w:t>and</w:t>
      </w:r>
    </w:p>
    <w:p>
      <w:pPr>
        <w:ind w:left="640"/>
        <w:spacing w:after="0" w:line="222" w:lineRule="auto"/>
        <w:rPr>
          <w:sz w:val="20"/>
          <w:szCs w:val="20"/>
          <w:color w:val="auto"/>
        </w:rPr>
      </w:pPr>
      <w:r>
        <w:rPr>
          <w:rFonts w:ascii="Times New Roman" w:cs="Times New Roman" w:eastAsia="Times New Roman" w:hAnsi="Times New Roman"/>
          <w:sz w:val="14"/>
          <w:szCs w:val="14"/>
          <w:b w:val="1"/>
          <w:bCs w:val="1"/>
          <w:color w:val="auto"/>
        </w:rPr>
        <w:t>stockholders’</w:t>
      </w:r>
    </w:p>
    <w:p>
      <w:pPr>
        <w:ind w:left="640"/>
        <w:spacing w:after="0" w:line="221" w:lineRule="auto"/>
        <w:rPr>
          <w:sz w:val="20"/>
          <w:szCs w:val="20"/>
          <w:color w:val="auto"/>
        </w:rPr>
      </w:pPr>
      <w:r>
        <w:rPr>
          <w:rFonts w:ascii="Times New Roman" w:cs="Times New Roman" w:eastAsia="Times New Roman" w:hAnsi="Times New Roman"/>
          <w:sz w:val="14"/>
          <w:szCs w:val="14"/>
          <w:b w:val="1"/>
          <w:bCs w:val="1"/>
          <w:color w:val="auto"/>
        </w:rPr>
        <w:t>(deficit)</w:t>
      </w:r>
    </w:p>
    <w:p>
      <w:pPr>
        <w:ind w:left="640"/>
        <w:spacing w:after="0"/>
        <w:rPr>
          <w:sz w:val="20"/>
          <w:szCs w:val="20"/>
          <w:color w:val="auto"/>
        </w:rPr>
      </w:pPr>
      <w:r>
        <w:rPr>
          <w:rFonts w:ascii="Times New Roman" w:cs="Times New Roman" w:eastAsia="Times New Roman" w:hAnsi="Times New Roman"/>
          <w:sz w:val="14"/>
          <w:szCs w:val="14"/>
          <w:b w:val="1"/>
          <w:bCs w:val="1"/>
          <w:color w:val="auto"/>
        </w:rPr>
        <w:t>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(200,783)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4,899</w:t>
            </w:r>
          </w:p>
        </w:tc>
        <w:tc>
          <w:tcPr>
            <w:tcW w:w="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(195,884)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(4,069)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(4,069)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(33,412)</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3(d)</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(233,365)</w:t>
            </w:r>
          </w:p>
        </w:tc>
      </w:tr>
      <w:tr>
        <w:trPr>
          <w:trHeight w:val="188"/>
        </w:trPr>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r>
      <w:tr>
        <w:trPr>
          <w:trHeight w:val="609"/>
        </w:trPr>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(122,459)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89,663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(32,796)</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(4,069)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(4,069)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31,470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(5,395)</w:t>
            </w:r>
          </w:p>
        </w:tc>
      </w:tr>
      <w:tr>
        <w:trPr>
          <w:trHeight w:val="20"/>
        </w:trPr>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54"/>
        </w:trPr>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30,536</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30,536</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13,308</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(3,304)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10,004</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50,757</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91,297</w:t>
            </w:r>
          </w:p>
        </w:tc>
        <w:tc>
          <w:tcPr>
            <w:tcW w:w="40" w:type="dxa"/>
            <w:vAlign w:val="bottom"/>
          </w:tcPr>
          <w:p>
            <w:pPr>
              <w:spacing w:after="0"/>
              <w:rPr>
                <w:sz w:val="24"/>
                <w:szCs w:val="24"/>
                <w:color w:val="auto"/>
              </w:rPr>
            </w:pP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-1130935</wp:posOffset>
            </wp:positionV>
            <wp:extent cx="5297805"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97805" cy="214630"/>
                    </a:xfrm>
                    <a:prstGeom prst="rect">
                      <a:avLst/>
                    </a:prstGeom>
                    <a:noFill/>
                  </pic:spPr>
                </pic:pic>
              </a:graphicData>
            </a:graphic>
          </wp:anchor>
        </w:drawing>
        <w:drawing>
          <wp:anchor simplePos="0" relativeHeight="251657728" behindDoc="1" locked="0" layoutInCell="0" allowOverlap="1">
            <wp:simplePos x="0" y="0"/>
            <wp:positionH relativeFrom="column">
              <wp:posOffset>-688975</wp:posOffset>
            </wp:positionH>
            <wp:positionV relativeFrom="paragraph">
              <wp:posOffset>-513715</wp:posOffset>
            </wp:positionV>
            <wp:extent cx="5297805" cy="497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97805" cy="497205"/>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1460" w:space="80"/>
            <w:col w:w="7479"/>
          </w:cols>
          <w:pgMar w:left="1440" w:top="104"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47"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0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220" w:type="dxa"/>
            <w:vAlign w:val="bottom"/>
          </w:tcPr>
          <w:p>
            <w:pPr>
              <w:spacing w:after="0"/>
              <w:rPr>
                <w:sz w:val="13"/>
                <w:szCs w:val="13"/>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VTAQ</w:t>
            </w:r>
          </w:p>
        </w:tc>
        <w:tc>
          <w:tcPr>
            <w:tcW w:w="80" w:type="dxa"/>
            <w:vAlign w:val="bottom"/>
          </w:tcPr>
          <w:p>
            <w:pPr>
              <w:spacing w:after="0"/>
              <w:rPr>
                <w:sz w:val="13"/>
                <w:szCs w:val="13"/>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60" w:type="dxa"/>
            <w:vAlign w:val="bottom"/>
            <w:gridSpan w:val="3"/>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wp:posOffset>
            </wp:positionV>
            <wp:extent cx="514350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88"/>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Revenue, net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30,351</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29,718</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633</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Research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16,778</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development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6,640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9,847</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administrative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infrequent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repairs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582</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5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33,847</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(33,214)</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5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Gain (loss) on change in</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fair value of warrants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and convertible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(20,528)</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18,932</w:t>
            </w:r>
          </w:p>
        </w:tc>
        <w:tc>
          <w:tcPr>
            <w:tcW w:w="1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promissory notes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2,632</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(3,377)</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(5,434)</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5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Loss before income</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(56,544)</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15,555</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(230)</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(56,314)</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outstanding, basic</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5,325,122</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diluted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 and diluted net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income per common</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(10.58)</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1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30,351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29,718</w:t>
            </w: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16,778</w:t>
            </w: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7,861</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6,640</w:t>
            </w: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2,897</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9,847</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17,824</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(4)(5)(13)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33,847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28,582</w:t>
            </w: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64,767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(33,214)</w:t>
            </w:r>
          </w:p>
        </w:tc>
        <w:tc>
          <w:tcPr>
            <w:tcW w:w="1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(2,388)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(28,582)</w:t>
            </w: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(64,134)</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1,936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(4,349)</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0" w:type="dxa"/>
            <w:vAlign w:val="bottom"/>
          </w:tcPr>
          <w:p>
            <w:pPr>
              <w:spacing w:after="0"/>
              <w:rPr>
                <w:sz w:val="1"/>
                <w:szCs w:val="1"/>
                <w:color w:val="auto"/>
              </w:rPr>
            </w:pPr>
          </w:p>
        </w:tc>
      </w:tr>
      <w:tr>
        <w:trPr>
          <w:trHeight w:val="338"/>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(8,234)</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(8,787)</w:t>
            </w:r>
          </w:p>
        </w:tc>
        <w:tc>
          <w:tcPr>
            <w:tcW w:w="0" w:type="dxa"/>
            <w:vAlign w:val="bottom"/>
          </w:tcPr>
          <w:p>
            <w:pPr>
              <w:spacing w:after="0"/>
              <w:rPr>
                <w:sz w:val="1"/>
                <w:szCs w:val="1"/>
                <w:color w:val="auto"/>
              </w:rPr>
            </w:pPr>
          </w:p>
        </w:tc>
      </w:tr>
      <w:tr>
        <w:trPr>
          <w:trHeight w:val="302"/>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(5,434)</w:t>
            </w: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(6,064)</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(11,498)</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(40,989)</w:t>
            </w: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(47,229)</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(88.428)</w:t>
            </w:r>
          </w:p>
        </w:tc>
        <w:tc>
          <w:tcPr>
            <w:tcW w:w="0" w:type="dxa"/>
            <w:vAlign w:val="bottom"/>
          </w:tcPr>
          <w:p>
            <w:pPr>
              <w:spacing w:after="0"/>
              <w:rPr>
                <w:sz w:val="1"/>
                <w:szCs w:val="1"/>
                <w:color w:val="auto"/>
              </w:rPr>
            </w:pPr>
          </w:p>
        </w:tc>
      </w:tr>
      <w:tr>
        <w:trPr>
          <w:trHeight w:val="356"/>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(40,759)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(47,229)</w:t>
            </w:r>
          </w:p>
        </w:tc>
        <w:tc>
          <w:tcPr>
            <w:tcW w:w="76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(88,198)</w:t>
            </w: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21,562,500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51,308,910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-2378075</wp:posOffset>
            </wp:positionH>
            <wp:positionV relativeFrom="paragraph">
              <wp:posOffset>-3370580</wp:posOffset>
            </wp:positionV>
            <wp:extent cx="514350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-2976245</wp:posOffset>
            </wp:positionV>
            <wp:extent cx="514350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-2581910</wp:posOffset>
            </wp:positionV>
            <wp:extent cx="5143500" cy="214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-2187575</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-1604645</wp:posOffset>
            </wp:positionV>
            <wp:extent cx="5143500"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-1210310</wp:posOffset>
            </wp:positionV>
            <wp:extent cx="514350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-781685</wp:posOffset>
            </wp:positionV>
            <wp:extent cx="514350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-2378075</wp:posOffset>
            </wp:positionH>
            <wp:positionV relativeFrom="paragraph">
              <wp:posOffset>-293370</wp:posOffset>
            </wp:positionV>
            <wp:extent cx="5143500" cy="308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30861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4100" w:space="100"/>
            <w:col w:w="48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the Business Combination (in thousands, except share and per share data)</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November 10, 2021, Ventoux CCM Acquisition Corp. (“VTAQ”) and its subsidiaries, and E La Carte, Inc. (“Presto”) entered into an Agreement and Plan of Merger, as amended on April 1, 2022 and July 25, 2022 (the “Merger Agreement”), which, among other transactions, was consummated on September 21, 2022. In connection with the closing of the Business Combination, VTAQ changed its name to “Presto Automation Inc.” (also referred to herein as “New Presto”). Subject to the terms and conditions set forth in the Merger Agreement, VTAQ agreed to pay (1) Presto stockholders aggregate consideration of 52,500,000 shares or $525.0 million based on an assumed stock price of $10 per share of Common Stock of New Presto, or the Exchange Ratio for each share of Presto Common Stock and (2) up to 15,000,000 of EarnOut Shares, as contingent consideration.</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of the Merger (the “Effective Time”), VTAQ issued an aggregate of 7,143,687 shares of New Presto Common Stock to certain investors (the “Equity PIPE Investors”) for aggregate proceeds of $55.5 million to New Presto (the “PIPE Investment”). In connection with the PIPE Investment, Ventoux Acquisition Holdings LLC and Chardan International Investments, LLC (together, the “Sponsors”) transferred an aggregate of 456,296 shares of VTAQ Common Stock to certain of the Equity PIPE Investors. The PIPE Investment included a $50.0 million investment from an entity affiliated with Cleveland Avenue, LLC (“Cleveland Avenue”). The investment by Cleveland Avenue takes into account (i) the subscription of 6,593,687 shares of New Presto Common Stock for an aggregate purchase price of $50 million and (ii) the transfer of 406,313 shares of VTAQ Common Stock by the Sponsors to Cleveland Avenue for nominal consideration. As a result, at the closing of the Business Combination, the exercise price of VTAQ’s public warrants was reduced from $11.50 per share to $8.21 per share pursuant to the terms of VTAQ’s warrant agreement, dated as of December 23, 2020 (the “Existing Warrant Agreement”).</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closing of the Business Combination, pursuant to the Amended and Restated Sponsor Support Agreement, dated as of July 25, 2022, between the Sponsors, certain directors, executive officers, and affiliates of the Sponsors (“Insiders”), VTAQ, and Legacy Presto (the “Sponsor Support Agreement”), the Sponsors and Insiders (and any permitted transferees of the Sponsors and Insiders pursuant to the terms of the Sponsor Support Agreement) (i) subjected an aggregate of 444,500 shares of VTAQ Common Stock held by them to earnout, which shares will be forfeited if certain price-based vesting conditions are not met during the five-year period following the Closing, (ii) subjected all of the shares of VTAQ Common Stock held by them to an 18-month lock-up, (iii) forfeited an aggregate of 550,000 of their VTAQ warrants (the “Private Warrants”), and</w:t>
      </w:r>
    </w:p>
    <w:p>
      <w:pPr>
        <w:spacing w:after="0" w:line="1" w:lineRule="exact"/>
        <w:rPr>
          <w:sz w:val="20"/>
          <w:szCs w:val="20"/>
          <w:color w:val="auto"/>
        </w:rPr>
      </w:pPr>
    </w:p>
    <w:p>
      <w:pPr>
        <w:ind w:left="460" w:right="479" w:hanging="6"/>
        <w:spacing w:after="0" w:line="260" w:lineRule="auto"/>
        <w:tabs>
          <w:tab w:leader="none" w:pos="7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any adjustment to the exercise price of the Private Warrants held by them pursuant to the Existing Warrant Agreement.</w:t>
      </w:r>
    </w:p>
    <w:p>
      <w:pPr>
        <w:spacing w:after="0" w:line="1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September 21, 2022, in connection with the consummation of the Business Combination:</w:t>
      </w:r>
    </w:p>
    <w:p>
      <w:pPr>
        <w:spacing w:after="0" w:line="158" w:lineRule="exact"/>
        <w:rPr>
          <w:sz w:val="20"/>
          <w:szCs w:val="20"/>
          <w:color w:val="auto"/>
        </w:rPr>
      </w:pPr>
    </w:p>
    <w:p>
      <w:pPr>
        <w:jc w:val="both"/>
        <w:ind w:left="1320" w:right="459" w:hanging="434"/>
        <w:spacing w:after="0" w:line="253"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Presto entered into a Credit Agreement (the “Credit Agreement”) with Metropolitan Partners Group Administration, LLC, as administrative, payment and collateral agent (the “Agent”), the lenders (“Lenders”) and other parties party thereto, pursuant to which the Lenders extended term loans having an aggregate original principal amount of $55.0 million (the “Term Loans”). The Term Loans were borrowed in full at closing. Amounts outstanding under the Credit Agreement will incur interest at the rate of 15% per annum. The Term Loans mature on March 21, 2025. In connection with the Term Loans, New Presto also agreed to issue the Lenders under the Term Loans 1,500,000 New Presto Warrants, and the Sponsors agreed to transfer the Lenders an aggregate of 600,000 founder shares. The New Presto Warrants have substantially similar terms to the Sponsors’ warrants.</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entered into an Amended and Restated Warrant Agreement (“Amended and Restated Warrant Agreement”) to reflect the issuance of the Metropolitan Warrants, to reflect the transfer of 500,000 Private Warrants (the “Silver Rock Warrants”) to affiliates of Silver Rock Capital Partners LP (“Silver Rock”) and provide that 550,000 of the Private Warrants were cancelled as of the Closing. Each of the Metropolitan Warrants, the Private Warrants and the Silver Rock Warrants is exercisable for one share of New Presto Common Stock at an exercise price of $11.50 per share.</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and Chardan Capital Markets, LLC (“Chardan”) waived certain obligations of New Presto to Chardan in connection with the following agreements: (i) the Business Combination Marketing Agreement, dated December 23, 2020, by and between VTAQ and Chardan, (ii) the Administrative Services Agreement, dated December 23, 2020, by and between VTAQ and Chardan and (iii) the Placement Agency Agreement,</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dated August 9, 2021, by and between VTAQ and Chardan. In exchange for such waiver, New Presto agreed to pay Chardan approximately $3.2 million, issue an affiliate of Chardan 350,000 shares of New Presto Common Stock and grant Chardan certain rights of first refusal in connection with future financings of New Presto.</w:t>
      </w:r>
    </w:p>
    <w:p>
      <w:pPr>
        <w:spacing w:after="0" w:line="112" w:lineRule="exact"/>
        <w:rPr>
          <w:sz w:val="20"/>
          <w:szCs w:val="20"/>
          <w:color w:val="auto"/>
        </w:rPr>
      </w:pPr>
    </w:p>
    <w:p>
      <w:pPr>
        <w:jc w:val="both"/>
        <w:ind w:left="1320" w:right="459" w:hanging="434"/>
        <w:spacing w:after="0" w:line="254"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Legacy Presto and affiliates of Silver Rock agreed to terminate that certain Amended and Restated Convertible Note Subscription Agreement, dated July 25, 2022 (the “Convertible Note Subscription Agreement”), pursuant to a Termination Agreement by and among VTAQ, Legacy Presto and Silver Rock (the “Termination Agreement”). Pursuant to the Termination Agreement, Silver Rock agreed to terminate the Convertible Note Subscription Agreement in exchange for 400,000 shares of common stock of Legacy Presto which were converted into 322,868 shares of New Presto Common Stock pursuant to the terms of the Merger Agreement, 500,000 warrants held by the Sponsors (which will continue to be entitled to registration rights pursuant to the Registration Right Agreement) and the payment of certain expenses of Silver Rock.</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 the Effective Time of the Merger:</w:t>
      </w:r>
    </w:p>
    <w:p>
      <w:pPr>
        <w:spacing w:after="0" w:line="144" w:lineRule="exact"/>
        <w:rPr>
          <w:sz w:val="20"/>
          <w:szCs w:val="20"/>
          <w:color w:val="auto"/>
        </w:rPr>
      </w:pPr>
    </w:p>
    <w:p>
      <w:pPr>
        <w:jc w:val="both"/>
        <w:ind w:left="1320" w:right="479" w:hanging="434"/>
        <w:spacing w:after="0" w:line="261"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Presto Series A preferred stock, Series AA-1 preferred stock, Series AA-2 preferred stock, Series B preferred stock, Series B-1 preferred stock, Series C preferred stock and Series C-1 preferred stock issued and outstanding immediately prior to the Effective Time automatically converted into a share of Presto Common Stock;</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Presto Warrants then outstanding and not exercised pursuant to its terms were assumed and converted into a warrant to purchase a number of shares of New Presto Common Stock, and providing for a contingent right to receive the applicable pro rata portion of EarnOut shares. Each exchanged warrant is exercisable for New Presto Common Stock equal to the product of the number of shares of Presto Common Stock issuable immediately prior to the Business Combination and the Exchange Ratio at an exercise price per share equal to the exercise price per share of the warrant immediately prior to the Business Combination divided by the Exchange Ratio;</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Presto convertible promissory notes converted such notes into the right to receive common stock of Presto, and concurrently the warrants associated with such notes, as applicable, were cancelled;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preferred stock and convertible note conversions, each share of Presto Common Stock that was issued and outstanding immediately prior to the Effective Time converted into the right to receive the number of shares of Common Stock of New Presto equal to the Exchange Ratio.</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3,256,204 Founder Shares into 3,256,204 shares of Common Stock of New Presto in connection with the Business Combination in accordance with terms of the Merger Agreement;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each outstanding Presto Option, whether vested or unvested, was assumed and converted into a vested or unvested option, respectively (a “Company Option”) with respect to a number of shares of Common Stock of New Presto equal to the number of shares of Presto Common Stock subject to such Presto Options immediately prior to the Effective Time multiplied by the Exchange Ratio, and rounded down to the nearest whole share and at an exercise price per share of Common Stock of New Presto equal to the exercise price per share of Presto Common Stock subject to such Presto Option divided by the Exchange Ratio, and rounded up to the nearest whole cent; provided that the exercise price and the number of shares of Common Stock of New Presto subject to the Company Option shall be determined in a manner consistent with the requirements of Section 409A of the Code;</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Effective Time, each outstanding Presto RSU, whether vested or unvested, was assumed and converted into a vested or unvested RSU, respectively (a “Company RSU”) with respect to a number of shares of Common Stock of New Presto equal to the number of shares of Presto Common Stock subject to such Presto RSU immediately prior to the Effective Time multiplied by the Exchange Ratio, and rounded down to the nearest whole share and at an exercise price per share of Common Stock of New Presto equal to the exercise price per share of Presto Common Stock subject to such Presto RSU divided by the Exchange Ratio, and rounded up to the nearest whole cent;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5"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from and after the Closing until the third anniversary of the Closing the closing share price of the Common Stock of New Presto is greater than $12.50 over any twenty (20) trading days within any 30 trading day period (the “First Trading Price Threshold”), a total of 7,500,000 newly issued Earnout Shares will be payable to Presto stock and equity award holders as of immediately prior to the Effective Time based on the proportion of each such Presto Common Stock holder’s shares of Presto Common Stock relative to the aggregate of all shares of Presto Common Stock held by all such Presto Stockholders in the aggregate;</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from and after the Closing until the fifth anniversary of the Closing the closing share price of the Common Stock of New Presto is greater than $15.00 over any twenty (20) trading days within any 30 trading day period (the “Second Trading Price Threshold”), a total of 7,500,000 newly issued Earnout Shares will be payable to Presto stock and equity award holders as of immediately prior to the Effective Time based on the proportion of each such Presto Common Stock and Presto Restricted Stock Award holder’s shares of Presto Common Stock relative to the aggregate of all shares of Presto Common Stock held by such Presto Stockholders in the aggregate;</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Earnout Shares payable to holders of unvested Exchanged Options shall be subject to terms and conditions that are substantially similar to those that applied to the award of such Company Option immediately prior to the Effective Time; 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 Earnout Shares payable to holders of Exchanged Warrants shall be subject to terms and conditions that are substantially similar to those that applied to the award of such Company Warrant immediately prior to the Effective Time.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summarizes consideration:</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transferred at closing</w:t>
            </w:r>
            <w:r>
              <w:rPr>
                <w:rFonts w:ascii="Times New Roman" w:cs="Times New Roman" w:eastAsia="Times New Roman" w:hAnsi="Times New Roman"/>
                <w:sz w:val="20"/>
                <w:szCs w:val="20"/>
                <w:color w:val="auto"/>
                <w:vertAlign w:val="superscript"/>
              </w:rPr>
              <w:t>(1)(2)</w:t>
            </w: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r>
      <w:tr>
        <w:trPr>
          <w:trHeight w:val="2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per share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0"/>
                <w:szCs w:val="20"/>
                <w:color w:val="auto"/>
                <w:vertAlign w:val="superscript"/>
              </w:rPr>
              <w:t>(3)</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June 30, 2022, amount represents the number of shares transferred to Presto Equity Holders using the Exchange Ratio upon consummation of the Business Combination include (i) 29.4 million shares of Common Stock of New Presto, (ii) 10.1 million shares of Common Stock of New Presto issued for Presto Common Stock issued for net exercised warrants, unexercised warrants and convertible notes, at the Effective Time; and (iii) 13.0 million shares of Common Stock of New Presto issued as vested and unvested options for Presto options; and excludes 15.0 million Earnout Shares as the trading price thresholds have not been met</w:t>
      </w:r>
    </w:p>
    <w:p>
      <w:pPr>
        <w:spacing w:after="0" w:line="3"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New Presto shares presently transferred to Presto Equity Holders upon consummation of the Business Combination.</w:t>
      </w:r>
    </w:p>
    <w:p>
      <w:pPr>
        <w:ind w:left="880" w:hanging="426"/>
        <w:spacing w:after="0"/>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consideration is calculated using a $10 reference price.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adjusted to include transaction accounting adjustments, which reflect the application of the accounting required by U.S. GAAP, linking the effects of the Business Combination, described above, to the VTAQ and Presto historical financial statements.</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following methods of accounting in accordance with U.S. GAAP. Notwithstanding the legal form of the Business Combination pursuant to the Merger Agreement, the Business Combination will be accounted for as a reverse recapitalization in accordance with U.S. GAAP. Under this method of accounting, VTAQ is treated as the acquired company and Presto is treated as the acquirer for financial statement reporting purposes. Presto has been determined to be the accounting acquirer based on evaluation of the following facts and circumstances:</w:t>
      </w:r>
    </w:p>
    <w:p>
      <w:pPr>
        <w:spacing w:after="0" w:line="106" w:lineRule="exact"/>
        <w:rPr>
          <w:sz w:val="20"/>
          <w:szCs w:val="20"/>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stockholders of Presto hold a majority of the voting rights in New Presto;</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the ability to appoint the board of directors and the management of New Presto;</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of Presto comprise the senior management of New Presto;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Presto comprise the ongoing operations of New Presto.</w:t>
      </w:r>
    </w:p>
    <w:p>
      <w:pPr>
        <w:sectPr>
          <w:pgSz w:w="11900" w:h="16838" w:orient="portrait"/>
          <w:cols w:equalWidth="0" w:num="1">
            <w:col w:w="9019"/>
          </w:cols>
          <w:pgMar w:left="1440" w:top="270" w:right="1440"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Accordingly, for accounting purposes, the consolidated financial statements of New Presto represent a continuation of the consolidated financial statements of Presto with the acquisition being treated as the equivalent of Presto issuing stock for the net assets of VTAQ, accompanied by a recapitalization. The net assets of VTAQ are stated at historical cost, with no goodwill or other intangible assets recorded.</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pro forma common stock shares outstanding at June 30, 2022:</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0" w:type="dxa"/>
            <w:vAlign w:val="bottom"/>
          </w:tcPr>
          <w:p>
            <w:pPr>
              <w:spacing w:after="0"/>
              <w:rPr>
                <w:sz w:val="1"/>
                <w:szCs w:val="1"/>
                <w:color w:val="auto"/>
              </w:rPr>
            </w:pPr>
          </w:p>
        </w:tc>
      </w:tr>
      <w:tr>
        <w:trPr>
          <w:trHeight w:val="212"/>
        </w:trPr>
        <w:tc>
          <w:tcPr>
            <w:tcW w:w="55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Presto Stockholders</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37,444,082</w:t>
            </w:r>
          </w:p>
        </w:tc>
        <w:tc>
          <w:tcPr>
            <w:tcW w:w="10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8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VTAQ Sponsors and Initial Stockholders</w:t>
            </w:r>
            <w:r>
              <w:rPr>
                <w:rFonts w:ascii="Times New Roman" w:cs="Times New Roman" w:eastAsia="Times New Roman" w:hAnsi="Times New Roman"/>
                <w:sz w:val="20"/>
                <w:szCs w:val="20"/>
                <w:color w:val="auto"/>
                <w:vertAlign w:val="superscript"/>
              </w:rPr>
              <w:t>(2)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3,256,204</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VTAQ Public Stockholders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931,141</w:t>
            </w: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VTAQ Rightholders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862,500</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PIPE Investors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7,599,983</w:t>
            </w: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Investors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 Investors</w:t>
            </w:r>
            <w:r>
              <w:rPr>
                <w:rFonts w:ascii="Times New Roman" w:cs="Times New Roman" w:eastAsia="Times New Roman" w:hAnsi="Times New Roman"/>
                <w:sz w:val="20"/>
                <w:szCs w:val="20"/>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615,000</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43"/>
        </w:trPr>
        <w:tc>
          <w:tcPr>
            <w:tcW w:w="5560" w:type="dxa"/>
            <w:vAlign w:val="bottom"/>
            <w:vMerge w:val="continue"/>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51,308,910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outstanding shares held by Presto Equity Holders excludes 15,000,000 Earnout Shares. The Earnout Shares would further increase the ownership percentages of Presto Equity Holders in Common Stock of New Presto and would dilute the ownership of all stockholders of VTAQ Common Stock, as further discussed below. The number also excludes Presto stock options and warrants not exercised as these are exchanged into options and warrants of the new combined entity and are not representative of outstanding shares;</w:t>
      </w:r>
    </w:p>
    <w:p>
      <w:pPr>
        <w:jc w:val="both"/>
        <w:ind w:left="880" w:right="459" w:hanging="426"/>
        <w:spacing w:after="0" w:line="288"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the Founder Shares allocable to the VTAQ Sponsors and Initial Stockholders at closing. In conjunction with the PIPE Investment, certain Founders Shares were transferred by the Sponsors to the investing party.</w:t>
      </w:r>
    </w:p>
    <w:p>
      <w:pPr>
        <w:spacing w:after="0" w:line="165"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260,000 shares of New Presto used to pay $2.6 million of transaction expenses of Legacy Presto and 355,000 shares of New Presto used to pay $3.6 million of transaction expenses of VTAQ.</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Earnout Shares payable to Shareholders, Option holders and Warrant holders of legacy Presto</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After the consummation of the Business Combination, holders of Presto capital stock, immediately prior to consummation of the Business Combination have the contingent right to receive Earnout Shares. The aggregate number of Earnout Shares is 15,000,000 shares of Common Stock of New Presto. The Earnout Shares may be issued following the Business Combination, as follows:</w:t>
      </w:r>
    </w:p>
    <w:p>
      <w:pPr>
        <w:spacing w:after="0" w:line="99" w:lineRule="exact"/>
        <w:rPr>
          <w:sz w:val="20"/>
          <w:szCs w:val="20"/>
          <w:color w:val="auto"/>
        </w:rPr>
      </w:pPr>
    </w:p>
    <w:p>
      <w:pPr>
        <w:jc w:val="both"/>
        <w:ind w:left="1320" w:right="459" w:hanging="434"/>
        <w:spacing w:after="0" w:line="261" w:lineRule="auto"/>
        <w:tabs>
          <w:tab w:leader="none" w:pos="13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of Common Stock of New Presto if the closing share price of a share of Common Stock of New Presto is equal to or exceeds $12.50 for 20 trading days in any 30 consecutive trading day period at any time during the period beginning on the first anniversary of the closing and ending on the fourth anniversary of the closing,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of Common Stock of New Presto if the closing share price of a share of Common Stock of New Presto is equal to or exceeds $15.00 for 20 trading days in any 30 consecutive trading day period at any time during the period beginning on the first anniversary of the closing and ending on the fifth anniversary of the closing.</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has preliminarily concluded that the Earnout Shares issuable to holders of Presto capital stock are accounted for as equity-linked instruments under ASC 815-40, and that the Earnout Shares issuable to holders of Presto capital stock subject to stock options are accounted for as share-based compensation under ASC 718.</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 subject to vesting</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At the Closing, 444,500 Founders Shares (the “Unvested Founders Shares”) will be subject to vesting and forfeiture provisions: (i) the first 25% of such Unvested Founder Shares owned by the Sponsors shall vest at such time as a $12.00 Stock Price Level is achieved on or before the date that is five years after the Closing Date, (ii) the next 25% of such Unvested Founder Shares owned by the Sponsors shall vest at such time as a $15.00 Stock Price Level is achieved on or before the date that is five years after the Closing Date., (iii) the next 25% of such Unvested Founder</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Shares owned by the Sponsors shall vest at such time as a $20.00 Stock Price Level is achieved on or before the date that is five years after the Closing Date and (iv) the remaining 25% of such Unvested Founder Shares owned by the Sponsors shall vest at such time as a $25.00 Stock Price Level is achieved on or before the date that is five years after the Closing Date. If the applicable Stock Price Level is not achieved on or prior to the date that is five years after the Closing Date, the applicable Unvested Founder Shares shall not vest and shall be automatically forfeited and cancelled for no consideration. Notwithstanding the foregoing, in the event of a change of control, any Unvested Founder Shares shall automatically vest.</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“Stock Price Level” will be considered achieved only when the volume weighted average price of VTAQ’s Common Stock quoted on NASDAQ is greater than or equal to the applicable threshold for any 40 Trading Days within any 60 trading day period. The Stock Price Levels will be equitably adjusted for any stock dividend, subdivision, reclassification, recapitalization, split, combination or exchange of shares, or any similar event affecting VTAQ’s Common Stock after the date of the Merger Agreement.</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has preliminarily concluded that the Founder Shares are accounted for as equity-linked instruments under ASC 815-40, and that such instruments are liability classified.</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consolidated financial information does not reflect the income tax effects of the pro forma adjustments which are based on the statutory rate in effect for the historical periods presented. Management believes this unaudited pro forma condensed combined consolidated financial information to not be meaningful given New Presto has incurred significant losses during the historical periods presented.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Presto, VTAQ and Other Transaction Accounting Adjustments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Condensed Combined Balance Sheet as of June 30, 2022</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Presto pro forma adjustments included in the unaudited pro forma condensed combined balance sheet as of June 30, 2022 are as follows (amounts in thousands, except share and per share data):</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3(a)  Represents Transaction Accounting Adjustments to the cash and cash equivalents balance: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Transaction</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Accounting</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Adjustments</w:t>
            </w: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64"/>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VTAQ investments held in Trust Account</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140" w:type="dxa"/>
            <w:vAlign w:val="bottom"/>
            <w:shd w:val="clear" w:color="auto" w:fill="CCEEFF"/>
          </w:tcPr>
          <w:p>
            <w:pPr>
              <w:spacing w:after="0"/>
              <w:rPr>
                <w:sz w:val="22"/>
                <w:szCs w:val="22"/>
                <w:color w:val="auto"/>
              </w:rPr>
            </w:pPr>
          </w:p>
        </w:tc>
      </w:tr>
      <w:tr>
        <w:trPr>
          <w:trHeight w:val="28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 Financing</w:t>
            </w:r>
            <w:r>
              <w:rPr>
                <w:rFonts w:ascii="Times New Roman" w:cs="Times New Roman" w:eastAsia="Times New Roman" w:hAnsi="Times New Roman"/>
                <w:sz w:val="20"/>
                <w:szCs w:val="20"/>
                <w:color w:val="auto"/>
                <w:vertAlign w:val="superscript"/>
              </w:rPr>
              <w:t>(2)</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140" w:type="dxa"/>
            <w:vAlign w:val="bottom"/>
          </w:tcPr>
          <w:p>
            <w:pPr>
              <w:spacing w:after="0"/>
              <w:rPr>
                <w:sz w:val="24"/>
                <w:szCs w:val="24"/>
                <w:color w:val="auto"/>
              </w:rPr>
            </w:pPr>
          </w:p>
        </w:tc>
      </w:tr>
      <w:tr>
        <w:trPr>
          <w:trHeight w:val="283"/>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Agreement</w:t>
            </w:r>
            <w:r>
              <w:rPr>
                <w:rFonts w:ascii="Times New Roman" w:cs="Times New Roman" w:eastAsia="Times New Roman" w:hAnsi="Times New Roman"/>
                <w:sz w:val="20"/>
                <w:szCs w:val="20"/>
                <w:color w:val="auto"/>
                <w:vertAlign w:val="superscript"/>
              </w:rPr>
              <w:t>(3)</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54,375</w:t>
            </w:r>
          </w:p>
        </w:tc>
        <w:tc>
          <w:tcPr>
            <w:tcW w:w="140" w:type="dxa"/>
            <w:vAlign w:val="bottom"/>
            <w:shd w:val="clear" w:color="auto" w:fill="CCEEFF"/>
          </w:tcPr>
          <w:p>
            <w:pPr>
              <w:spacing w:after="0"/>
              <w:rPr>
                <w:sz w:val="24"/>
                <w:szCs w:val="24"/>
                <w:color w:val="auto"/>
              </w:rPr>
            </w:pPr>
          </w:p>
        </w:tc>
      </w:tr>
      <w:tr>
        <w:trPr>
          <w:trHeight w:val="28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Presto indebtedness and related fees</w:t>
            </w:r>
            <w:r>
              <w:rPr>
                <w:rFonts w:ascii="Times New Roman" w:cs="Times New Roman" w:eastAsia="Times New Roman" w:hAnsi="Times New Roman"/>
                <w:sz w:val="20"/>
                <w:szCs w:val="20"/>
                <w:color w:val="auto"/>
                <w:vertAlign w:val="superscript"/>
              </w:rPr>
              <w:t>(4)</w:t>
            </w:r>
          </w:p>
        </w:tc>
        <w:tc>
          <w:tcPr>
            <w:tcW w:w="12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(36,417)</w:t>
            </w:r>
          </w:p>
        </w:tc>
      </w:tr>
      <w:tr>
        <w:trPr>
          <w:trHeight w:val="283"/>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transaction costs</w:t>
            </w:r>
            <w:r>
              <w:rPr>
                <w:rFonts w:ascii="Times New Roman" w:cs="Times New Roman" w:eastAsia="Times New Roman" w:hAnsi="Times New Roman"/>
                <w:sz w:val="20"/>
                <w:szCs w:val="20"/>
                <w:color w:val="auto"/>
                <w:vertAlign w:val="superscript"/>
              </w:rPr>
              <w:t>(5)</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(16,936)</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transaction accounting adjustments to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66,050</w:t>
            </w:r>
          </w:p>
        </w:tc>
        <w:tc>
          <w:tcPr>
            <w:tcW w:w="14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reclassification of the remaining investments held in the Trust Account to cash and cash equivalents that became available following the Business Combination, based on the amounts held in the Trust Account as of June 30, 2022, of $12.8 million, as adjusted for redemptions requested on September 14, 2022 of $3.3 million, which is the same date the Business Combination was approved by the VTAQ stockholders.</w:t>
      </w:r>
    </w:p>
    <w:p>
      <w:pPr>
        <w:spacing w:after="0" w:line="2"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proceeds from private placements with various investors as follows:</w:t>
      </w:r>
    </w:p>
    <w:p>
      <w:pPr>
        <w:spacing w:after="0" w:line="64" w:lineRule="exact"/>
        <w:rPr>
          <w:rFonts w:ascii="Times New Roman" w:cs="Times New Roman" w:eastAsia="Times New Roman" w:hAnsi="Times New Roman"/>
          <w:sz w:val="16"/>
          <w:szCs w:val="16"/>
          <w:color w:val="auto"/>
        </w:rPr>
      </w:pPr>
    </w:p>
    <w:p>
      <w:pPr>
        <w:ind w:left="1280" w:hanging="394"/>
        <w:spacing w:after="0"/>
        <w:tabs>
          <w:tab w:leader="none" w:pos="128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of 550,000 shares of Common Stock of New Presto, for an aggregate purchase price of $5.5 million.</w:t>
      </w:r>
    </w:p>
    <w:p>
      <w:pPr>
        <w:spacing w:after="0" w:line="72" w:lineRule="exact"/>
        <w:rPr>
          <w:rFonts w:ascii="Times New Roman" w:cs="Times New Roman" w:eastAsia="Times New Roman" w:hAnsi="Times New Roman"/>
          <w:sz w:val="16"/>
          <w:szCs w:val="16"/>
          <w:color w:val="auto"/>
        </w:rPr>
      </w:pPr>
    </w:p>
    <w:p>
      <w:pPr>
        <w:jc w:val="both"/>
        <w:ind w:left="1320" w:right="459" w:hanging="434"/>
        <w:spacing w:after="0" w:line="275" w:lineRule="auto"/>
        <w:tabs>
          <w:tab w:leader="none" w:pos="1293"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of 6,593,687 shares of Common Stock of New Presto to Cleveland Avenue, for an aggregate purchase price of $50.0 million, including the transfer of 406,313 shares of VTAQ Common Stock by the Sponsors to Cleveland Avenue for nominal consideration.</w:t>
      </w:r>
    </w:p>
    <w:p>
      <w:pPr>
        <w:spacing w:after="0" w:line="2" w:lineRule="exact"/>
        <w:rPr>
          <w:rFonts w:ascii="Times New Roman" w:cs="Times New Roman" w:eastAsia="Times New Roman" w:hAnsi="Times New Roman"/>
          <w:sz w:val="16"/>
          <w:szCs w:val="16"/>
          <w:color w:val="auto"/>
        </w:rPr>
      </w:pPr>
    </w:p>
    <w:p>
      <w:pPr>
        <w:jc w:val="both"/>
        <w:ind w:left="880" w:right="479" w:hanging="426"/>
        <w:spacing w:after="0" w:line="267"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$54.4 million in cash received upon entering into the Credit Agreement, such amount being the fully drawn term loan of $55.0 million, net of $0.6 million debt issuance costs and a non-cash charge of $0.2 million of debt discounts associated with warrants.</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72"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closing of the Business Combination and receipt of funds from the Trust, PIPE Financing and Credit Agreement, certain existing indebtedness of Presto was repaid totaling $34.5 million in cash payments, resulting in the removal of principal and accrued interest of $25.5 million, recognition of $7.5 million of expenses in the pro forma condensed combined</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6"/>
          <w:szCs w:val="16"/>
          <w:color w:val="auto"/>
        </w:rPr>
        <w:t>statement of operations during the year ended June 30, 2022, related to interest costs, debt discount write offs and certain prepayment penalties which the Company has concluded will be accounted for as a debt extinguishment. Included within the $34.5 million of cash payments is $1.4 million, which is reflected as compensation expense associated with certain promissory notes related to Presto’s acquisition of Cyborg Ops, that vested upon the Business Combination. Further certain bonus amounts related to Cyborg Ops also fully vested upon the Business Combination resulting in an accrual of $0.6 million and an equal offsetting increase to accumulated deficit. Finally certain existing indebtedness of VTAQ was also repaid totaling $1.9 million.</w:t>
      </w:r>
    </w:p>
    <w:p>
      <w:pPr>
        <w:spacing w:after="0" w:line="3" w:lineRule="exact"/>
        <w:rPr>
          <w:sz w:val="20"/>
          <w:szCs w:val="20"/>
          <w:color w:val="auto"/>
        </w:rPr>
      </w:pPr>
    </w:p>
    <w:p>
      <w:pPr>
        <w:ind w:left="880" w:hanging="426"/>
        <w:spacing w:after="0"/>
        <w:tabs>
          <w:tab w:leader="none" w:pos="8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transaction costs incurred as follows:</w:t>
      </w:r>
    </w:p>
    <w:p>
      <w:pPr>
        <w:spacing w:after="0" w:line="86" w:lineRule="exact"/>
        <w:rPr>
          <w:rFonts w:ascii="Times New Roman" w:cs="Times New Roman" w:eastAsia="Times New Roman" w:hAnsi="Times New Roman"/>
          <w:sz w:val="16"/>
          <w:szCs w:val="16"/>
          <w:color w:val="auto"/>
        </w:rPr>
      </w:pPr>
    </w:p>
    <w:p>
      <w:pPr>
        <w:jc w:val="both"/>
        <w:ind w:left="1320" w:right="479" w:hanging="434"/>
        <w:spacing w:after="0" w:line="264" w:lineRule="auto"/>
        <w:tabs>
          <w:tab w:leader="none" w:pos="131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$6.6 million decrease to cash for merger related costs for legal, financial advisory and other professional fees related to consummating the Business Combination and a $1.0 million decrease to cash for certain other non-merger accounting fees of $1.0 million paid at Closing. Further reflects increase to accruals of $0.5 million for further transaction cost unpaid but incurred. Finally, Presto accrued certain merger costs in the amount of $2.6 million, which at close were paid in 260,000 shares of New Presto common stock, resulting in an equal and offsetting effects to additional paid-in capital.</w:t>
      </w:r>
    </w:p>
    <w:p>
      <w:pPr>
        <w:spacing w:after="0" w:line="29" w:lineRule="exact"/>
        <w:rPr>
          <w:rFonts w:ascii="Times New Roman" w:cs="Times New Roman" w:eastAsia="Times New Roman" w:hAnsi="Times New Roman"/>
          <w:sz w:val="18"/>
          <w:szCs w:val="18"/>
          <w:color w:val="auto"/>
        </w:rPr>
      </w:pPr>
    </w:p>
    <w:p>
      <w:pPr>
        <w:jc w:val="both"/>
        <w:ind w:left="1320" w:right="459"/>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As of June 30, 2022, the historical Presto financial statements reflect the incurrence of $5.8 million of deferred transaction costs, of which $3.2 million and $1.0 million were unpaid in accounts payable and accrued expenses, respectively. With the $6.6 million cash payment and the $2.6 million stock payment, such unpaid amounts were satisfied.</w:t>
      </w:r>
    </w:p>
    <w:p>
      <w:pPr>
        <w:spacing w:after="0" w:line="20" w:lineRule="exact"/>
        <w:rPr>
          <w:rFonts w:ascii="Times New Roman" w:cs="Times New Roman" w:eastAsia="Times New Roman" w:hAnsi="Times New Roman"/>
          <w:sz w:val="18"/>
          <w:szCs w:val="18"/>
          <w:color w:val="auto"/>
        </w:rPr>
      </w:pPr>
    </w:p>
    <w:p>
      <w:pPr>
        <w:jc w:val="both"/>
        <w:ind w:left="1320" w:right="47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 total, $9.7 million in merger costs have been allocated in the pro forma condensed combined balance sheet to additional paid in capital in the amount of $8.9 million and $0.8 million of such costs were ascribed to liability classified instruments based on the relative fair values of equity-classified and liability-classified instruments issued in conjunction with the Business Combination and accordingly reflected in accumulated deficit. The $1.0 million of nonmerger related costs have been incurred which has been expensed and accordingly reflected in accumulated deficit.</w:t>
      </w:r>
    </w:p>
    <w:p>
      <w:pPr>
        <w:spacing w:after="0" w:line="35" w:lineRule="exact"/>
        <w:rPr>
          <w:rFonts w:ascii="Times New Roman" w:cs="Times New Roman" w:eastAsia="Times New Roman" w:hAnsi="Times New Roman"/>
          <w:sz w:val="18"/>
          <w:szCs w:val="18"/>
          <w:color w:val="auto"/>
        </w:rPr>
      </w:pPr>
    </w:p>
    <w:p>
      <w:pPr>
        <w:jc w:val="both"/>
        <w:ind w:left="1320" w:right="479" w:hanging="434"/>
        <w:spacing w:after="0" w:line="264" w:lineRule="auto"/>
        <w:tabs>
          <w:tab w:leader="none" w:pos="131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$8.3 million costs paid in cash and $3.6 million paid in stock at closing. The total of $11.9 million incurred by VTAQ associated with the Business Combination relating to banking, legal fees and other fees related to consummating the Business Combination. Such costs will be incurred and expensed in the statement of operations of historical VTAQ prior to the Business Combination and accordingly have been reflected as a reduction to cash, an increase to additional paid-in capital and a corresponding entry to VTAQ accumulated deficit of $11.9 million.</w:t>
      </w:r>
    </w:p>
    <w:p>
      <w:pPr>
        <w:spacing w:after="0" w:line="119" w:lineRule="exact"/>
        <w:rPr>
          <w:sz w:val="20"/>
          <w:szCs w:val="20"/>
          <w:color w:val="auto"/>
        </w:rPr>
      </w:pPr>
    </w:p>
    <w:p>
      <w:pPr>
        <w:ind w:left="1320" w:right="479" w:hanging="431"/>
        <w:spacing w:after="0" w:line="282" w:lineRule="auto"/>
        <w:rPr>
          <w:sz w:val="20"/>
          <w:szCs w:val="20"/>
          <w:color w:val="auto"/>
        </w:rPr>
      </w:pPr>
      <w:r>
        <w:rPr>
          <w:rFonts w:ascii="Times New Roman" w:cs="Times New Roman" w:eastAsia="Times New Roman" w:hAnsi="Times New Roman"/>
          <w:sz w:val="18"/>
          <w:szCs w:val="18"/>
          <w:color w:val="auto"/>
        </w:rPr>
        <w:t>3(b) The following table represents the impact on Presto’s pro forma adjustments to additional paid-in capital:</w:t>
      </w:r>
    </w:p>
    <w:p>
      <w:pPr>
        <w:spacing w:after="0" w:line="124"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Presto Pro</w:t>
            </w:r>
          </w:p>
        </w:tc>
      </w:tr>
      <w:tr>
        <w:trPr>
          <w:trHeight w:val="203"/>
        </w:trPr>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Forma</w:t>
            </w:r>
          </w:p>
        </w:tc>
      </w:tr>
      <w:tr>
        <w:trPr>
          <w:trHeight w:val="212"/>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1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Adjustments</w:t>
            </w:r>
          </w:p>
        </w:tc>
      </w:tr>
      <w:tr>
        <w:trPr>
          <w:trHeight w:val="47"/>
        </w:trPr>
        <w:tc>
          <w:tcPr>
            <w:tcW w:w="6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6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Presto convertible notes conversion to Presto Common Stock</w:t>
            </w:r>
            <w:r>
              <w:rPr>
                <w:rFonts w:ascii="Times New Roman" w:cs="Times New Roman" w:eastAsia="Times New Roman" w:hAnsi="Times New Roman"/>
                <w:sz w:val="20"/>
                <w:szCs w:val="20"/>
                <w:color w:val="auto"/>
                <w:vertAlign w:val="superscript"/>
              </w:rPr>
              <w:t>(6)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81,376</w:t>
            </w:r>
          </w:p>
        </w:tc>
      </w:tr>
      <w:tr>
        <w:trPr>
          <w:trHeight w:val="283"/>
        </w:trPr>
        <w:tc>
          <w:tcPr>
            <w:tcW w:w="6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Termination Fee Paid to Silver Rock</w:t>
            </w:r>
            <w:r>
              <w:rPr>
                <w:rFonts w:ascii="Times New Roman" w:cs="Times New Roman" w:eastAsia="Times New Roman" w:hAnsi="Times New Roman"/>
                <w:sz w:val="20"/>
                <w:szCs w:val="20"/>
                <w:color w:val="auto"/>
                <w:vertAlign w:val="superscript"/>
              </w:rPr>
              <w:t>(7)</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w:t>
            </w:r>
          </w:p>
        </w:tc>
      </w:tr>
      <w:tr>
        <w:trPr>
          <w:trHeight w:val="244"/>
        </w:trPr>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Presto pro forma adjustments to additional paid-in capital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84,754</w:t>
            </w:r>
          </w:p>
        </w:tc>
      </w:tr>
      <w:tr>
        <w:trPr>
          <w:trHeight w:val="20"/>
        </w:trPr>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880" w:right="459" w:hanging="426"/>
        <w:spacing w:after="0" w:line="266"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value and recognition of the adjustment upon extinguishment of the debt of the Presto convertible notes converted to 8,137,686 shares of the combined entity common stock as a result of the Business Combination. The unaudited pro forma condensed combined balance sheet reflects the increase of $81.4 million to additional paid-in capital, with a corresponding increase to Presto Common Stock of $10 thousand, a decrease to convertible promissory notes, current, of $89.7 million and an increase to accumulated deficit of $8.3 million.</w:t>
      </w:r>
    </w:p>
    <w:p>
      <w:pPr>
        <w:jc w:val="both"/>
        <w:ind w:left="880" w:right="459" w:hanging="426"/>
        <w:spacing w:after="0" w:line="267"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value of Presto shares issued pursuant to the termination of the Convertible Note Subscription Agreement with Silver Rock. Pursuant to the Termination Agreement, Silver Rock agreed to terminate the Convertible Note Subscription Agreement in exchange for 400,000 shares of common stock of Legacy Presto which as of June 30, 2022, would converted into 337,744 shares of New Presto Common Stock pursuant to the terms of the Merger Agreement. Amount, recorded was based on such New Presto shares valued at the $10 stock price for New Presto, which when giving effect to the conversion ratio, results in an increase to Legacy Presto additional paid-in capital of $3.4 million and offset to Legacy Presto accumulated deficit of $3.4 million. Further such amount is reflected as an item of other loss in the condensed combined statement of operations.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3(c)  The following table represents the impact of the Business Combination on additional paid-in capital:</w:t>
      </w:r>
    </w:p>
    <w:p>
      <w:pPr>
        <w:spacing w:after="0" w:line="201"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Transaction</w:t>
            </w:r>
          </w:p>
        </w:tc>
      </w:tr>
      <w:tr>
        <w:trPr>
          <w:trHeight w:val="203"/>
        </w:trPr>
        <w:tc>
          <w:tcPr>
            <w:tcW w:w="6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Accounting</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Adjustments</w:t>
            </w:r>
          </w:p>
        </w:tc>
      </w:tr>
      <w:tr>
        <w:trPr>
          <w:trHeight w:val="47"/>
        </w:trPr>
        <w:tc>
          <w:tcPr>
            <w:tcW w:w="6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6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Financing</w:t>
            </w:r>
            <w:r>
              <w:rPr>
                <w:rFonts w:ascii="Times New Roman" w:cs="Times New Roman" w:eastAsia="Times New Roman" w:hAnsi="Times New Roman"/>
                <w:sz w:val="20"/>
                <w:szCs w:val="20"/>
                <w:color w:val="auto"/>
                <w:vertAlign w:val="superscript"/>
              </w:rPr>
              <w:t>(2)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55,500</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Presto transaction costs</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(8,907)</w:t>
            </w:r>
          </w:p>
        </w:tc>
      </w:tr>
      <w:tr>
        <w:trPr>
          <w:trHeight w:val="28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Ventoux transaction costs paid in stock</w:t>
            </w:r>
            <w:r>
              <w:rPr>
                <w:rFonts w:ascii="Times New Roman" w:cs="Times New Roman" w:eastAsia="Times New Roman" w:hAnsi="Times New Roman"/>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3,550</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VTAQ’s redeemable shares to VTAQ Common Stock</w:t>
            </w:r>
            <w:r>
              <w:rPr>
                <w:rFonts w:ascii="Times New Roman" w:cs="Times New Roman" w:eastAsia="Times New Roman" w:hAnsi="Times New Roman"/>
                <w:sz w:val="20"/>
                <w:szCs w:val="20"/>
                <w:color w:val="auto"/>
                <w:vertAlign w:val="superscript"/>
              </w:rPr>
              <w:t>(8)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9,504</w:t>
            </w:r>
          </w:p>
        </w:tc>
      </w:tr>
      <w:tr>
        <w:trPr>
          <w:trHeight w:val="28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Founder’s Shares subject to vesting</w:t>
            </w:r>
            <w:r>
              <w:rPr>
                <w:rFonts w:ascii="Times New Roman" w:cs="Times New Roman" w:eastAsia="Times New Roman" w:hAnsi="Times New Roman"/>
                <w:sz w:val="20"/>
                <w:szCs w:val="20"/>
                <w:color w:val="auto"/>
                <w:vertAlign w:val="superscript"/>
              </w:rPr>
              <w:t>(9)</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(3,845)</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historical VTAQ accumulated deficit</w:t>
            </w:r>
            <w:r>
              <w:rPr>
                <w:rFonts w:ascii="Times New Roman" w:cs="Times New Roman" w:eastAsia="Times New Roman" w:hAnsi="Times New Roman"/>
                <w:sz w:val="20"/>
                <w:szCs w:val="20"/>
                <w:color w:val="auto"/>
                <w:vertAlign w:val="superscript"/>
              </w:rPr>
              <w:t>(10)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(15,975)</w:t>
            </w:r>
          </w:p>
        </w:tc>
      </w:tr>
      <w:tr>
        <w:trPr>
          <w:trHeight w:val="28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Recapitalization of Presto Common Stock into VTAQ Common Stock</w:t>
            </w:r>
            <w:r>
              <w:rPr>
                <w:rFonts w:ascii="Times New Roman" w:cs="Times New Roman" w:eastAsia="Times New Roman" w:hAnsi="Times New Roman"/>
                <w:sz w:val="20"/>
                <w:szCs w:val="20"/>
                <w:color w:val="auto"/>
                <w:vertAlign w:val="superscript"/>
              </w:rPr>
              <w:t>(11)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Option earn-out cumulative expense</w:t>
            </w:r>
            <w:r>
              <w:rPr>
                <w:rFonts w:ascii="Times New Roman" w:cs="Times New Roman" w:eastAsia="Times New Roman" w:hAnsi="Times New Roman"/>
                <w:sz w:val="20"/>
                <w:szCs w:val="20"/>
                <w:color w:val="auto"/>
                <w:vertAlign w:val="superscript"/>
              </w:rPr>
              <w:t>(13)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21,830</w:t>
            </w:r>
          </w:p>
        </w:tc>
      </w:tr>
      <w:tr>
        <w:trPr>
          <w:trHeight w:val="28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award cumulative expense</w:t>
            </w:r>
            <w:r>
              <w:rPr>
                <w:rFonts w:ascii="Times New Roman" w:cs="Times New Roman" w:eastAsia="Times New Roman" w:hAnsi="Times New Roman"/>
                <w:sz w:val="20"/>
                <w:szCs w:val="20"/>
                <w:color w:val="auto"/>
                <w:vertAlign w:val="superscript"/>
              </w:rPr>
              <w:t>(14)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r>
      <w:tr>
        <w:trPr>
          <w:trHeight w:val="283"/>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 earn-out cumulative expense</w:t>
            </w:r>
            <w:r>
              <w:rPr>
                <w:rFonts w:ascii="Times New Roman" w:cs="Times New Roman" w:eastAsia="Times New Roman" w:hAnsi="Times New Roman"/>
                <w:sz w:val="20"/>
                <w:szCs w:val="20"/>
                <w:color w:val="auto"/>
                <w:vertAlign w:val="superscript"/>
              </w:rPr>
              <w:t>(15)</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40" w:type="dxa"/>
            <w:vAlign w:val="bottom"/>
            <w:tcBorders>
              <w:bottom w:val="single" w:sz="8" w:color="CCEEFF"/>
            </w:tcBorders>
          </w:tcPr>
          <w:p>
            <w:pPr>
              <w:spacing w:after="0"/>
              <w:rPr>
                <w:sz w:val="24"/>
                <w:szCs w:val="24"/>
                <w:color w:val="auto"/>
              </w:rPr>
            </w:pPr>
          </w:p>
        </w:tc>
      </w:tr>
      <w:tr>
        <w:trPr>
          <w:trHeight w:val="244"/>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transaction accounting adjustments to additional paid-in capital</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64,921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2" w:lineRule="exact"/>
        <w:rPr>
          <w:sz w:val="20"/>
          <w:szCs w:val="20"/>
          <w:color w:val="auto"/>
        </w:rPr>
      </w:pPr>
    </w:p>
    <w:p>
      <w:pPr>
        <w:jc w:val="both"/>
        <w:ind w:left="880" w:right="459" w:hanging="426"/>
        <w:spacing w:after="0" w:line="266" w:lineRule="auto"/>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reclassification of $9.5 million of VTAQ public shares subject to possible redemption from mezzanine equity to permanent equity. The unaudited pro forma condensed balance sheet reflects the reclassification with a corresponding increase of $9.5 million to additional paid in-capital. Adjustment occurs subsequent to the redemptions of $3.3 million described in transaction accounting adjustment (2) as described above.</w:t>
      </w:r>
    </w:p>
    <w:p>
      <w:pPr>
        <w:spacing w:after="0" w:line="2"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reclassification of Founder shares which, as discussed in Note 2, become subject to vesting conditions upon consummation of the Business Combination. Such Founders Shares are determined to be liabilities pursuant to ASC 815-40 and accordingly and adjustment has been made on the condensed combined balance sheet to reclassify the shares from additional paid-in capital to a earnout liability with such amount being recognized at fair value.</w:t>
      </w:r>
    </w:p>
    <w:p>
      <w:pPr>
        <w:jc w:val="both"/>
        <w:ind w:left="880" w:right="479" w:hanging="426"/>
        <w:spacing w:after="0" w:line="264" w:lineRule="auto"/>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elimination of VTAQ’s historical accumulated deficit after recording the transaction cost to be incurred by VTAQ as described in adjustment (6) above. The corresponding adjustment to additional paid-in capital, in connection with the reverse recapitalization.</w:t>
      </w:r>
    </w:p>
    <w:p>
      <w:pPr>
        <w:ind w:left="880" w:right="459" w:hanging="426"/>
        <w:spacing w:after="0" w:line="264" w:lineRule="auto"/>
        <w:tabs>
          <w:tab w:leader="none" w:pos="87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recapitalization of Presto Common Stock into Combined Entity Common Stock, after giving effect to the Presto Preferred Stock Conversion and the Presto convertible note conversion.</w:t>
      </w:r>
    </w:p>
    <w:p>
      <w:pPr>
        <w:jc w:val="both"/>
        <w:ind w:left="880" w:right="459" w:hanging="426"/>
        <w:spacing w:after="0" w:line="264" w:lineRule="auto"/>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conversion of Presto Preferred Stock into Presto Common Stock pursuant to section 4.1 of Presto’s Amended and Restated Articles of Incorporation prior to the closing of the Business Combination, as stipulated by the Merger Agreement. The unaudited pro forma condensed combined balance sheet reflects the conversion with a corresponding increase of $28 thousand to Presto Common Stock.</w:t>
      </w:r>
    </w:p>
    <w:p>
      <w:pPr>
        <w:jc w:val="both"/>
        <w:ind w:left="880" w:right="459" w:hanging="426"/>
        <w:spacing w:after="0" w:line="264" w:lineRule="auto"/>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stock-based compensation expense upon modification (change in vesting condition for the awards to include a de-SPAC transaction and earn-out shares), resulting in recognition of adjustments of $7.3 million, $2.9 million and $15.2 million in research and development, sales and marketing, and general and administrative expenses, respectively in the pro forma condensed combined statement of operations. These adjustments include expense to be recognized during the twelve months after the consummation of the Business Combination of $0.9 million, $0.7 million, and $1.9 million in research and development, sales and marketing, and general and administrative expenses, respectively in the pro forma condensed combined statement of operations. The unaudited pro forma condensed combined balance sheet reflects the cumulative expense recognized at June 30, 2022 of $21.8 million as an increase to additional paid-in capital with a corresponding increase to accumulated deficit.</w:t>
      </w:r>
    </w:p>
    <w:p>
      <w:pPr>
        <w:spacing w:after="0" w:line="1"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incremental stock-based compensation expense upon satisfaction of a liquidity event vesting condition dependent on the de-SPAC transaction granted to a holder of 741,740 Presto options resulting in expense of $0.2 million during the year ended June 30, 2022, in the pro forma condensed combined statement of operations. The unaudited pro forma condensed combined balance sheet reflects the cumulative expense recognized at June 30, 2022 of $0.1 million as an increase to additional paid-in capital with a corresponding increase in accumulated deficit.</w:t>
      </w:r>
    </w:p>
    <w:p>
      <w:pPr>
        <w:jc w:val="both"/>
        <w:ind w:left="880" w:right="459" w:hanging="426"/>
        <w:spacing w:after="0" w:line="264" w:lineRule="auto"/>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warrant expense upon modification to include the earn-out shares, resulting in recognition of adjustments of $4.3 million in the pro forma condensed combined statement of operations for the year ended June 30, 2022. The unaudited pro forma condensed combined balance sheet reflects an increase to additional paid-in capital of $3.1 million and an increase to warrant liabilities of $1.2 million, with the corresponding increase in accumulated deficit of $4.2 million.</w:t>
      </w:r>
    </w:p>
    <w:p>
      <w:pPr>
        <w:jc w:val="both"/>
        <w:ind w:left="880" w:right="479" w:hanging="426"/>
        <w:spacing w:after="0" w:line="272" w:lineRule="auto"/>
        <w:tabs>
          <w:tab w:leader="none" w:pos="8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value of the 550,000 Private Placement Warrants that were cancelled in connection with the private placement to be consummated concurrently with the closing of the Business Combination. The unaudited pro forma condensed combined balance sheet reflects the decrease of $0.1 million to accumulated deficit and a corresponding decrease to warrant liabilities.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3(d) Represents pro forma adjustments to accumulated deficit balance to reflect the following:</w:t>
      </w:r>
    </w:p>
    <w:p>
      <w:pPr>
        <w:spacing w:after="0" w:line="201" w:lineRule="exact"/>
        <w:rPr>
          <w:sz w:val="20"/>
          <w:szCs w:val="20"/>
          <w:color w:val="auto"/>
        </w:rPr>
      </w:pPr>
    </w:p>
    <w:tbl>
      <w:tblPr>
        <w:tblLayout w:type="fixed"/>
        <w:tblInd w:w="88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Transaction</w:t>
            </w:r>
          </w:p>
        </w:tc>
      </w:tr>
      <w:tr>
        <w:trPr>
          <w:trHeight w:val="203"/>
        </w:trPr>
        <w:tc>
          <w:tcPr>
            <w:tcW w:w="6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Accounting</w:t>
            </w:r>
          </w:p>
        </w:tc>
      </w:tr>
      <w:tr>
        <w:trPr>
          <w:trHeight w:val="212"/>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Adjustments</w:t>
            </w:r>
          </w:p>
        </w:tc>
      </w:tr>
      <w:tr>
        <w:trPr>
          <w:trHeight w:val="47"/>
        </w:trPr>
        <w:tc>
          <w:tcPr>
            <w:tcW w:w="6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6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Presto transaction costs and non transaction costs</w:t>
            </w:r>
            <w:r>
              <w:rPr>
                <w:rFonts w:ascii="Times New Roman" w:cs="Times New Roman" w:eastAsia="Times New Roman" w:hAnsi="Times New Roman"/>
                <w:sz w:val="20"/>
                <w:szCs w:val="20"/>
                <w:color w:val="auto"/>
                <w:vertAlign w:val="superscript"/>
              </w:rPr>
              <w:t>(5)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(1,750)</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VTAQ transaction costs</w:t>
            </w:r>
            <w:r>
              <w:rPr>
                <w:rFonts w:ascii="Times New Roman" w:cs="Times New Roman" w:eastAsia="Times New Roman" w:hAnsi="Times New Roman"/>
                <w:sz w:val="20"/>
                <w:szCs w:val="20"/>
                <w:color w:val="auto"/>
                <w:vertAlign w:val="superscript"/>
              </w:rPr>
              <w:t>(5)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(11,906)</w:t>
            </w:r>
          </w:p>
        </w:tc>
      </w:tr>
      <w:tr>
        <w:trPr>
          <w:trHeight w:val="28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VTAQ’s historical accumulated deficit</w:t>
            </w:r>
            <w:r>
              <w:rPr>
                <w:rFonts w:ascii="Times New Roman" w:cs="Times New Roman" w:eastAsia="Times New Roman" w:hAnsi="Times New Roman"/>
                <w:sz w:val="20"/>
                <w:szCs w:val="20"/>
                <w:color w:val="auto"/>
                <w:vertAlign w:val="superscript"/>
              </w:rPr>
              <w:t>(10)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15,975</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Option earn-out cumulative expense</w:t>
            </w:r>
            <w:r>
              <w:rPr>
                <w:rFonts w:ascii="Times New Roman" w:cs="Times New Roman" w:eastAsia="Times New Roman" w:hAnsi="Times New Roman"/>
                <w:sz w:val="20"/>
                <w:szCs w:val="20"/>
                <w:color w:val="auto"/>
                <w:vertAlign w:val="superscript"/>
              </w:rPr>
              <w:t>(13)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(21,830)</w:t>
            </w:r>
          </w:p>
        </w:tc>
      </w:tr>
      <w:tr>
        <w:trPr>
          <w:trHeight w:val="28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award cumulative expense</w:t>
            </w:r>
            <w:r>
              <w:rPr>
                <w:rFonts w:ascii="Times New Roman" w:cs="Times New Roman" w:eastAsia="Times New Roman" w:hAnsi="Times New Roman"/>
                <w:sz w:val="20"/>
                <w:szCs w:val="20"/>
                <w:color w:val="auto"/>
                <w:vertAlign w:val="superscript"/>
              </w:rPr>
              <w:t>(14)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(97)</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Warrant earn-out cumulative expense</w:t>
            </w:r>
            <w:r>
              <w:rPr>
                <w:rFonts w:ascii="Times New Roman" w:cs="Times New Roman" w:eastAsia="Times New Roman" w:hAnsi="Times New Roman"/>
                <w:sz w:val="20"/>
                <w:szCs w:val="20"/>
                <w:color w:val="auto"/>
                <w:vertAlign w:val="superscript"/>
              </w:rPr>
              <w:t>(15)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(4,349)</w:t>
            </w:r>
          </w:p>
        </w:tc>
      </w:tr>
      <w:tr>
        <w:trPr>
          <w:trHeight w:val="28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VTAQ Private Placement Warrants</w:t>
            </w:r>
            <w:r>
              <w:rPr>
                <w:rFonts w:ascii="Times New Roman" w:cs="Times New Roman" w:eastAsia="Times New Roman" w:hAnsi="Times New Roman"/>
                <w:sz w:val="20"/>
                <w:szCs w:val="20"/>
                <w:color w:val="auto"/>
                <w:vertAlign w:val="superscript"/>
              </w:rPr>
              <w:t>(16)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upon closing of Business Combination</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(606)</w:t>
            </w:r>
          </w:p>
        </w:tc>
      </w:tr>
      <w:tr>
        <w:trPr>
          <w:trHeight w:val="28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upon repayment of indebtedness</w:t>
            </w:r>
            <w:r>
              <w:rPr>
                <w:rFonts w:ascii="Times New Roman" w:cs="Times New Roman" w:eastAsia="Times New Roman" w:hAnsi="Times New Roman"/>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(1,427)</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Presto indebtedness</w:t>
            </w:r>
            <w:r>
              <w:rPr>
                <w:rFonts w:ascii="Times New Roman" w:cs="Times New Roman" w:eastAsia="Times New Roman" w:hAnsi="Times New Roman"/>
                <w:sz w:val="20"/>
                <w:szCs w:val="20"/>
                <w:color w:val="auto"/>
                <w:vertAlign w:val="superscript"/>
              </w:rPr>
              <w:t>(4)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(7,484)</w:t>
            </w:r>
          </w:p>
        </w:tc>
      </w:tr>
      <w:tr>
        <w:trPr>
          <w:trHeight w:val="244"/>
        </w:trPr>
        <w:tc>
          <w:tcPr>
            <w:tcW w:w="6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transaction accounting adjustments to accumulated deficit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(33,412</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Condensed Combined Statements of Operations for year ended June 30, 2022</w:t>
      </w:r>
    </w:p>
    <w:p>
      <w:pPr>
        <w:spacing w:after="0" w:line="7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addition to the adjustments set forth in adjustments (4), (5), (7), (13), (14) and (15) above, the transaction accounting adjustments included in the unaudited pro forma condensed combined statements of operations for year ended June 30, 2022 are as follows:</w:t>
      </w:r>
    </w:p>
    <w:p>
      <w:pPr>
        <w:spacing w:after="0" w:line="153" w:lineRule="exact"/>
        <w:rPr>
          <w:sz w:val="20"/>
          <w:szCs w:val="20"/>
          <w:color w:val="auto"/>
        </w:rPr>
      </w:pPr>
    </w:p>
    <w:p>
      <w:pPr>
        <w:jc w:val="both"/>
        <w:ind w:left="880" w:right="479" w:hanging="426"/>
        <w:spacing w:after="0" w:line="267"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removal of the loss on fair value effects of the Presto convertible notes that converted upon the closing of the Business Combination in the amount of $18.9 million in the pro forma condensed combined statement of operations for the year ended June 30, 2022.</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70"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recognition of interest expense related to the $55.0 million credit facility consummated concurrently with the closing of the Business Combination in the amount of $9.0 million for the year ended June 30, 2022. Interest expense is reflective of 15% per annum interest, the amortization of debt issuance costs and debt discounts and other interest costs. This is partially offset by the removal of interest expense of $2.9 million related to the Presto indebtedness in term loans, current on the pro forma condensed combined balance sheet.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Net loss per Share</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Business Combination, assuming the shares were outstanding since July 1, 2021. As the Business Combination and related transactions are being reflected as if they had occurred at the beginning of the period presented, the calculation of weighted average shares outstanding for basic and diluted net loss per share assumes that the shares issuable relating to the Business Combination have been outstanding for the entire periods presented.</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Year</w:t>
            </w:r>
          </w:p>
        </w:tc>
      </w:tr>
      <w:tr>
        <w:trPr>
          <w:trHeight w:val="203"/>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r>
      <w:tr>
        <w:trPr>
          <w:trHeight w:val="46"/>
        </w:trPr>
        <w:tc>
          <w:tcPr>
            <w:tcW w:w="68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r>
      <w:tr>
        <w:trPr>
          <w:trHeight w:val="180"/>
        </w:trPr>
        <w:tc>
          <w:tcPr>
            <w:tcW w:w="6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r>
      <w:tr>
        <w:trPr>
          <w:trHeight w:val="212"/>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Combined</w:t>
            </w:r>
          </w:p>
        </w:tc>
      </w:tr>
      <w:tr>
        <w:trPr>
          <w:trHeight w:val="47"/>
        </w:trPr>
        <w:tc>
          <w:tcPr>
            <w:tcW w:w="68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(88,198)</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51,308,910</w:t>
            </w: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r>
              <w:rPr>
                <w:rFonts w:ascii="Times New Roman" w:cs="Times New Roman" w:eastAsia="Times New Roman" w:hAnsi="Times New Roman"/>
                <w:sz w:val="20"/>
                <w:szCs w:val="20"/>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Presto existing stockholders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37,444,082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VTAQ Sponsors and Initial Stockholders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3,256,204</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VTAQ Public shareholders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931,141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VTAQ Rightholders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862,500</w:t>
            </w: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PIPE Investors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7,599,983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Investors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 Investors</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51,308,910</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98"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pro forma net loss per share excludes the impact of outstanding and unexercised VTAQ public and Private Placement Warrants, options, and Earnout Shares as the inclusion of these would have been anti-dilutive.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seek to overlay next-generation digital solutions onto the approximately $3 trillion hospitality industry given its current primarily analog nature and substantial reliance on labor. At present, we are focused on the restaurant industry.</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 across all restaurant segments, viz. casual dining, fast casual, and quick serve ready (QSR).</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Process automation is a long-term priority for all physical businesses. As a result, restaurants need reliable and scalable products and technology that easily integrates with old, legacy systems.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platform offers a comprehensive set of modular, targeted solutions to increase staff productivity, improve guest experience and deliver actionable insights to restaurants. Our platform enables customers to improve important factors that drive profitability in a low-margin industry. With Presto’s platform, restaurants can benefit from increased table per server ratios, order accuracy, check size, and customer data collection.</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latest generation Touch product, called Presto Flex, functions as an all-in-one server handheld or tabletop guest ordering, payment, customer personalization and gaming device. Our Vision product consists of an AI-powered computer vision software application that delivers unique and real-time insights to operators. Our Voice products use speech recognition technology in the customer order process and connect with restaurant POS systems to maximize efficiency and minimize costs by automatically transmitting orders to the restaurant’s POS system.</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Touch product has accounted for the majority of our historical revenue. However, we expect an increasing mix of our future revenue to come from Vision and Voice products.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benefit from a predictable, recurring revenue model from enterprise restaurant chains. We serve a blue-chip customer base with multibillion-dollar gross merchandise volume potential and high net retention rates. In the future, we may take advantage of several acquisition opportunities in customer relationship management and loyalty, POS products, front of house management, online ordering, AI tools, and integration middleware. As a result of the Business Combination, we expect to have the capital to grow organically and inorganically as we scale the Company. We expect that the Business Combination will help accelerate and enhance our ability to acquire and develop products that serve the restaurant hospitality industry.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Industry and Market Overview</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According to a survey of over 400 restaurant owner-operators conducted in October 2021, around 50% of U.S. restaurant operators planned to implement technology-enabled solutions to improve efficiency, labor cost management and revenue growth within the next two to three years. We estimate our addressable market includes $101 billion international enterprise restaurant labor spend, $79 billion domestic enterprise restaurant labor spend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and $25 billion global enterprise restaurant technology spend. However, despite the large addressable market and double-digit sales growth in the restaurant and food service industry in 2021 (according to the National Restaurant Association), the restaurant hospitality industry has faced, and continues to face, several challenges.</w:t>
      </w:r>
    </w:p>
    <w:p>
      <w:pPr>
        <w:spacing w:after="0" w:line="104" w:lineRule="exact"/>
        <w:rPr>
          <w:sz w:val="20"/>
          <w:szCs w:val="20"/>
          <w:color w:val="auto"/>
        </w:rPr>
      </w:pPr>
    </w:p>
    <w:p>
      <w:pPr>
        <w:jc w:val="both"/>
        <w:ind w:left="1320" w:right="459" w:hanging="434"/>
        <w:spacing w:after="0" w:line="253"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Labor Shortage: </w:t>
      </w:r>
      <w:r>
        <w:rPr>
          <w:rFonts w:ascii="Times New Roman" w:cs="Times New Roman" w:eastAsia="Times New Roman" w:hAnsi="Times New Roman"/>
          <w:sz w:val="18"/>
          <w:szCs w:val="18"/>
          <w:color w:val="auto"/>
        </w:rPr>
        <w:t>In June 2022, the Department of Labor released a Job Openings and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Turnover summary that showed workers were quitting their jobs at a rate of 2.9% or 4.4 million in April 2022. More accommodation and food services workers quit their jobs in April 2022 compared to pre</w:t>
      </w:r>
      <w:r>
        <w:rPr>
          <w:rFonts w:ascii="Times New Roman" w:cs="Times New Roman" w:eastAsia="Times New Roman" w:hAnsi="Times New Roman"/>
          <w:sz w:val="18"/>
          <w:szCs w:val="18"/>
          <w:i w:val="1"/>
          <w:iCs w:val="1"/>
          <w:color w:val="auto"/>
        </w:rPr>
        <w:t>-pandemic</w:t>
      </w:r>
      <w:r>
        <w:rPr>
          <w:rFonts w:ascii="Times New Roman" w:cs="Times New Roman" w:eastAsia="Times New Roman" w:hAnsi="Times New Roman"/>
          <w:sz w:val="18"/>
          <w:szCs w:val="18"/>
          <w:color w:val="auto"/>
        </w:rPr>
        <w:t xml:space="preserve"> levels, and the industry struggles to retain workers and has experienced consistently high quit rates. The restaurant industry consistently has the highest job opening rate relative to other industries and had a total of 1.34 million job openings in April 2022. The U.S. Chamber of Commerce has described the current labor shortage as a national crisis, making it the focus of its “America Works” initiative expanding employer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led workforce and job training programs, advocating for federal and state policy changes and launching efforts to connect employers with talent. Lack of labor leads to operational gaps with fewer staff to manage basic work flows, slower speed of service, lower guest satisfaction and tips, higher turnover, and increases in the overhead in hiring workers.</w:t>
      </w:r>
    </w:p>
    <w:p>
      <w:pPr>
        <w:spacing w:after="0" w:line="122"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Labor Cost: </w:t>
      </w:r>
      <w:r>
        <w:rPr>
          <w:rFonts w:ascii="Times New Roman" w:cs="Times New Roman" w:eastAsia="Times New Roman" w:hAnsi="Times New Roman"/>
          <w:sz w:val="18"/>
          <w:szCs w:val="18"/>
          <w:color w:val="auto"/>
        </w:rPr>
        <w:t>For most restaurants, labor has historically been the largest expense category,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for approximately 30% of sales on average. High labor costs lead to significantly lower margins and profitability.</w:t>
      </w:r>
    </w:p>
    <w:p>
      <w:pPr>
        <w:spacing w:after="0" w:line="89"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Lack of Technological Solutions: </w:t>
      </w:r>
      <w:r>
        <w:rPr>
          <w:rFonts w:ascii="Times New Roman" w:cs="Times New Roman" w:eastAsia="Times New Roman" w:hAnsi="Times New Roman"/>
          <w:sz w:val="18"/>
          <w:szCs w:val="18"/>
          <w:color w:val="auto"/>
        </w:rPr>
        <w:t>Even for some restaurants with enough labor, their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still not efficient enough. Employees are not equipped to make good decisions either because managers rely on “gut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feelings” or because they lack data to inform decision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making.</w:t>
      </w:r>
    </w:p>
    <w:p>
      <w:pPr>
        <w:spacing w:after="0" w:line="10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Lack of Differentiation:  </w:t>
      </w:r>
      <w:r>
        <w:rPr>
          <w:rFonts w:ascii="Times New Roman" w:cs="Times New Roman" w:eastAsia="Times New Roman" w:hAnsi="Times New Roman"/>
          <w:sz w:val="18"/>
          <w:szCs w:val="18"/>
          <w:color w:val="auto"/>
        </w:rPr>
        <w:t>Restaurants can seem undifferentiated from each other to consumers.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6"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Slow and Inconvenient Service: </w:t>
      </w:r>
      <w:r>
        <w:rPr>
          <w:rFonts w:ascii="Times New Roman" w:cs="Times New Roman" w:eastAsia="Times New Roman" w:hAnsi="Times New Roman"/>
          <w:sz w:val="18"/>
          <w:szCs w:val="18"/>
          <w:color w:val="auto"/>
        </w:rPr>
        <w:t>Many restaurant operations are analog, and customers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looking for speed, personalization and ease of use.</w:t>
      </w:r>
    </w:p>
    <w:p>
      <w:pPr>
        <w:spacing w:after="0" w:line="73" w:lineRule="exact"/>
        <w:rPr>
          <w:rFonts w:ascii="Times New Roman" w:cs="Times New Roman" w:eastAsia="Times New Roman" w:hAnsi="Times New Roman"/>
          <w:sz w:val="18"/>
          <w:szCs w:val="18"/>
          <w:color w:val="auto"/>
        </w:rPr>
      </w:pPr>
    </w:p>
    <w:p>
      <w:pPr>
        <w:ind w:left="1320" w:right="459" w:hanging="434"/>
        <w:spacing w:after="0" w:line="286"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Lack of Data: </w:t>
      </w:r>
      <w:r>
        <w:rPr>
          <w:rFonts w:ascii="Times New Roman" w:cs="Times New Roman" w:eastAsia="Times New Roman" w:hAnsi="Times New Roman"/>
          <w:sz w:val="18"/>
          <w:szCs w:val="18"/>
          <w:color w:val="auto"/>
        </w:rPr>
        <w:t>To make good decisions, leaders need good data. In physical industries like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restaurants, it is difficult to measure operations and generate useful data.</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platform provides restaurant operators with solutions to these challenges. First, we have over a decade of expertise digitizing analog workflow and facilitating automation, thus allowing restaurants to still operate efficiently with fewer staff and lower labor cost. Second, our products provide reliable, scaled solutions to several thousand restaurants with iconic brands. We have built long-term relationships with our customers and established our reputation as we have grown our market share. Third, we integrate with industry incumbents that restaurants use and innovate to meet customers’ changing needs. Fourth, our next-generation solutions unearth data points that were previously impossible to gather. With these solutions, innovations and a comprehensive platform, we seek to reduce significantly the labor requirements for businesses across the restaurant hospitality industry.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Platform and Product Offering</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products are designed to increase staff productivity, improve guest experiences and deliver actionable insights to managers. We offer a range of Touch, Vision and Voice products.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Touch</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Touch products enable self-serve ordering, payment processing, customer personalization, and gaming experiences.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latest Touch product, Presto Flex, is an all-in-one tablet that can be deployed for a variety of applications. This tablet can serve as a tabletop device, self-serve kiosk or handheld device. The device offers Wi-Fi and LTE connectivity while weighing 25% less than an iPad with three times the battery capacity of comparable tablets. A.I. technology provides speech recognition that allows automated voice ordering by both guests and staff. The device’s front and rear cameras enable coupon scanning. Presto Flex hosts a wide range of payment options and is PCI-DSS compliant. On average, Presto Flex eliminates 65% of POS trips increasing tables serviced and tips per server.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this product offers tremendous value by allowing restaurants to operate dining rooms with fewer staff, personalizing guest experiences, increasing check sizes with automatic upselling and cross-selling functionality and providing more guest insights to the restaurant’s marketing team. In addition, our Touch products offer:</w:t>
      </w:r>
    </w:p>
    <w:p>
      <w:pPr>
        <w:spacing w:after="0" w:line="108" w:lineRule="exact"/>
        <w:rPr>
          <w:sz w:val="20"/>
          <w:szCs w:val="20"/>
          <w:color w:val="auto"/>
        </w:rPr>
      </w:pPr>
    </w:p>
    <w:p>
      <w:pPr>
        <w:ind w:left="1320" w:right="479" w:hanging="434"/>
        <w:spacing w:after="0" w:line="28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Advanced Security: </w:t>
      </w:r>
      <w:r>
        <w:rPr>
          <w:rFonts w:ascii="Times New Roman" w:cs="Times New Roman" w:eastAsia="Times New Roman" w:hAnsi="Times New Roman"/>
          <w:sz w:val="18"/>
          <w:szCs w:val="18"/>
          <w:color w:val="auto"/>
        </w:rPr>
        <w:t>We have an array of advanced enterprise grade security features. Our Silicon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Valley</w:t>
      </w:r>
      <w:r>
        <w:rPr>
          <w:rFonts w:ascii="Times New Roman" w:cs="Times New Roman" w:eastAsia="Times New Roman" w:hAnsi="Times New Roman"/>
          <w:sz w:val="18"/>
          <w:szCs w:val="18"/>
          <w:i w:val="1"/>
          <w:iCs w:val="1"/>
          <w:color w:val="auto"/>
        </w:rPr>
        <w:t>-based</w:t>
      </w:r>
      <w:r>
        <w:rPr>
          <w:rFonts w:ascii="Times New Roman" w:cs="Times New Roman" w:eastAsia="Times New Roman" w:hAnsi="Times New Roman"/>
          <w:sz w:val="18"/>
          <w:szCs w:val="18"/>
          <w:color w:val="auto"/>
        </w:rPr>
        <w:t xml:space="preserve"> engineering team aims to create a secure pay</w:t>
      </w:r>
      <w:r>
        <w:rPr>
          <w:rFonts w:ascii="Times New Roman" w:cs="Times New Roman" w:eastAsia="Times New Roman" w:hAnsi="Times New Roman"/>
          <w:sz w:val="18"/>
          <w:szCs w:val="18"/>
          <w:i w:val="1"/>
          <w:iCs w:val="1"/>
          <w:color w:val="auto"/>
        </w:rPr>
        <w:t>-at-table</w:t>
      </w:r>
      <w:r>
        <w:rPr>
          <w:rFonts w:ascii="Times New Roman" w:cs="Times New Roman" w:eastAsia="Times New Roman" w:hAnsi="Times New Roman"/>
          <w:sz w:val="18"/>
          <w:szCs w:val="18"/>
          <w:color w:val="auto"/>
        </w:rPr>
        <w:t xml:space="preserve"> experience.</w:t>
      </w:r>
    </w:p>
    <w:p>
      <w:pPr>
        <w:spacing w:after="0" w:line="87"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Wide Payment Options: </w:t>
      </w:r>
      <w:r>
        <w:rPr>
          <w:rFonts w:ascii="Times New Roman" w:cs="Times New Roman" w:eastAsia="Times New Roman" w:hAnsi="Times New Roman"/>
          <w:sz w:val="18"/>
          <w:szCs w:val="18"/>
          <w:color w:val="auto"/>
        </w:rPr>
        <w:t>We support the latest EMV and mobile payment technologies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ability to split bills.</w:t>
      </w:r>
    </w:p>
    <w:p>
      <w:pPr>
        <w:spacing w:after="0" w:line="7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More Than Payments: </w:t>
      </w:r>
      <w:r>
        <w:rPr>
          <w:rFonts w:ascii="Times New Roman" w:cs="Times New Roman" w:eastAsia="Times New Roman" w:hAnsi="Times New Roman"/>
          <w:sz w:val="18"/>
          <w:szCs w:val="18"/>
          <w:color w:val="auto"/>
        </w:rPr>
        <w:t>Our tablets have a broad range of functionality beyond payments.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enable guests to order on demand, play games, watch videos, and provide instant feedback — all from the table.</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business has one principal supplier through which we source the tablets used in the legacy version of our Touch product and one principal supplier through which we source the tablets used in the latest generation of our Touch product, Presto Flex.</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With respect to our legacy Touch tablets, on October 23, 2015, we entered into an agreement with XAC Taiwan (“XAC”), a company organized under the laws of the Republic of China (Taiwan) (the “Legacy Tablet Agreement”). The Legacy Tablet Agreement had an original term of three years and, since the expiration of the original term, has automatically renewed for successive one year periods. Either party may terminate the Legacy Tablet Agreement upon 180 days’ notice or upon a material breach of the agreement if such breach is not cured within 30 days.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With respect to our Presto Flex product, on September 11, 2019, we entered into a Master Supply Agreement (the “Flex Tablet Agreement”) with Hong Kong-based tablet computer suppliers Billion Time International, Limited (“Billion Time”) and Hong Kong Linktop Technology, Limited (“Linktop”). Under the Flex Tablet Agreement, Billion Time and Linktop develop and manufacture the tablets used in our Presto Flex product and provide technical and repair services for us. The Flex Tablet Agreement has an initial term of three years with automatic one-year renewal periods. Any party may terminate the Flex Tablet Agreement upon 180 days’ notice or upon a material breach of the agreement if such breach is not cured within 60 days.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maintain inventory that we believe is sufficient to address a potential interruption in supply. In the event of a shortage or supply interruption from XAC, Billion Time or Linktop, if our inventory estimates are incorrect, we may not be able to develop alternative sources for these tablets quickly, cost-effectively, or at all.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Vision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AI-powered computer vision application provides real-time error detection, visual order tracking capabilities, and repeat guest identification. Presto Vision uses strategically located cameras and powerful artificial intelligence algorithms to offer unique real-time insights into restaurant operations and analytics.</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next generation technology quickly identifies dropouts in drive-through lines, repeat customers, errors during food preparation, and missing items in the packing process. Our Vision product’s smart analytics promotes items with short preparation times when queues are long and notifies managers to deploy line-busting tablets when drive-through wait times or abandonment rates are high.</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Vision product also helps boost order accuracy in the restaurant hospitality industry by deploying its technology to kitchens. This allows management to monitor whether orders going out the door are substantially accurate, thereby reducing refunds, labor cost in remaking food and unhappy guests.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believe this product can create lower drive-through wait times and reduced drive-through abandonment, higher order accuracy, and improved guest service.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Voice</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speech recognition technology offers guests voice-based ordering in the drive-through and other restaurant settings. Our technology takes orders using automated A.I. that frees up staff by automatically transmitting orders to the restaurant’s POS system. We believe that our Voice technology can enable faster transactions and improved order accuracy by eliminating human order taking, as well as increasing check sizes with automatic upselling and cross-selling functionality.</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 Services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also offer a range of transaction services geared to enhance the customer dining experience, including premium content (gaming) and other revenue, which includes professional services. We provide the diners at our customers’ restaurants the opportunity to purchase premium content during the dining experience. We control the associated gaming licenses and its accessibility and have influence in establishing the price charged to the diner. In addition, we also generate revenue from professional services, consisting primarily of fees from developing premium content used on the devices and at installation.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We believe that we have a number of competitive strengths that will enable our market leadership to grow.</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competitive strengths include:</w:t>
      </w:r>
    </w:p>
    <w:p>
      <w:pPr>
        <w:spacing w:after="0" w:line="135" w:lineRule="exact"/>
        <w:rPr>
          <w:sz w:val="20"/>
          <w:szCs w:val="20"/>
          <w:color w:val="auto"/>
        </w:rPr>
      </w:pPr>
    </w:p>
    <w:p>
      <w:pPr>
        <w:jc w:val="both"/>
        <w:ind w:left="1320" w:right="459" w:hanging="434"/>
        <w:spacing w:after="0" w:line="257"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Industry-Leading Technology Platform:</w:t>
      </w:r>
      <w:r>
        <w:rPr>
          <w:rFonts w:ascii="Times New Roman" w:cs="Times New Roman" w:eastAsia="Times New Roman" w:hAnsi="Times New Roman"/>
          <w:sz w:val="18"/>
          <w:szCs w:val="18"/>
          <w:color w:val="auto"/>
        </w:rPr>
        <w:t>We have created a hard-to-replicate technology platform that we believe comprehensively addresses the challenges that fast casual and quick service restaurants are facing. This includes multiple back-end integrations, layers of PCI compliance and security, enterprise grade reliability, ability to scale seamlessly and deploy quickly across multiple geographies, and a customer success, support and operations team that understands enterprise challenges.</w:t>
      </w:r>
    </w:p>
    <w:p>
      <w:pPr>
        <w:spacing w:after="0" w:line="32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Category-Leading Customer Loyalty: </w:t>
      </w:r>
      <w:r>
        <w:rPr>
          <w:rFonts w:ascii="Times New Roman" w:cs="Times New Roman" w:eastAsia="Times New Roman" w:hAnsi="Times New Roman"/>
          <w:sz w:val="18"/>
          <w:szCs w:val="18"/>
          <w:color w:val="auto"/>
        </w:rPr>
        <w:t>Customer relationships are core to our business, and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 to improve our retention. We maintain long-term relationships with our customers that are reflected by our 102% net revenue retention for the fiscal year ended June 30, 2022. Net revenue retention compares our revenue associated with a set of active restaurant logos in a one-year period to the same set of restaurant logos in the prior year period. We calculate net revenue retention by dividing a particular period’s quarterly annual reoccurring revenue, including both Platform and Transaction revenue, by the prior period’s quarterly annual reoccurring revenue using the same set of restaurant logos. Net revenue retention is an indicator of the propensity of our customers to continue working with us and expanding their relationship with us. We assess our net revenue retention quarterly on a rolling basis year-over-year.</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Model That is “Sticky” and High Growth: </w:t>
      </w:r>
      <w:r>
        <w:rPr>
          <w:rFonts w:ascii="Times New Roman" w:cs="Times New Roman" w:eastAsia="Times New Roman" w:hAnsi="Times New Roman"/>
          <w:sz w:val="18"/>
          <w:szCs w:val="18"/>
          <w:color w:val="auto"/>
        </w:rPr>
        <w:t>Our compelling and differentiated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 has enabled us to grow and expand our business. The “front of the house” or guest facing nature of our technology, as evidenced by the nature of our entertainment apps, and consumer facing voice ordering capabilities, as well as increased adoption by the customer’s staff and customers over the life of a multi-year contract, create a “sticky” relationship and high switching costs.</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6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 Channels of Organic Growth: </w:t>
      </w:r>
      <w:r>
        <w:rPr>
          <w:rFonts w:ascii="Times New Roman" w:cs="Times New Roman" w:eastAsia="Times New Roman" w:hAnsi="Times New Roman"/>
          <w:sz w:val="18"/>
          <w:szCs w:val="18"/>
          <w:color w:val="auto"/>
        </w:rPr>
        <w:t>Both our existing customer base and addressable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a compelling opportunity for product cross-sell and upsell. Additionally, continued innovation from our research and development team provides new and innovative use cases for our Vision and Voice products.</w:t>
      </w:r>
    </w:p>
    <w:p>
      <w:pPr>
        <w:spacing w:after="0" w:line="95"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Exceptional Management Team to Execute on Strategy:</w:t>
      </w:r>
      <w:r>
        <w:rPr>
          <w:rFonts w:ascii="Times New Roman" w:cs="Times New Roman" w:eastAsia="Times New Roman" w:hAnsi="Times New Roman"/>
          <w:sz w:val="18"/>
          <w:szCs w:val="18"/>
          <w:color w:val="auto"/>
        </w:rPr>
        <w:t>Our management team has a demonstrated history of delivering strong operational results. Our Chief Executive Officer, Raj Suri, co-founded Zimride (now Lyft), the popular ride-sharing company. Our Chief Financial Officer, Ashish Gupta, has driven revenue growth, business model transformation, and cross-border M&amp;A for over 20 years. Our Chief Technology Officer and Chief Revenue Officer both bring experience from well-known companies such as Microsoft, Postmates and Yahoo.</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believe that Presto can profitably grow and has tremendous potential based on our total addressable market. Our growth strategies include:</w:t>
      </w:r>
    </w:p>
    <w:p>
      <w:pPr>
        <w:spacing w:after="0" w:line="90" w:lineRule="exact"/>
        <w:rPr>
          <w:sz w:val="20"/>
          <w:szCs w:val="20"/>
          <w:color w:val="auto"/>
        </w:rPr>
      </w:pPr>
    </w:p>
    <w:p>
      <w:pPr>
        <w:jc w:val="both"/>
        <w:ind w:left="1320" w:right="479" w:hanging="434"/>
        <w:spacing w:after="0" w:line="255" w:lineRule="auto"/>
        <w:tabs>
          <w:tab w:leader="none" w:pos="131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Proven Land &amp; Expand Model: </w:t>
      </w:r>
      <w:r>
        <w:rPr>
          <w:rFonts w:ascii="Times New Roman" w:cs="Times New Roman" w:eastAsia="Times New Roman" w:hAnsi="Times New Roman"/>
          <w:sz w:val="18"/>
          <w:szCs w:val="18"/>
          <w:color w:val="auto"/>
        </w:rPr>
        <w:t>We initiate a customer relationship in a few test locations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we identify pain points and offer a trial product offering. This allows easy adoption of our products and requires minimal time to value. This also proves out the value proposition of our products. After we complete the land stage, we move to the expand stage where we expand use</w:t>
      </w:r>
      <w:r>
        <w:rPr>
          <w:rFonts w:ascii="Times New Roman" w:cs="Times New Roman" w:eastAsia="Times New Roman" w:hAnsi="Times New Roman"/>
          <w:sz w:val="18"/>
          <w:szCs w:val="18"/>
          <w:i w:val="1"/>
          <w:iCs w:val="1"/>
          <w:color w:val="auto"/>
        </w:rPr>
        <w:t xml:space="preserve">-cases </w:t>
      </w:r>
      <w:r>
        <w:rPr>
          <w:rFonts w:ascii="Times New Roman" w:cs="Times New Roman" w:eastAsia="Times New Roman" w:hAnsi="Times New Roman"/>
          <w:sz w:val="18"/>
          <w:szCs w:val="18"/>
          <w:color w:val="auto"/>
        </w:rPr>
        <w:t>to additional locations to further demonstrate customer success. With more locations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cross</w:t>
      </w:r>
      <w:r>
        <w:rPr>
          <w:rFonts w:ascii="Times New Roman" w:cs="Times New Roman" w:eastAsia="Times New Roman" w:hAnsi="Times New Roman"/>
          <w:sz w:val="18"/>
          <w:szCs w:val="18"/>
          <w:i w:val="1"/>
          <w:iCs w:val="1"/>
          <w:color w:val="auto"/>
        </w:rPr>
        <w:t>-sell</w:t>
      </w:r>
      <w:r>
        <w:rPr>
          <w:rFonts w:ascii="Times New Roman" w:cs="Times New Roman" w:eastAsia="Times New Roman" w:hAnsi="Times New Roman"/>
          <w:sz w:val="18"/>
          <w:szCs w:val="18"/>
          <w:color w:val="auto"/>
        </w:rPr>
        <w:t xml:space="preserve"> supplemental product offerings, we add value at scale as we eventually expand into potentially all remaining customer locations targeting a 100% penetration rate over time.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spacing w:after="0"/>
        <w:tabs>
          <w:tab w:leader="none" w:pos="1300" w:val="left"/>
          <w:tab w:leader="none" w:pos="61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Strategic &amp; Accretive M&amp;A to Accelerate Growth:</w:t>
      </w:r>
      <w:r>
        <w:rPr>
          <w:sz w:val="20"/>
          <w:szCs w:val="20"/>
          <w:color w:val="auto"/>
        </w:rPr>
        <w:tab/>
      </w:r>
      <w:r>
        <w:rPr>
          <w:rFonts w:ascii="Times New Roman" w:cs="Times New Roman" w:eastAsia="Times New Roman" w:hAnsi="Times New Roman"/>
          <w:sz w:val="18"/>
          <w:szCs w:val="18"/>
          <w:color w:val="auto"/>
        </w:rPr>
        <w:t>We  have  identified  acquisition</w:t>
      </w:r>
    </w:p>
    <w:p>
      <w:pPr>
        <w:spacing w:after="0" w:line="31" w:lineRule="exact"/>
        <w:rPr>
          <w:sz w:val="20"/>
          <w:szCs w:val="20"/>
          <w:color w:val="auto"/>
        </w:rPr>
      </w:pPr>
    </w:p>
    <w:p>
      <w:pPr>
        <w:jc w:val="both"/>
        <w:ind w:left="1320" w:right="459"/>
        <w:spacing w:after="0" w:line="251" w:lineRule="auto"/>
        <w:rPr>
          <w:sz w:val="20"/>
          <w:szCs w:val="20"/>
          <w:color w:val="auto"/>
        </w:rPr>
      </w:pPr>
      <w:r>
        <w:rPr>
          <w:rFonts w:ascii="Times New Roman" w:cs="Times New Roman" w:eastAsia="Times New Roman" w:hAnsi="Times New Roman"/>
          <w:sz w:val="18"/>
          <w:szCs w:val="18"/>
          <w:color w:val="auto"/>
        </w:rPr>
        <w:t>opportunities that are from verticals such as customer relationship management and loyalty, POS products, front of house management, online ordering, AI tools, and integration middleware. We have engaged in exploratory conversations with several targets that have expressed an interest in exploring an acquisition by Presto. We believe these potential targets have strong product fits and could add approximately $30 million of additional ARR. With this strategy, we can further expand our product, achieve revenue and cost synergies, and increase scale. Any determination to take action in this regard will be based on market conditions and opportunities existing at the time, and accordingly, the timing, size or success of any efforts and the associated potential capital commitments are unpredictable.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Go-To-Market</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products serve various roles in a restaurant’s management, including with respect to franchise owners and chief operating officers (COOs), chief management officers (CMOs), chief information officers (CIOs) and chief financial officers (CFOs).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Franchise Owner: Maintaining quality service standards and overseeing the finances of a restaurant brand are not nearly as challenging as the labor shortage that franchise owners are dealing with today. Labor shortages, increased minimum wage demands and COVID-19 liability concerns are the defining issues challenging the ongoing viability of a restaurant franchise. Our technology can be a franchise owner’s most reliable new hire by helping them augment their existing workforces, implement tools that reduce unnecessary busywork and improve employee retention.</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COO: The COO is challenged with meeting their restaurant’s operational goals due to the incredible strain of the labor shortage. Retaining existing staff and replacing those who have left is their top priority for short-term survival and long-term growth. Our technology seeks to augment their existing workforce and improves employee retention delivering tangible improvements in productivity, throughput and quality.</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CMO: Having a solid understanding of their guest’s ever-changing behavior and meeting marketing metrics defines the success of today’s restaurant CMO. Struggling with fewer marketing resources, shrinking budgets, and protecting their brand from cautious guests have all become their most significant issues. We expect our technology will provide accurate data to measure customer behavior and improve the guest experience.</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CIO: With an increasing focus on customer-facing technology, upgrading legacy POS systems, and management systems, the CIO is challenged to meet increasingly demanding guest experience expectations. Choosing from all the digital transformation options to effectively future-proof their restaurant is the most complicated issue facing any CIO. Our next generation technology platform is a multipurpose, all-in-one solution that can easily integrate into customers’ existing ecosystem.</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CFO: We believe our next generation technology can help the CFO drive sales and profitability growth by delivering incremental revenue through higher check sizes and reducing operating expenses through labor cost savings, improved order accuracy, and speed of service. The CFO can also optimize free cash flow by freeing up capital expenditures for technology towards restaurant core competencies.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sales team focuses on new location growth, our customer community, and sales enablement and operations.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To generate demand we have developed a library of focused marketing materials as well as a robust referral network, including many of our current customers. Once we acquire prospective customers, we work with them to produce pricing, packaging and diner interfaces intended to simplify product adoption and support our customers in growing their sales.</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also developed and nurtured long-term relationships with our largest customers and maintain an ongoing relationship with them that includes technical support and conducting quarterly business reviews in order to build a pathway to successful renewals and product upgrades.</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we had 16 employees across sales and marketing. We intend to continue to invest in our sales and marketing capabilities to capitalize on our market opportunity.</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Both private and public restaurant brands have chosen our platform, including Applebee’s, BJ’s, Checkers, Chili’s, Famous Dave’s, Outback Steakhouse and Red Lobster. We accommodate service models of all types, including quick service, fast-casual and casual dining. Brands use our platform to strengthen their customer relationships and boost their digital orders. Our typical initial contract length is 12 to 48 months, providing visibility into our forward performance.</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each of the years ended June 30, 2022 and 2021, our three largest restaurant customers generated an aggregate of approximately 93% of our revenue. We present a discussion of each of these customers below.</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purchase and services agreement with our largest customer was executed in June 2019, and provided for the onboarding and initial sale of our Touch product. The purchase and services agreement also provides the terms under which the customer may elect to purchase additional Touch devices, as well as a revenue sharing arrangement for the provision of premium content to the customer’s patrons. The purchase and sale agreement has an initial term of three years which can be extended in June 2023 for up to a year or up to an additional six years if the customer purchases upgrades to the Touch products currently in use. If the customer does not decide to move forward with an extension 180 days before a term lapses, we may send a notice that gives the customer 15 days to decide if it will continue for another term. If the customer does not extend in such timeframe, the agreement expires at the end of the then-active term. The customer can also terminate the purchase and services agreement upon 180 days’ notice.</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services agreement with our second largest customer was executed in 2017 along with a first statement of work (SOW) pursuant thereto. The services agreement and SOW provided for the onboarding and initial sale of the Touch product, along with the terms under which the customer may elect to purchase additional Touch devices and a revenue sharing arrangement for the provision of premium content to the customer’s patrons. The services agreement had an initial term of 12 months and has automatically renewed on a year-to-year basis since 2018. The services agreement will continue to automatically renew unless it is terminated with 90 days’ notice by either party. The services agreement can also be terminated by the customer with 30 days prior written notice at any time if there is not an SOW outstanding. If there is no SOW outstanding for 12 months, the services agreement automatically terminates. The SOW has an initial term of 36 months, which may be extended two times, each for a period of 12 months. The current SOW will expire in December 2022. Our customer account team is currently in preliminary discussions with this customer to enter into a new SOW after the first SOW expires.</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service provider agreement with our third largest customer was executed in 2017 with the customer renewing a previous agreement with Presto made in 2013. The agreement governs the ongoing relationship between Presto and the customer as well as the franchisee agreements executed between Presto and each of the customer’s franchisees. The term of the service provider agreement extends until each of the franchisee agreements has been terminated. In addition to governing the terms of further purchases of the Touch product and a revenue sharing arrangement for the provision of premium content to the franchisees’ patrons, the franchisee agreements required that the franchisees replace certain existing Touch products with upgraded versions by way of purchasing the new equipment or leasing it. The franchisee agreements are currently scheduled to terminate in late 2023 unless they are extended.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Technical Support</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technical team supports our customers through the onboarding process, including by providing employee training, device installation, procedures for troubleshooting and maintenance and advising on best practices, among other things. We are committed to providing a differentiated customer experience. We are able to provide our customers with the option of choosing between on-site, remote, and self-guided implementation.</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Following onboarding, we offer our customers support through multiple channels, including chat, phone, web and in person visits as needed. We are focused on providing our customers best-in-class technical support and will continue to make significant investments in an effort to do so.</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2022, we had 16 employees on our customer success team.</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develop products through research on the restaurant industry that focuses on the challenges its participants face now and will face in the future. For example, our current and planned products are designed to, among other things, assist in mitigating the impact of nation-wide labor shortages faced by the restaurant and hospitality industry, as well as the increased cost of employment for these customers due to increasing minimum wages and higher costs of labor in general. We are dedicated to helping our customers grow their business and, by doing so, creating lasting relationships and happy diners.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organize our team to develop the full-stack of our products, integrating product management, engineering, analytics, data science, and design. We develop our products in three primary research and development locations: San Carlos, California, Addison, Texas and Toronto, Ontario, Canada. As of June 30, 2022, we had 78 employees in our research and development team.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markets in which we compete are competitive and evolving rapidly. Our platform combines functionality from numerous product categories, and we therefore compete in each of these categories:</w:t>
      </w:r>
    </w:p>
    <w:p>
      <w:pPr>
        <w:spacing w:after="0" w:line="81" w:lineRule="exact"/>
        <w:rPr>
          <w:sz w:val="20"/>
          <w:szCs w:val="20"/>
          <w:color w:val="auto"/>
        </w:rPr>
      </w:pPr>
    </w:p>
    <w:p>
      <w:pPr>
        <w:ind w:left="1320" w:right="479" w:hanging="434"/>
        <w:spacing w:after="0" w:line="282"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Touch platforms, we primarily compete with OneDine, Ziosk, and POS-proprietary systems;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Vision platforms, we primarily compete with Agot AI, Precitaste and Dragontail Systems;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Voice platforms, we primarily compete with IBM, Synq3, Valyant AI, Converse Now and Open City.</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believe the principal competitive factors in our market are:</w:t>
      </w:r>
    </w:p>
    <w:p>
      <w:pPr>
        <w:spacing w:after="0" w:line="158" w:lineRule="exact"/>
        <w:rPr>
          <w:sz w:val="20"/>
          <w:szCs w:val="20"/>
          <w:color w:val="auto"/>
        </w:rPr>
      </w:pPr>
    </w:p>
    <w:p>
      <w:pPr>
        <w:ind w:left="1320" w:right="479" w:hanging="434"/>
        <w:spacing w:after="0" w:line="282"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an end-to-end software platform specifically designed to meet the existing and future technology needs of prospective customers;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use and flexibility;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 reputation and brand recognition;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technology and platform support;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and marketing efforts.</w:t>
      </w:r>
    </w:p>
    <w:p>
      <w:pPr>
        <w:spacing w:after="0" w:line="144" w:lineRule="exact"/>
        <w:rPr>
          <w:sz w:val="20"/>
          <w:szCs w:val="20"/>
          <w:color w:val="auto"/>
        </w:rPr>
      </w:pPr>
    </w:p>
    <w:p>
      <w:pPr>
        <w:jc w:val="both"/>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We expect the competition to evolve as the market continues to grow, evolve, and attract new market entrants, especially smaller emerging companies. We believe that with our differentiated products, attractive business model, and unique go-to-market strategy we can compete effectively and favorably within the industry.</w:t>
      </w:r>
    </w:p>
    <w:p>
      <w:pPr>
        <w:spacing w:after="0" w:line="8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For information on risks relating to increased competition in our industry, see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Presto’s Competition, Sales and Marketing</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Social Responsibility and Community Initiatives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COVID Tech Connect was founded with a mission to connect critically ill COVID-19 patients with their loved ones. From March 2020 through August 2021, we donated 20,000 tablets and 30,000 charge cords to 2,000 hospitals and care facilities in all 50 states across the United States. We scaled beyond hardware with the development of an award-nominated, free video conferencing solution, that connects hospitalized COVID patients with friends and family through virtual visitations. We also expanded beyond our mission with emergency relief for those communities who were disproportionately affected by COVID-19, both domestically and abroad.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we had eight registered domain names for websites that we use in our business, such as presto.com and other variations, and no registered trademarks, patents or copyrights.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See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including “</w:t>
      </w:r>
      <w:r>
        <w:rPr>
          <w:rFonts w:ascii="Times New Roman" w:cs="Times New Roman" w:eastAsia="Times New Roman" w:hAnsi="Times New Roman"/>
          <w:sz w:val="18"/>
          <w:szCs w:val="18"/>
          <w:i w:val="1"/>
          <w:iCs w:val="1"/>
          <w:color w:val="auto"/>
        </w:rPr>
        <w:t>Risk Factors—Risks Related to Presto’s Intellectual Property</w:t>
      </w:r>
      <w:r>
        <w:rPr>
          <w:rFonts w:ascii="Times New Roman" w:cs="Times New Roman" w:eastAsia="Times New Roman" w:hAnsi="Times New Roman"/>
          <w:sz w:val="18"/>
          <w:szCs w:val="18"/>
          <w:color w:val="auto"/>
        </w:rPr>
        <w:t>” for a description of the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intellectual property.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maintain insurance, excess coverage, or reinsurance for property and general liability, professional liability, directors’ and officers’ liability, workers’ compensation, cybersecurity, technology errors and omissions, ocean/marine cargo, commercial crime and other coverage in amounts and on terms deemed adequate by management, based on our actual claims experience and expectations for future claims. However, future claims could exceed our applicable insurance coverage.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Facilities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at 985 Industrial Road, San Carlos, California 94070 and consist of approximately 4,300 square feet of office space under a lease that expires in January 2025. We also maintain additional offices in Addison, Texas and Toronto, Ontario, Canada.</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a result of COVID-19, our workforce has been working remotely since March 2020. We recognized early on in the COVID-19 pandemic that there was likely to be a shift in the workplace and introduced measures to facilitate a flexible work environment for our employees. We have been continually assessing our physical office footprint, including our corporate headquarters and those locations noted above, and our future flexible work environment may allow us to reduce our current physical office footprint. We believe that our facilities are adequate to meet our needs for the immediate future and that we will be able to secure additional space, as needed, to accommodate expansion of our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legal proceedings can have an adverse impact on us because of defense and settlement costs, diversion of management resources, and other factors.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June 2022, we received a favorable arbitrator ruling related to a matter with our third-party subcontractor and we were awarded approximately $11,304 in damages related to our loss on infrequent product repairs and to cover our legal expenses. The award has not met the criteria to be considered realizable as of June 30, 2022. As a result, we have not recognized any gain related to this settlement in our consolidated statement of operations and comprehensive loss.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Various aspects of our business and service areas are subject to U.S. federal, state, and local regulation. As more fully described below, certain of our services also are, or may be in the future, subject to the laws, rules, and regulations that are related to acceptance of credit cards and debit cards. We also are, or may be in the future, subject to rules promulgated and enforced by multiple authorities and governing bodies in the United States, including federal, state and local agencies, payment card networks and other authorities. These descriptions are not exhaustive, and these laws, regulations, and rules frequently change and are increasing in number.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Card Network and NACHA Rules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rely on our relationships with financial institutions and third-party payment processors to access the payment card networks, such as Visa and Mastercard, which enable our acceptance of credit cards and debit cards. We pay fees to such financial institutions and third-party payment processors for such services. We are required by these third-party payment processors to register with Visa, Mastercard, and other card networks and to comply with the rules and the requirements of these card networks’ self-regulatory organizations. The payment networks and their member financial institutions routinely update, generally expand, and modify requirements applicable to our customers, including rules regulating data integrity, third-party relationships, merchant chargeback standards and compliance with PCI-DSS. PCI-DSS is a set of requirements designed to ensure that all companies that process, store, or transmit payment card information maintain a secure environment to protect cardholder data.</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also subject to the operating rules of the National Automated Clearing House Association (“NACHA”).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Privacy and Consumer Information Security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access, collect, store, use, transmit and otherwise process certain types of data, including personally identifiable information (“PII”), which subjects us to certain federal and state privacy and information security laws, rules, industry standards and regulations designed to regulate consumer information and data privacy, security and protection, and mitigate identity theft. These laws, some of which are discussed below, impose obligations with respect to the collection, processing, storage, disposal, use, transfer, retention and disclosure of PII, and, with limited exceptions, give consumers the right to prevent use of their PII and disclosure of it to third parties. Such laws and regulations are subject to ongoing changes, and a number of new proposed or recently passed laws or regulations in this area are expected to be applicable to our business.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under these laws and regulations, including the federal Gramm-Leach-Bliley Act (“GLBA”) and Regulation P promulgated thereunder, we must disclose our privacy policy and practices, including those policies relating to the sharing of nonpublic personal information with third parties. The GLBA may restrict the purposes for which we may use PII obtained from consumers and third parties. We may also be required to provide an opt-out from certain sharing.</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January 1, 2020, the CCPA took effect, directly impacting our California business operations and indirectly impacting our operations nationwide. While personal information that we process that is subject to the GLBA is exempt from the CCPA, the CCPA regulates other personal information that we collect and process. A new California ballot initiative, the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our audited consolidated financial statements as of and for the years ended June 30, 2022 and 2021 and the related notes as set forth elsewhere in this prospectus. The discussion and analysis should also be read together with the unaudited pro forma condensed combined financial information in the section titled “Unaudited Pro Forma Condensed Combined Financial Information.” This discussion contains forward-looking statements that involve risks and uncertainties. Presto’s actual results could differ materially from such forward-looking statements. Factors that could cause or contribute to those differences include, but are not limited to, those identified below and those discussed in the sections titled “Risk Factors” and “Cautionary Statement Regarding Forward-Looking Statements” included in this prospectus. Additionally, Presto’s historical results are not necessarily indicative of the results that may be expected in any future period. Amounts are presented in U.S. dollars.</w:t>
      </w:r>
    </w:p>
    <w:p>
      <w:pPr>
        <w:spacing w:after="0" w:line="124"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or “our” refers to E La Carte, Inc. (“Legacy Presto”) and its subsidiaries prior to the consummation of the Business Combination and New Presto following the consummation of the Business Combination.</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or MD&amp;A, describes principal factors affecting the results of our operations, financial condition and liquidity, as well as our critical accounting policies and estimates that require significant judgment and thus have the most significant potential impact on our Consolidated Financial Statements. Our MD&amp;A is organized as follows:</w:t>
      </w:r>
    </w:p>
    <w:p>
      <w:pPr>
        <w:spacing w:after="0" w:line="95" w:lineRule="exact"/>
        <w:rPr>
          <w:sz w:val="20"/>
          <w:szCs w:val="20"/>
          <w:color w:val="auto"/>
        </w:rPr>
      </w:pPr>
    </w:p>
    <w:p>
      <w:pPr>
        <w:ind w:left="1320" w:right="479" w:hanging="434"/>
        <w:spacing w:after="0" w:line="286"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This section provides a general description of our business, recent developments,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key business metrics.</w:t>
      </w:r>
    </w:p>
    <w:p>
      <w:pPr>
        <w:spacing w:after="0" w:line="87"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color w:val="auto"/>
        </w:rPr>
        <w:t>This section provides an overview and analysis of our financial results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ended June 30, 2022 compared to the fiscal year ended June 30, 2021.</w:t>
      </w:r>
    </w:p>
    <w:p>
      <w:pPr>
        <w:spacing w:after="0" w:line="87" w:lineRule="exact"/>
        <w:rPr>
          <w:rFonts w:ascii="Times New Roman" w:cs="Times New Roman" w:eastAsia="Times New Roman" w:hAnsi="Times New Roman"/>
          <w:sz w:val="18"/>
          <w:szCs w:val="18"/>
          <w:color w:val="auto"/>
        </w:rPr>
      </w:pPr>
    </w:p>
    <w:p>
      <w:pPr>
        <w:ind w:left="1320" w:right="459" w:hanging="434"/>
        <w:spacing w:after="0" w:line="286"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This section provides an analysis of our liquidity and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cash flows, as well as a discussion of available borrowings and contractual commitments.</w:t>
      </w:r>
    </w:p>
    <w:p>
      <w:pPr>
        <w:spacing w:after="0" w:line="73" w:lineRule="exact"/>
        <w:rPr>
          <w:rFonts w:ascii="Times New Roman" w:cs="Times New Roman" w:eastAsia="Times New Roman" w:hAnsi="Times New Roman"/>
          <w:sz w:val="18"/>
          <w:szCs w:val="18"/>
          <w:color w:val="auto"/>
        </w:rPr>
      </w:pPr>
    </w:p>
    <w:p>
      <w:pPr>
        <w:jc w:val="both"/>
        <w:ind w:left="1320" w:right="459" w:hanging="434"/>
        <w:spacing w:after="0" w:line="262"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Critical Accounting Policies and Estimates. </w:t>
      </w:r>
      <w:r>
        <w:rPr>
          <w:rFonts w:ascii="Times New Roman" w:cs="Times New Roman" w:eastAsia="Times New Roman" w:hAnsi="Times New Roman"/>
          <w:sz w:val="18"/>
          <w:szCs w:val="18"/>
          <w:color w:val="auto"/>
        </w:rPr>
        <w:t>This section discusses accounting policies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that require us to exercise subjective or complex judgments in their application. We believe these accounting policies and estimates are important to understanding the assumptions and judgments incorporated in our reported financial results.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seek to overlay next-generation digital solutions onto the approximately $3 trillion hospitality industry given its current primarily analog nature and substantial reliance on labor. At present, we are focused on the restaurant industry.</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Process automation is a long-term priority for all physical businesses. As a result, restaurants need reliable and scalable products and technology that easily integrates with old, legacy systems.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platform offers a comprehensive set of modular, targeted solutions to increase staff productivity, improve guest experience and deliver actionable insights to restaurants. Our platform enables customers to improve important factors that drive profitability in a low-margin industry. With Presto’s platform, restaurants can benefit from increased table per server ratios, order accuracy, check size, and customer data collection.</w:t>
      </w:r>
    </w:p>
    <w:p>
      <w:pPr>
        <w:spacing w:after="0" w:line="11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Our latest generation Presto Touch product called Presto Flex functions as an all-in-one server handheld or tabletop guest ordering, payment, customer personalization and gaming device. Our Vision product consists of an AI-powered computer vision software application that delivers unique and real-time insights to operators. Our Voice products use speech recognition technology in the customer order process and connect with restaurant POS systems to maximize efficiency and minimize costs by automatically transmitting orders to the restaurant’s POS system.</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Presto Touch product has accounted for the majority of our historical revenue. However, we expect an increasing mix of our future revenue to come from our Vision and Voice products.</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benefit from a predictable, recurring revenue model from enterprise restaurant chains. We serve a blue-chip customer base with multibillion-dollar gross merchandise volume potential and high net retention rates. In the future, we may take advantage of several acquisition opportunities in customer relationship management and loyalty, POS products, front of house management, online ordering, AI tools, and integration middleware. As a result of the Business Combination, we believe that we have the capital to grow organically and inorganically as we scale the Company. We believe that the Business Combination will help accelerate and enhance our ability to acquire and develop products that serve the restaurant hospitality industry.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November 10, 2021 and as subsequently amended on April 1, 2022 and July 25, 2022, VTAQ, Ventoux Merger Sub I, Ventoux Merger Sub II and Presto entered into the Merger Agreement. On September 14, 2022, VTAQ held a special meeting of its stockholders and voted to approve the Proposed Business Combination (“the Business Combination”). Pursuant to the terms of the Merger Agreement, on September 21, 2022,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Upon the Closing, VTAQ was renamed “Presto Automation Inc.” and the VTAQ Common Stock and the Public Warrants were listed on Nasdaq and trade under the ticker symbols “PRST” and “PRSTW,” respectively.</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The Business Combination will be accounted for as a reverse recapitalization in accordance with GAAP. Under 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VTAQ, who is the legal acquirer, will be treated as the “acquired” company for financial reporting purposes and Presto will be treated as the accounting acquirer. This determination was primarily based on Presto expecting to have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Business Combination will be treated as the equivalent of a capital transaction in which Presto is issuing stock for the net assets of VTAQ. The net assets of VTAQ will be stated at historical cost, with no goodwill or other intangible assets recorded. Operations prior to the Business Combination will be those of Presto.</w:t>
      </w:r>
    </w:p>
    <w:p>
      <w:pPr>
        <w:spacing w:after="0" w:line="329"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The most significant changes in Presto’s future reported financial position and results are expected to be a net increase in cash (as compared to our Consolidated Balance Sheet as of June 30, 2022) in excess of $60.0 million. In addition, there were significant changes to Presto’s indebtedness, including repayment of certain obligations, conversion of outstanding convertible promissory notes, and the issuance of $55.0 million in senior debt. Further, increases in our cash amount are reflective of $55.5 million of equity investments in New Presto.</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Public Company Costs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Subsequent to the Business Combination, New Presto is an SEC-registered and Nasdaq-listed company. Accordingly, we have hired and expect to hire additional staff and have implemented new processes and procedures to address public company requirements. We also expect to incur substantial additional expenses for, among other things, directors’ and officers’ liability insurance, director fees, and additional internal and external costs for investor relations, accounting, audit, legal and other functions.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Presto has been subject to risks and uncertainties as a result of COVID-19. Presto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 At the same time, COVID-19 has also had a significant impact on the restaurant and hospitality sector in which Presto operates. Many restaurants closed completely due to lockdowns and staff shortages, especially as multiple waves of COVID-19 continued to debilitate the restaurant and hospitality industry.</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experienced three primary impacts from the initial onset of COVID-19 that impacted our historical financial statements. First, during fiscal year 2022 and the third and fourth quarters of fiscal year 2021, we experienced contract terminations by certain franchisees of one of Presto’s primary enterprise customer relationships and incurred an impairment charge for loss of leased tablets during such periods. Second, COVID-prevention steps taken by customers throughout the fiscal years ended June 30, 2022 and 2021 regarding extreme cleaning protocols damaged our hardware and required repair or replacement and consequently a significant spike in repair and return merchandise authorization (“RMA”) expenses compared to historical expenses. In order to prevent disruption to customers’ businesses, Presto incurred $0.6 million and $3.3 million of loss on infrequent product repairs related to this issue, in the fiscal years ended June 30, 2022 and 2021, respectively. We made a claim to recover the costs from the third-party subcontractor who manufactures the hardware, and, in June 2022, we received a favorable arbitration ruling of $11,304 in damages related to our loss on infrequent product repairs and to cover our legal expenses. The ruling has not met the criteria to be considered realizable as of June 30, 2022, and, as a result, we have not recognized any gain related to this settlement in our consolidated statement of operations and comprehensive loss. Third, as a result of COVID-19, we incurred higher than usual repair expenses for one-time, infrequent product repairs that were not covered by our third-party manufacturer, who typically covers such costs. The increase in expenses was a result of a higher volume of repair requests due to customer issues arising from COVID-19 related complications and a desire on the part of customers to have us reboot and re-certify equipment coming out of COVID-19.</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Over the course of 2022,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Presto’s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continue to operate in a predominantly work-from-home environment. The full extent to which the COVID-19 pandemic will directly or indirectly impact our business, results of operations, cash flows, and financial condition will depend on future developments that are highly uncertain and cannot be accurately predicted.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Macroeconomic and Other Factors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discussed above, the COVID-19 pandemic has had an adverse effect on the global economy and its ultimate societal and economic impact still remains uncertain. Additionally, inflation, rising interest rates, significant volatility of global markets and geopolitical conflicts have also led to further economic disruption and expose us more to the risk as customers reassess purchasing habits, particularly in the restaurant and food service industry.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Revenue Model</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revenue is driven by our ability to attract new customers, retain existing customers, increase sales from both new and existing customers, and ultimately help our customers grow their businesses. We serve casual dining, quick serve and fast casual restaurants that are made up primarily of named logos with tens to thousands of locations, consisting of both corporates and franchisees.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fiscal years ended June 30, 2022 and 2021, we derived our revenues from two revenue streams: (1) sales and leases of the Presto Touch (“platform revenue”), which includes hardware, hardware accessories, software and customer support and maintenance, and (2) Premium Content (gaming) and other revenue, which includes professional services (“transaction revenue”).</w:t>
      </w:r>
    </w:p>
    <w:p>
      <w:pPr>
        <w:spacing w:after="0" w:line="95" w:lineRule="exact"/>
        <w:rPr>
          <w:sz w:val="20"/>
          <w:szCs w:val="20"/>
          <w:color w:val="auto"/>
        </w:rPr>
      </w:pPr>
    </w:p>
    <w:p>
      <w:pPr>
        <w:jc w:val="both"/>
        <w:ind w:left="1320" w:right="459" w:hanging="434"/>
        <w:spacing w:after="0" w:line="254"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Platform Revenue: </w:t>
      </w:r>
      <w:r>
        <w:rPr>
          <w:rFonts w:ascii="Times New Roman" w:cs="Times New Roman" w:eastAsia="Times New Roman" w:hAnsi="Times New Roman"/>
          <w:sz w:val="18"/>
          <w:szCs w:val="18"/>
          <w:color w:val="auto"/>
        </w:rPr>
        <w:t>the platform revenue stream is generated from fees charged to customers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our Presto Touch product and is recognized ratably. Part of the total contract value is due upon execution of the contract, and the remainder is due when the customer goes live. Our contracts with customers are generally for a term ranging from 12 to 48 months. Amounts invoiced in excess of revenue recognized are recorded as deferred revenue. Revenue generated from our newly launched Voice and Vision products were not material during the fiscal years ended June 30, 2022 and 2021. We also maintain arrangements with a certain legacy customer whereby we lease the Presto Touch product to that customer. Revenue associated with the lease was recognized on a straight-line basis as platform revenue over the lease term in the consolidated statements of operations and comprehensive loss.</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Transaction Revenue: </w:t>
      </w:r>
      <w:r>
        <w:rPr>
          <w:rFonts w:ascii="Times New Roman" w:cs="Times New Roman" w:eastAsia="Times New Roman" w:hAnsi="Times New Roman"/>
          <w:sz w:val="18"/>
          <w:szCs w:val="18"/>
          <w:color w:val="auto"/>
        </w:rPr>
        <w:t>transaction revenue consists of a single performance obligation recognized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historically incurred operating losses and negative cash flows from operating activities. We are actively working to expand our customer base and the number of locations in which our products are used, increase sales of our Voice and Vision products, increase our platform revenues and maintain our relationships with current customers, at which point we expect to achieve positive net income and operating cash flow.</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ability to achieve profitability and positive cash flows from operating activities will depend primarily on our ability to increase revenues due to the following factors:</w:t>
      </w:r>
    </w:p>
    <w:p>
      <w:pPr>
        <w:spacing w:after="0" w:line="90" w:lineRule="exact"/>
        <w:rPr>
          <w:sz w:val="20"/>
          <w:szCs w:val="20"/>
          <w:color w:val="auto"/>
        </w:rPr>
      </w:pPr>
    </w:p>
    <w:p>
      <w:pPr>
        <w:jc w:val="both"/>
        <w:ind w:left="1320" w:right="459" w:hanging="434"/>
        <w:spacing w:after="0" w:line="254" w:lineRule="auto"/>
        <w:tabs>
          <w:tab w:leader="none" w:pos="131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Attracting New Customers and Expanding Locations in which Our Products are Used.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growth depends on our ability to attract new customers and expand the locations across which our current and new customers use our products. For calendar years 2022 and 2023, we expect the majority of our new customer growth and new customer location expansion to come from sales of our Voice and Vision products. In an effort to attract new customers and expand our locations served, since the first calendar quarter of 2022, we have signed and are now starting to roll out our Presto Touch, Voice and Vision products across three enterprise customers and approximately 10 pilot customers. Many of these pilot customers have more than a thousand locations each. These customers are testing all three of our products in live locations. Our goal is to convert these pilot customers into broader customer relationships in order to meet our forecasts.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1320" w:right="459" w:hanging="434"/>
        <w:spacing w:after="0" w:line="254" w:lineRule="auto"/>
        <w:tabs>
          <w:tab w:leader="none" w:pos="131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Increasing Voice and Vision Product Sales. </w:t>
      </w:r>
      <w:r>
        <w:rPr>
          <w:rFonts w:ascii="Times New Roman" w:cs="Times New Roman" w:eastAsia="Times New Roman" w:hAnsi="Times New Roman"/>
          <w:sz w:val="18"/>
          <w:szCs w:val="18"/>
          <w:color w:val="auto"/>
        </w:rPr>
        <w:t>Since the first calendar quarter of 2022,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experienced increased demand for our Voice and Vision products with respect to quick service restaurants, especially from chain enterprises with drive-throughs. This accelerated demand is due to the fact that our products mitigate the impact of severe nation-wide labor shortages faced by the restaurant and hospitality industry, as well as the increased cost of employment for these enterprises due to increasing minimum wages and higher costs of labor in general. For example, in January 2022, we announced the industry’s first enterprise Voice rollout with Checkers, a nation-wide restaurant chain with approximately 840 locations. Our goal is to continue to increase sales of our Voice and Vision products to capture new customers in order to meet our forecasts.</w:t>
      </w:r>
    </w:p>
    <w:p>
      <w:pPr>
        <w:spacing w:after="0" w:line="120" w:lineRule="exact"/>
        <w:rPr>
          <w:rFonts w:ascii="Times New Roman" w:cs="Times New Roman" w:eastAsia="Times New Roman" w:hAnsi="Times New Roman"/>
          <w:sz w:val="18"/>
          <w:szCs w:val="18"/>
          <w:b w:val="1"/>
          <w:bCs w:val="1"/>
          <w:color w:val="auto"/>
        </w:rPr>
      </w:pPr>
    </w:p>
    <w:p>
      <w:pPr>
        <w:jc w:val="both"/>
        <w:ind w:left="1320" w:right="459" w:hanging="434"/>
        <w:spacing w:after="0" w:line="259"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 Platform Revenues. </w:t>
      </w:r>
      <w:r>
        <w:rPr>
          <w:rFonts w:ascii="Times New Roman" w:cs="Times New Roman" w:eastAsia="Times New Roman" w:hAnsi="Times New Roman"/>
          <w:sz w:val="18"/>
          <w:szCs w:val="18"/>
          <w:color w:val="auto"/>
        </w:rPr>
        <w:t>As described above, we generate revenue through two 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streams: platform revenue and transaction revenue. We believe our overall growth will be largely driven by platform revenue growth, which we expect to have higher margins than transaction revenues. Platform revenue growth will in turn be driven by an increase in sales of our Voice and Vision products.</w:t>
      </w:r>
    </w:p>
    <w:p>
      <w:pPr>
        <w:spacing w:after="0" w:line="11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Maintain Relationships with Current Customers. </w:t>
      </w:r>
      <w:r>
        <w:rPr>
          <w:rFonts w:ascii="Times New Roman" w:cs="Times New Roman" w:eastAsia="Times New Roman" w:hAnsi="Times New Roman"/>
          <w:sz w:val="18"/>
          <w:szCs w:val="18"/>
          <w:color w:val="auto"/>
        </w:rPr>
        <w:t>In order to help foster robust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renewals, our account management and program management teams conduct quarterly business reviews with our top customers which generate the most value to us, in order to build a pathway to a successful renewal and product upgrade in each fiscal year. Successful renewal of our largest customers is critical to our near-term results of operations and is dependent on product execution, key customer relationships, and in part, health of the franchisees for our customers that have a predominantly franchised model.</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encountered in the past, and may encounter in the future, risks and uncertainties frequently experienced by growing companies in rapidly changing industries. For example, the size and timing of customer rollouts from quarter-to-quarter can vary given our focus on large chain restaurants, which often have different decision-making cycles and levels of internal preparedness. Lastly, another COVID-19 surge could adversely affect the restaurant industry and our customer base by decreasing restaurant demand through a decrease in consumer visits and foot traffic (which we believe ultimately drives our customers’ top line revenues), thereby decreasing demand for our equipment.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and presented in accordance with GAAP, we use certain non-GAAP financial measures, as described below, to understand and evaluate our core operating performance. These non-GAAP financial measures, which may be different than similarly-titled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prospectus.</w:t>
      </w:r>
    </w:p>
    <w:p>
      <w:pPr>
        <w:spacing w:after="0" w:line="120"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Adjusted Gross Profit is calculated as gross profit adjusted to add back depreciation and hardware repair expenses related to COVID.</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gross profit to Adjusted Gross Profit for each of the periods indicated:</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0" w:type="dxa"/>
            <w:vAlign w:val="bottom"/>
          </w:tcPr>
          <w:p>
            <w:pPr>
              <w:spacing w:after="0"/>
              <w:rPr>
                <w:sz w:val="1"/>
                <w:szCs w:val="1"/>
                <w:color w:val="auto"/>
              </w:rPr>
            </w:pP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repair expenses related to COVID</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3,197</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98" w:lineRule="auto"/>
        <w:tabs>
          <w:tab w:leader="none" w:pos="8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Gross Profit includes impairment of returned lease tablets of $0.6 million and $3.0 million for the fiscal year ended June 30, 2022 and the fiscal year ended June 30, 2021, respectively.</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loss, adjusted to exclude interest, other income (expense), net, income taxes, depreciation and amortization expense, stock-based compensation expense, fair value adjustments on warrant liabilities and convertible promissory notes, and hardware repair expenses related to COVID and COVID-related expenses due to damage from liquid ingress.</w:t>
      </w:r>
    </w:p>
    <w:p>
      <w:pPr>
        <w:spacing w:after="0" w:line="11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loss to Adjusted EBITDA for each of the periods presented:</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(56,314)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(49,802)</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40" w:type="dxa"/>
            <w:vAlign w:val="bottom"/>
          </w:tcPr>
          <w:p>
            <w:pPr>
              <w:spacing w:after="0"/>
              <w:rPr>
                <w:sz w:val="21"/>
                <w:szCs w:val="2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tcPr>
          <w:p>
            <w:pPr>
              <w:spacing w:after="0"/>
              <w:rPr>
                <w:sz w:val="21"/>
                <w:szCs w:val="2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20,528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infrequent product repairs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40" w:type="dxa"/>
            <w:vAlign w:val="bottom"/>
          </w:tcPr>
          <w:p>
            <w:pPr>
              <w:spacing w:after="0"/>
              <w:rPr>
                <w:sz w:val="21"/>
                <w:szCs w:val="2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repair expense related to COVID</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(16,043</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59" w:hanging="426"/>
        <w:spacing w:after="0" w:line="269" w:lineRule="auto"/>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includes impairment of returned lease tablets of $0.6 million and $3.0 million for the fiscal year ended June 30, 2022 and the year ended June 30, 2021, respectively.</w:t>
      </w:r>
    </w:p>
    <w:p>
      <w:pPr>
        <w:jc w:val="both"/>
        <w:ind w:left="880" w:right="459" w:hanging="426"/>
        <w:spacing w:after="0" w:line="270" w:lineRule="auto"/>
        <w:tabs>
          <w:tab w:leader="none" w:pos="8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2022, the Company received a favorable arbitration ruling of approximately $11.3 million in damages related to the Company’s loss on infrequent product repairs and to cover its legal expenses related to a matter with its third-party subcontractor. The ruling has not met the criteria to be considered realizable as of June 30, 2022. As a result, the Company has not recognized any gain related to this settlement in its consolidated statement of operations and comprehensive loss.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use one primary key performance indicator to evaluate our operational and financial performance: net revenue retention.</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ability to retain and increase revenue from our existing customer base is a key driver of our business growth. We expand within our existing customer base by selling additional products, adding more locations, and helping restaurants generate greater sales per location.</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Given the long-term and recurring nature of our customer contracts, we use net revenue retention as a key metric. Net revenue retention compares our revenue associated with a set of active restaurant logos in a one-year period to the same set of restaurant logos in the prior year period. We calculate net revenue retention by dividing a particular period’s quarterly annual reoccurring revenue, including both Platform and Transaction revenue, by the prior period’s quarterly annual reoccurring revenue using the same set of restaurant logos. Net revenue retention is an indicator of the propensity of our customers to continue working with us and expanding their relationship with us. We assess our net revenue retention quarterly on a rolling basis year-over-year. For the fiscal year ended June 30, 2022, our net revenue retention was 102% while for the fiscal year ended June 30, 2021, it was 137%. Having digested expansion within our current customer base by the middle of 2021 which fueled the prior year net revenue retention metric, during the fiscal year ended June 30, 2022, we either signed or expanded three new named logos, entering into a new “land” cycle of growth. As these new customers start to rollout and expand their location counts, we expect net revenue retention to increase in fiscal year 2022.</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believe net revenue retention is useful for investors by providing a consistent comparison of customer results and growth across comparable periods within our core, established customer base, unaffected by the impact of new customers on our business.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Support of our Customers’ Revenue Growth</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believe our long-term revenue growth is correlated with the growth of our existing customers’ businesses, and we strive to support their success. Our revenue grows with that of our customers — as our customers generate more sales, we generally see higher platform and transaction revenue. We have a demonstrated track record of partnering with restaurants to help grow their revenue and will continue to invest in our customer success team and in new products that help customers thrive.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Adoption of Additional Products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offer additional products to existing customers through a combination of customer relationship management investments, product-led growth, and the introduction of new products. We believe that we provide the most value when our customers have multiple touchpoints across our platform. We also believe that adoption of additional products will drive labor savings and profitability improvements for our customers, allowing them to reinvest in their success. Decisions by our customers to adopt more of our products will depend on a number of factors, including our customers’ satisfaction with our platform, competition, pricing, and our ability to demonstrate the value proposition of our products.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Expansion of Locations Per Customer</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our customers grow their businesses and open new locations, we expect to see a corresponding increase in locations on our platform. To that end, we work closely with restaurants across our customer-facing teams to support their expansion efforts. We believe that we are well-positioned to extend our reach to and onboard these new locations based on our customers’ desire to use a single, integrated platform across all locations. This impacts our ability to service individual customers with a dedicated, core team using the appropriate technological resources and personnel, creating operating efficiencies of scale while maintaining growth.</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New Locations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believe there is a substantial opportunity to continue to grow our restaurant locations across the casual dining, quick service and fast casual sectors in the United States. We intend to continue to drive new location growth through our differentiated go-to-market strategy, including an industry advisor network, and enterprise sales representatives who are deeply integrated in the local restaurant and hospitality sector. In addition, we will continue to invest in marketing efforts in key U.S. cities to grow our brand awareness. Our ability to acquire new locations will depend on a number of factors, including the effectiveness and growth of our sales team, the success of our marketing efforts, and the continued satisfaction of, and word-of-mouth referrals generated by, our existing customers. We expect our absolute investment in sales and marketing and other customer acquisition costs related to our hardware and professional services to increase as we continue to grow.</w:t>
      </w:r>
    </w:p>
    <w:p>
      <w:pPr>
        <w:spacing w:after="0" w:line="10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number of locations is not in itself a key performance indicator utilized by our management because of varying financial arrangements and contribution. Rather, our management uses number of locations as a general measure of scale across our platform.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Innovation and Development of New Products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a culture of continuous innovation evidenced by our history of consistent and timely product launches and refinements. We intend to continue to invest in research and development to expand and improve the functionality of our current platform and broaden our capabilities to address new market opportunities. As a result, we expect our total operating expenses will increase over time and, in some cases, have short-term negative impacts on our operating margin. Our ability to successfully develop, market, and sell new products to our customers will affect our competitive posture with our competitors.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experience seasonality in our financial transaction revenue, which is largely driven by the level of gross payment volume processed through our platform. For example, customers typically have greater sales during the warmer months, though this effect varies regionally. As a result, our transaction revenue per location has historically been stronger in the second and third quarters. We believe that transaction revenue from both existing and potential future products will continue to represent a material proportion of our overall revenue mix at least in the near term and seasonality will continue to impact our results of operations.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generate revenue from two main sources that are further described below: (1) platform revenue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transaction revenue.</w:t>
      </w:r>
    </w:p>
    <w:p>
      <w:pPr>
        <w:spacing w:after="0" w:line="13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Platform revenue is generated from fees charged to customers for access to Presto Touch product and is recognized ratably. Revenue generated from Voice and Vision products was not material for the fiscal years ended June 30, 2022 and 2021. Part of the total contract value is due upon execution of the contract, and the remainder is due upon installation of the systems. Our contracts with customers are generally for a term ranging from 12 to 48 months. Amounts invoiced in excess of revenue recognized are recorded as deferred revenue. We also maintained arrangements with a certain legacy customer whereby we leased the Presto Touch product to that customer. Revenue associated with the lease was recognized on a straight-line basis as platform revenue over the lease term in the consolidated statements of operations and comprehensive loss.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revenues. We also 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Platform cost of revenue consists of four categories: product costs, shipping/freight costs, installation costs and other costs. Product costs consist primarily of the cost to purchase the hardware and hardware accessories for the Presto Touch, Vision and Voice products. Shipping/freight costs consist of all costs to transport equipment to customers. Installation costs include the labor cost to install the hardware in each restaurant. Other costs include the amortization of capitalized software and product support costs.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also incur costs to refurbish and repair our tablets. These costs are expensed in the period they are incurred, as the costs are expected to be linear and therefore, will match with the timing of revenue recognition over time. In connection with these costs, we also accrue a liability at each reporting period for expected repair costs for customer tablets currently in our Return Merchandize Authorization (“RMA”) process as of the reporting period, which get charged to platform cost of revenue. Our hardware repair expense was higher in the fiscal year ended June 30, 2022 and fiscal year ended 2021 due to COVID-related volume, whereby customers sent back tablets either simply to be checked or reset, or for cosmetic reasons or minor repairs.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Transaction cost of revenue consists primarily of the portion of the fees collected from diners that are then paid to the restaurant as part of the revenue share agreement with each restaurant. As we bear the primary responsibility of the product, we are the principal in the premium content transactions and restaurants act as the agent, whereby we collect all of the fees paid as revenue and remit the revenue share to the restaurants as cost of revenue. The commissions paid to restaurants under our revenue share agreement range on average between 70% and 90% of premium content revenue by customer logo.</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Depreciation and impairment cost of revenue consists primarily of the costs of leased assets that are included in property and equipment, net in the balance sheet that are amortized to cost of revenue and related impairment charges.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Operating expenses consist of sales and marketing, research and development, customer and warehouse operations, and general and administrative expenses. The largest single component of operating expenses is employee-related expenses, which include salaries, commissions and bonuses, stock-based compensation, and employee benefit and payroll costs.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employee-related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maintenance of our platform and the evaluation and development of new product offerings, as well as allocated overhead and expenses associated with the use of third-party software directly related to preliminary development and maintenance of our products and services. These costs are expensed as incurred unless they meet the requirements for capitalization.</w:t>
      </w:r>
    </w:p>
    <w:p>
      <w:pPr>
        <w:spacing w:after="0" w:line="11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plan to continue to hire employees to support our research and development efforts to expand the capabilities and scope of our platform and related products and services. As a result, we expect that research and development expenses will increase on an absolute dollar basis as we continue to invest to support these activities and innovate over the long-term.</w:t>
      </w:r>
    </w:p>
    <w:p>
      <w:pPr>
        <w:spacing w:after="0" w:line="11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employee-related costs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acquire new customers and increase product adoption across our existing customer base. Marketing expenses also include fees incurred to generate demand through various advertising channels and allocated overhead costs.</w:t>
      </w:r>
    </w:p>
    <w:p>
      <w:pPr>
        <w:spacing w:after="0" w:line="10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expect that sales and marketing expenses will increase on an absolute dollar basis as we invest to grow our field-based sales team, increase demand generation, and enhance our brand awareness. We expect sales and marketing expenses as a percentage of revenue will vary from period-to-period over the short-term and decrease over the long-term.</w:t>
      </w:r>
    </w:p>
    <w:p>
      <w:pPr>
        <w:spacing w:after="0" w:line="11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expenses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facilities, finance, human resources and administrative personnel and systems. General and administrative expenses also include costs related to fees paid for certain professional services, including legal, tax and accounting services and bad debt expenses.</w:t>
      </w:r>
    </w:p>
    <w:p>
      <w:pPr>
        <w:spacing w:after="0" w:line="11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expect that general and administrative expenses will increase on an absolute dollar basis as we add personnel and enhance our systems, processes, and controls to support the growth of our business as well as our increased compliance and reporting requirements as a public company. We expect general and administrative expenses as a percentage of revenue will vary from period-to-period over the short-term and decrease over the long-term.</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Loss on infrequent product repairs expenses consist primarily of charges incurred in connection with hardware returned for repair or replacement using an RMA. While we have incurred RMA charges in the past, in the fiscal years ended June 30, 2022 and the fiscal year ended June 30, 2021, the volume of repair charges was extremely unusual and very high due to a liquid ingress issue resulting from COVID-19 related actions by our customers. Our devices failed primarily due to the use of extremely strong commercial disinfectant solutions by our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standard warranty that we provide covers regular wear and tear and does not cover any damage caused by mishandling of the product. However, given the nature of issues, in order to prevent disruption to our customers’ businesses, we incurred approximately $0.6 million and $3.3 million of repair and replacement expenses related to this issue during the fiscal years ended June 30, 2022 and 2021. We have also made a claim to recover the costs from our third-party subcontractor who manufactures the hardware In June 2022, the Company received a favorable arbitration ruling of approximately $11.3 million in damages related to the Company’s loss on infrequent product repairs and to cover its legal expenses related to a matter with its third-party subcontractor. The ruling has not met the criteria to be considered realizable as of June 30, 2022. As a result, the Company has not recognized any gain related to this settlement in its consolidated statement of operations and comprehensive loss.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consolidated statement of operations and comprehensive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Convertible Promissory Notes and Embedded Warrants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of income of $2.6 million due to the forgiveness of our PPP loan in the fiscal years ended June 30, 2022 and the loss on debt extinguishment of one of our term loans in the fiscal years ended June 30, 2021 of $0.6 million.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incurred on our financing obligations, convertible promissory notes and outstanding loans.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record interest and penalties related to income tax matters in income tax expense.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Fiscal years Ended June 30, 2022 and 2021</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fiscal years ended June 30, 2022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2021:</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Platform</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20,053</w:t>
            </w:r>
          </w:p>
        </w:tc>
        <w:tc>
          <w:tcPr>
            <w:tcW w:w="100" w:type="dxa"/>
            <w:vAlign w:val="bottom"/>
          </w:tcPr>
          <w:p>
            <w:pPr>
              <w:spacing w:after="0"/>
              <w:rPr>
                <w:sz w:val="21"/>
                <w:szCs w:val="21"/>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Platform</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18,687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29,718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16,778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infrequent product repairs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33,847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25,566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(19,996)</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(49,779)</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(56,314</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(49,802</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r>
      <w:tr>
        <w:trPr>
          <w:trHeight w:val="47"/>
        </w:trPr>
        <w:tc>
          <w:tcPr>
            <w:tcW w:w="3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2"/>
              </w:rPr>
              <w:t>19,274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Transaction</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10,298</w:t>
            </w:r>
          </w:p>
        </w:tc>
        <w:tc>
          <w:tcPr>
            <w:tcW w:w="320" w:type="dxa"/>
            <w:vAlign w:val="bottom"/>
          </w:tcPr>
          <w:p>
            <w:pPr>
              <w:spacing w:after="0"/>
              <w:rPr>
                <w:sz w:val="22"/>
                <w:szCs w:val="22"/>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10,638</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30,351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29,912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Total revenue increased 1% to $30.4 million for the fiscal years ended June 30, 2022, as compared to $29.9 million for the fiscal years ended June 30, 2021.</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Platform revenue increased 4% to $20.1 million for the fiscal years ended June 30, 2022, as compared to $19.3 million for the fiscal years ended June 30, 2021. The increase was attributable to growth in our existing Presto Touch customers, partially offset by a contract termination by certain franchisees of one of our primary enterprise customer relationships whereby some of their smaller franchisees were impacted by repeat waves of COVID-19 and had to close down or heavily cut costs in 2021.</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Transaction revenue decreased 3% to $10.3 million for the fiscal years ended June 30, 2022, as compared to $10.6 million for the fiscal years ended June 30, 2021. This is due to contract terminations by certain franchisees of one of our primary enterprise customer relationships whereby some of its smaller franchisees were impacted by repeat</w:t>
      </w:r>
    </w:p>
    <w:p>
      <w:pPr>
        <w:sectPr>
          <w:pgSz w:w="11900" w:h="16838" w:orient="portrait"/>
          <w:cols w:equalWidth="0" w:num="1">
            <w:col w:w="9019"/>
          </w:cols>
          <w:pgMar w:left="1440" w:top="270" w:right="1440" w:bottom="1122"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122" w:gutter="0" w:footer="0" w:header="0"/>
          <w:type w:val="continuous"/>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waves of COVID-19 and had to close down or heavily cut costs beginning late fiscal year 2021 and through fiscal year 2022. Refer to the section below entitled “</w:t>
      </w:r>
      <w:r>
        <w:rPr>
          <w:rFonts w:ascii="Times New Roman" w:cs="Times New Roman" w:eastAsia="Times New Roman" w:hAnsi="Times New Roman"/>
          <w:sz w:val="18"/>
          <w:szCs w:val="18"/>
          <w:i w:val="1"/>
          <w:iCs w:val="1"/>
          <w:color w:val="auto"/>
        </w:rPr>
        <w:t>Quantitative and Qualitative Disclosures About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for further details on customer concentration.</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present, the substantial majority of our revenue is generated from our three largest customers (including, as applicable, the franchisees of such restaurants aggregated as a single customer for reporting purposes), which in the fiscal years ended June 30, 2022 and 2021, generated an aggregate of approximately, 93% of our revenue. The successful renewal of our agreements with those customers is critical to our near-term results of operations and is dependent on product execution, key customer relationships, and in part, the health of the franchisees of our customers that have a predominantly franchised model. Although we experienced customer relationship cancellations with the enterprise and certain associated franchisees under our third largest customer, the most significant franchisee relationships are still in business or have renewed with us. Each of these agreements requires a renewal in 2023.</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Transaction</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8,998</w:t>
            </w:r>
          </w:p>
        </w:tc>
        <w:tc>
          <w:tcPr>
            <w:tcW w:w="3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8,497</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
        </w:trPr>
        <w:tc>
          <w:tcPr>
            <w:tcW w:w="3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2,033</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5,554</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costs of revenue</w:t>
            </w: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43"/>
        </w:trPr>
        <w:tc>
          <w:tcPr>
            <w:tcW w:w="3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29,718</w:t>
            </w:r>
          </w:p>
        </w:tc>
        <w:tc>
          <w:tcPr>
            <w:tcW w:w="100" w:type="dxa"/>
            <w:vAlign w:val="bottom"/>
          </w:tcPr>
          <w:p>
            <w:pPr>
              <w:spacing w:after="0"/>
              <w:rPr>
                <w:sz w:val="21"/>
                <w:szCs w:val="21"/>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Cost of revenue increased 3% to $29.7 million for the fiscal years ended June 30, 2022, as compared to $28.9 million for the fiscal years ended June 30, 2021.</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platform cost of revenue increased 26% to $18.7 million for the fiscal years ended June 30, 2022, as compared to $14.8 million for the fiscal years ended June 30, 2021. The $3.9 million increase was primarily attributable to increases in refurbished shipments in inventory costs during the fiscal years ended June 30, 2021 as a result of the COVID-19 pandemic.</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transaction cost of revenue increased 6% to $9.0 million for the fiscal years ended June 30, 2022, as compared to $8.5 million for the fiscal years ended June 30, 2021. The $0.5 million increase was primarily attributable to an expanded base of revenues from customers that had a lower transaction revenue share to the Company.</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 — Depreciation and Impairment</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depreciation and impairment cost of revenue decreased 63% to $2.0 million for the fiscal years ended June 30, 2022, as compared to $5.6 million for the fiscal years ended June 30, 2021. The $3.5 million decrease was primarily attributable to the return of leased tablets beginning in January of 2021 through the end of fiscal year ended June 30, 2021 and throughout the fiscal year ended June 30, 2022, which resulted in an impairment charge of $0.6 million and $3.0 million during the fiscal years ended June 30, 2022 and 2021, respectively, and the leased tablets were not redeployed. Accordingly, depreciation of tablets in use declined from $2.6 million during the fiscal year ended June 30, 2021 to $1.4 million during the fiscal year ended June 30, 2022, due to a lower amount of tablets in use and being depreciated.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6"/>
        </w:trPr>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r>
      <w:tr>
        <w:trPr>
          <w:trHeight w:val="47"/>
        </w:trPr>
        <w:tc>
          <w:tcPr>
            <w:tcW w:w="3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4"/>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6,640</w:t>
            </w:r>
          </w:p>
        </w:tc>
        <w:tc>
          <w:tcPr>
            <w:tcW w:w="3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40"/>
        </w:trPr>
        <w:tc>
          <w:tcPr>
            <w:tcW w:w="3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9,847</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4,344</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5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Loss on infrequent product repairs</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w:t>
            </w:r>
          </w:p>
        </w:tc>
        <w:tc>
          <w:tcPr>
            <w:tcW w:w="3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3,342</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3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33,847</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8,281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Operating expenses increased by 32% to $33.8 million for the fiscal years ended June 30, 2022, as compared to $25.6 million for the fiscal years ended June 30, 2021.</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12% to $16.8 million for the fiscal years ended June 30, 2022, as compared to $15.0 million for the fiscal years ended June 30, 2021. The increase resulted primarily from an increase in outside services expense, employee-related costs and overhead allocation during the fiscal years ended June 30, 2021 due to a reduction in headcount and a reduction in travel-related expenses driven by changes in our operations, all as a result of the COVID-19 pandemic.</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129% to $6.6 million for the fiscal years ended June 30, 2022, as compared to $2.9 million for the fiscal years ended June 30, 2021. The increase resulted primarily from an increased focus on sales, marketing and customer success fueled by headcount expansion in the fiscal year ended June 30, 2022. During the fiscal year ended June 30, 2021 there was a temporary reduction in employee-related costs and overhead allocation due to a reduction in headcount and a reduction in travel-related expenses driven by changes in our operations, all as a result of the COVID-19 pandemic.</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46"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127% to $9.8 million for the fiscal years ended June 30, 2022, as compared to $4.3 million for the fiscal years ended June 30, 2021. The increase resulted primarily from an increase in headcount in the fiscal years ended June 30, 2022, as well as an increase in legal expense, accounting services expense and temporary services expenses that did not meet the criteria to be classified as deferred transaction costs as the company was in the midst of pursuing a de-SPAC transaction, partially offset by a decrease in bad debt expense related to recoveries for previously written off accounts receivable. The increase also resulted from a temporary reduction in employee-related costs and overhead allocation during the fiscal years ended June 30, 2021 due to a reduction in headcount and a reduction in travel-related expenses driven by changes in our operations, all as a result of the COVID-19 pandemic.</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Loss on Infrequent Product Repairs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Loss on infrequent product repairs decreased 83% to $0.6 million for the fiscal years ended June 30, 2022, as compared to $3.3 million for the fiscal years ended June 30, 2021, respectively, as a result of a decrease in the repair and replacement expenses related to damage caused to hardware caused by our customers’ use of extremely strong commercial disinfectant solutions to clean the hardware devices as a mandatory precaution protocol due to COVID-19 in the fiscal years ended June 30, 2022.</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and Convertible Promissory Notes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2"/>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Pr>
          <w:p>
            <w:pPr>
              <w:spacing w:after="0"/>
              <w:rPr>
                <w:sz w:val="18"/>
                <w:szCs w:val="18"/>
                <w:color w:val="auto"/>
              </w:rPr>
            </w:pPr>
          </w:p>
        </w:tc>
        <w:tc>
          <w:tcPr>
            <w:tcW w:w="8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40" w:type="dxa"/>
            <w:vAlign w:val="bottom"/>
          </w:tcPr>
          <w:p>
            <w:pPr>
              <w:spacing w:after="0"/>
              <w:rPr>
                <w:sz w:val="18"/>
                <w:szCs w:val="18"/>
                <w:color w:val="auto"/>
              </w:rPr>
            </w:pPr>
          </w:p>
        </w:tc>
      </w:tr>
      <w:tr>
        <w:trPr>
          <w:trHeight w:val="47"/>
        </w:trPr>
        <w:tc>
          <w:tcPr>
            <w:tcW w:w="4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gridSpan w:val="4"/>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780" w:type="dxa"/>
            <w:vAlign w:val="bottom"/>
            <w:gridSpan w:val="2"/>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10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4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4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8"/>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19,996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6"/>
        </w:trPr>
        <w:tc>
          <w:tcPr>
            <w:tcW w:w="4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the fiscal years ended June 30, 2022, the loss on change in fair value of warrants and convertible promissory notes increased 3% to $20.5 million, as compared to $20.0 million in the fiscal years ended June 30, 2021. This change was primarily driven by the remeasurement of our convertible promissory notes, which we account for under the fair value option and accordingly remeasure to fair value at each balance sheet date.</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June 30, 2022, the Company had convertible notes with a carrying amount of $51.8 million, which were remeasured to a fair value of $89.6 million. As of June 30, 2021, we had convertible notes with a carrying amount of $43.7 million, which were remeasured to a fair value of $62.6 million. The primary factor affecting the change in fair value of the notes was that a higher probability was assigned to conversion upon a next financing in a public liquidity event for the fiscal years ended June 30, 2022. Further, the change was also driven by an increase in the volume of notes outstanding as compared to June 30, 2021.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2"/>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center"/>
              <w:ind w:left="47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Pr>
          <w:p>
            <w:pPr>
              <w:spacing w:after="0"/>
              <w:rPr>
                <w:sz w:val="18"/>
                <w:szCs w:val="18"/>
                <w:color w:val="auto"/>
              </w:rPr>
            </w:pPr>
          </w:p>
        </w:tc>
      </w:tr>
      <w:tr>
        <w:trPr>
          <w:trHeight w:val="47"/>
        </w:trPr>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3"/>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1"/>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6"/>
        </w:trPr>
        <w:tc>
          <w:tcPr>
            <w:tcW w:w="3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2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36"/>
        </w:trPr>
        <w:tc>
          <w:tcPr>
            <w:tcW w:w="3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Other income (expense), net increased to a $2.6 million gain for the fiscal years ended June 30, 2022, as compared to a $0.6 million loss for the fiscal years ended June 30, 2021. The increase was due to the forgiveness of one of our PPP loans during the fiscal years ended June 30, 2022 and a loss on debt extinguishment of one of our term loans in the fiscal years ended June 30, 2021.</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4"/>
          </w:tcPr>
          <w:p>
            <w:pPr>
              <w:jc w:val="center"/>
              <w:ind w:left="297"/>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gridSpan w:val="3"/>
          </w:tcPr>
          <w:p>
            <w:pPr>
              <w:jc w:val="center"/>
              <w:ind w:right="25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spacing w:after="0"/>
              <w:rPr>
                <w:sz w:val="18"/>
                <w:szCs w:val="18"/>
                <w:color w:val="auto"/>
              </w:rPr>
            </w:pPr>
          </w:p>
        </w:tc>
      </w:tr>
      <w:tr>
        <w:trPr>
          <w:trHeight w:val="47"/>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1"/>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28"/>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5,434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4,664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6"/>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Interest expense increased 17% to $5.4 million for the fiscal years ended June 30, 2022, as compared to $4.7 million for the fiscal years ended June 30, 2021. The increase was due to the Company having more interest bearing debt outstanding during fiscal year ended June 30, 2022 as compared to the fiscal year ended June 30, 2021.</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2"/>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Pr>
          <w:p>
            <w:pPr>
              <w:spacing w:after="0"/>
              <w:rPr>
                <w:sz w:val="18"/>
                <w:szCs w:val="18"/>
                <w:color w:val="auto"/>
              </w:rPr>
            </w:pPr>
          </w:p>
        </w:tc>
      </w:tr>
      <w:tr>
        <w:trPr>
          <w:trHeight w:val="47"/>
        </w:trPr>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3"/>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3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28"/>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36"/>
        </w:trPr>
        <w:tc>
          <w:tcPr>
            <w:tcW w:w="3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(Benefit) provision for income taxes was a benefit of $0.2 million in the fiscal years ended June 30, 2022, as compared to a provision of $23 thousand in the fiscal years ended June 30, 2021.</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and June 30, 2021, our principal sources of liquidity were cash and cash equivalents of $3.0 million and $36.9 million, respectively, which were held for working capital purposes.</w:t>
      </w:r>
    </w:p>
    <w:p>
      <w:pPr>
        <w:spacing w:after="0" w:line="6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Since inception, we have financed our operations primarily through income from operations, financing transactions such as the issuance of convertible promissory notes and loans, and sales of convertible preferred stock. We have incurred recurring losses since our inception, including net losses of $56.3 million and $49.8 million for the fiscal years ended June 30, 2022 and the fiscal year ended June 30, 2021, respectively. As of June 30, 2022, we had an accumulated deficit of $200.7 million and we expect to continue to generate operating losses for the near term. Cash from operations could also be affected by various risks and uncertainties, including, but not limited to, the effects of the COVID-19 pandemic, including timing of cash collections from customers and other risks.</w:t>
      </w:r>
    </w:p>
    <w:p>
      <w:pPr>
        <w:spacing w:after="0" w:line="11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expect that the cash received from the Business Combination will support a significant portion of our cash needs in the next twelve months, including if no warrants are exercised. Such cash needs include repaying financing obligations and other general corporate costs, as well funding to support the continued expansion of the business. While we experienced significant net cash inflows from the Business Combination, we believe additional financing sources may be needed in the shorter term, as well as the longer term. However, there can be no assurance that we can obtain these funds on acceptable terms or at all.</w:t>
      </w:r>
    </w:p>
    <w:p>
      <w:pPr>
        <w:spacing w:after="0" w:line="9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anticipate future capital needs and accordingly the needs for additional funding raises substantial doubt about our ability to continue as a going concern. Our future capital requirements will depend on many factors, including the revenue growth rate, renewal activity, the success of future product development and capital investment required, and the timing and extent of spending to support further sales and marketing and research and development efforts. In addition, we expect to incur additional costs as a result of operating as a public company. In the event that additional financing is required from outside sources, we cannot be sure that any additional financing will be available to us on acceptable terms if at all. If we are unable to raise additional capital when desired, our business, operating results, and financial condition could be adversely affected.</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7"/>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5"/>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(47,299)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(23,772)</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15,620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(33,982</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380" w:type="dxa"/>
            <w:vAlign w:val="bottom"/>
            <w:tcBorders>
              <w:bottom w:val="single" w:sz="8" w:color="auto"/>
            </w:tcBorders>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the fiscal years ended June 30, 2022, net cash used in operating activities was $47.3 million. This consisted of our net loss of $56.3 million and a net use of cash from changes in operating assets and liabilities of $14.3 million partially offset by adjustments for non-cash charges of $23.3 million. The net use of cash from changes in operating assets and liabilities primarily relate to decreases in deferred revenue of $14.9 million, vendor financing facility of $6.8 million, accounts payable of $3.3 million and accrued liabilities of $3.6 million, partially offset by decreases in deferred costs of $11.4 million and decreases in inventories of $2.5 million. The non-cash adjustments primarily relate to change in fair value of convertible promissory notes of $18.9 million, change in fair value of our liability-classified warrants of $1.6 million, depreciation, amortization and impairment of $2.4 million, stock-based compensation expense of $1.9 million and amortization of debt discounts of $1.2 million partially offset by forgiveness of one of our PPP loans of $2.6 million.</w:t>
      </w:r>
    </w:p>
    <w:p>
      <w:pPr>
        <w:spacing w:after="0" w:line="34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 the fiscal years ended June 30, 2021, net cash used in operating activities was $23.8 million. This consisted of our net loss of $49.8 million and a net use of cash from changes in operating assets and liabilities of $1.4 million, partially offset by adjustments for non-cash charges of $27.4 million. The net use of cash from changes in operating assets and liabilities primarily relate to decreases in deferred revenue of $12.4 million and accounts payable of $1.2 million, partially offset by decreases in deferred costs of $8.1 million, increases in accrued liabilities of $2.2 million and decreases in inventories of $1.4 million. The non-cash adjustments primarily relate to changes in the fair value of convertible promissory notes of $18.9 million, amortization of debt discounts of $1.2 million and depreciation, amortization and impairment of $5.9 million.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For the fiscal year ended June 30, 2022, cash used in investing activities was $2.2 million which primarily consisted of cash outflows for capitalized software of $1.8 million and cash paid for the purchase of property and equipment of $0.3 million.</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fiscal year ended June 30, 2021, cash used in investing activities was $0.5 million which primarily consisted of cash outflows for capitalized software of $0.5 million.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For the fiscal year ended June 30, 2022, cash provided by financing activities was $15.6 million, which consisted primarily of proceeds from term loans of $12.6 million and from the issuance of convertible promissory notes of $8.2 million, partially offset by principal payments of financing obligations of $2.4 million, payment of debt issuance costs of $1.3 million, and payment of deferred transactions costs of $1.6 million.</w:t>
      </w:r>
    </w:p>
    <w:p>
      <w:pPr>
        <w:spacing w:after="0" w:line="11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For the fiscal year ended June 30, 2021, cash provided by financing activities was $57.0 million, which consisted primarily of proceeds from the issuance of convertible promissory notes of $43.7 million, from the issuance of term loans of $15.0 million, from the issuance of financing obligations of $6.2 million and from</w:t>
      </w:r>
    </w:p>
    <w:p>
      <w:pPr>
        <w:spacing w:after="0" w:line="1" w:lineRule="exact"/>
        <w:rPr>
          <w:sz w:val="20"/>
          <w:szCs w:val="20"/>
          <w:color w:val="auto"/>
        </w:rPr>
      </w:pPr>
    </w:p>
    <w:p>
      <w:pPr>
        <w:ind w:left="460" w:right="459" w:hanging="6"/>
        <w:spacing w:after="0" w:line="260" w:lineRule="auto"/>
        <w:tabs>
          <w:tab w:leader="none" w:pos="82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of $2.0 million, partially offset by repayment of term loans of $6.2 million, principal payments of financing obligations of $2.4 million and payment of debt issuance costs of $1.2 million.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Obligations</w:t>
      </w:r>
    </w:p>
    <w:p>
      <w:pPr>
        <w:spacing w:after="0" w:line="14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2022 and 2021, the Company’s financing obligations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financing facility</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 financing facility</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financing obligations, current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financing obligations, non-current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Vendor Financing Facility</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entered into an interest-bearing vendor financing arrangement used to finance certain inventory purchases. The arrangement extends the repayment terms of normal invoices beyond the original due date and as such is classified outside of accounts payable on our consolidated balance sheet. Through the agreement, payments are made over the course of an 18-month term, with the unpaid balance bearing interest at a rate of 18% – 26%. As of June 30, 2021 we had an outstanding principal balance of $6.8 million. As of June 30, 2022 we had no financial obligations related to the vendor financing arrangement.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Receivable Financing Facility</w:t>
      </w:r>
    </w:p>
    <w:p>
      <w:pPr>
        <w:spacing w:after="0" w:line="160" w:lineRule="exact"/>
        <w:rPr>
          <w:sz w:val="20"/>
          <w:szCs w:val="20"/>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On April 27, 2021, we entered into an investment arrangement in which we provide future receivables available to an outside investor to invest in exchange for an upfront payment. Through this arrangement, we obtain financing in the form of a large upfront payment, which we account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financier to mutually agree to roll forward our borrowings as they come due.</w:t>
      </w:r>
    </w:p>
    <w:p>
      <w:pPr>
        <w:spacing w:after="0" w:line="10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15, 2021, November 16, 2021, February 22, 2022 and May 31, 2022, in accordance with the terms of the receivable financing facility, we rolled forward the receivable financing facility, enabling us to continue our quarterly borrowings for a minimum of twelve-months. Subject to the approval of the financier, we expect to continue rolling forward the receivable financing facility.</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Equipment Financing Facility</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Beginning in 2019, we entered into arrangements with third party financiers to secure payments of certain tablet purchases. Such arrangements generally have terms ranging from 3 to 5 years and interest rates ranging from 8% to 14%. We then lease the tablets monetized by the financiers to our customers through operating leases that have 4-year terms.</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fiscal year 2022, we postponed payments on certain arrangements with third party financiers. As of the filing date of this report, we postponed the required monthly payments from April 2022 through September 2022. Non-payment under the arrangements permits the financiers to declare the amounts owed under the arrangement due and payable and exercise their right to secure the tablets under lease. Although we intend to repay, we reclassified all of our obligations under these arrangements that are in default short-term within financing obligations, current as of June 30, 2022.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As of June 30, 2022 and 2021, our outstanding debt, net of debt discounts,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Pr>
          <w:p>
            <w:pPr>
              <w:spacing w:after="0"/>
              <w:rPr>
                <w:sz w:val="20"/>
                <w:szCs w:val="20"/>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89,663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62,581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loans</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4,599</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2"/>
              </w:rPr>
              <w:t>117,106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current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(115,106)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debt, noncurrent</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July 2020 Notes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July 2020, we issued convertible promissory notes (the “July 2020 Notes”) in the amount of $5.5 million with an annual interest rate of 5%. The July 2020 Notes mature at the earlier of (a) 18 months from the note issuance date or (b) an event of default. If the July 2020 Notes have not converted prior to maturity, then at maturity the outstanding principal and accrued interest shall be automatically converted into shares of common stock based on a per-share conversion price equal to (a) $310.0 million divided by (b) the Fully Diluted Capitalization as of immediately prior to the closing of the Maturity Date or upon election of the holder, be repaid in cash. Prior to maturity and upon the closing of the next private financing of preferred stock or public liquidity event, the entire outstanding principal and accrued interest shall automatically be cancelled and converted into that number of shares of private preferred stock sold in such next financing as obtained by dividing (a) the entire principal and accrued interest balance by the lower of (i) 85% of the per-share selling price at which we issue shares of Conversion Stock in the Next Financing or (ii) the quotient obtained by dividing (a) $310.0 million by (b) the Fully Diluted Capitalization as of immediately prior to the closing of the Next Financing.</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a public liquidity event, the holder has the option to convert the entire outstanding principal and accrued interest into that number of shares of preferred stock as obtained by dividing (a) the entire principal and accrued interest balance by the lower of (i) 85% of the per-share selling price at which the Company issues shares of Conversion Stock in the Next Financing or (ii) the quotient obtained by dividing (a) $310.0 million by</w:t>
      </w:r>
    </w:p>
    <w:p>
      <w:pPr>
        <w:spacing w:after="0" w:line="3" w:lineRule="exact"/>
        <w:rPr>
          <w:sz w:val="20"/>
          <w:szCs w:val="20"/>
          <w:color w:val="auto"/>
        </w:rPr>
      </w:pPr>
    </w:p>
    <w:p>
      <w:pPr>
        <w:jc w:val="both"/>
        <w:ind w:left="460" w:right="459" w:hanging="6"/>
        <w:spacing w:after="0" w:line="250" w:lineRule="auto"/>
        <w:tabs>
          <w:tab w:leader="none" w:pos="7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Fully Diluted Capitalization as of immediately prior to the closing of the public liquidity event. In November 2021, we amended our July 2020 Notes to remove the note holders option to elect repayment in cash at maturity. In January 2022, we amended our July 2020 Notes to extend the maturity date to the earlier of</w:t>
      </w:r>
    </w:p>
    <w:p>
      <w:pPr>
        <w:spacing w:after="0" w:line="1"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31, 2022 or (b) an event of default.</w:t>
      </w:r>
    </w:p>
    <w:p>
      <w:pPr>
        <w:spacing w:after="0" w:line="13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Concurrent with the issuance of the July 2020 Notes, we issued warrants to purchase common stock at an exercise price of $0.01 which expire in July 2025. The warrants were determined to not be freestanding financial instruments and are embedded in the convertible notes.</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the Closing Date, the July 2020 Notes and warrants described above were converted into New Presto Common Stock.</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Third Quarter 2021 Notes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During January 2021 through March 2021 we issued convertible promissory notes (the “Q3 2021 Notes”) in the amount of $18.2 million with an annual interest rate of 5%. The Q3 2021 Notes mature at the earlier of</w:t>
      </w:r>
    </w:p>
    <w:p>
      <w:pPr>
        <w:jc w:val="both"/>
        <w:ind w:left="460" w:right="459" w:hanging="6"/>
        <w:spacing w:after="0" w:line="251" w:lineRule="auto"/>
        <w:tabs>
          <w:tab w:leader="none" w:pos="7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months from the note issuance date or (b) an event of default. If the notes have not converted prior to maturity, then at maturity the outstanding principal and accrued interest shall be automatically converted into shares of a new series of preferred stock of Presto (with terms substantially similar to our Series C Preferred Stock, including a pari passu liquidation preference with our Series C Preferred Stock and a liquidation preference equal to the applicable conversion price of the Note) based on a per share conversion price equal to the quotient obtained by dividing (a) the then-applicable Valuation Cap (as defined in the Warrant) by (b) the Fully Diluted Capitalization as of immediately prior to the closing of the Maturity Date. Prior to maturity and upon the closing of the next financing of private preferred stock, the entire outstanding principal and accrued interest shall automatically be cancelled and converted into that number of shares of private preferred stock sold in such next financing as obtained by dividing (a) the entire principal and accrued</w:t>
      </w:r>
    </w:p>
    <w:p>
      <w:pPr>
        <w:sectPr>
          <w:pgSz w:w="11900" w:h="16838" w:orient="portrait"/>
          <w:cols w:equalWidth="0" w:num="1">
            <w:col w:w="9019"/>
          </w:cols>
          <w:pgMar w:left="1440" w:top="270"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interest balance by the conversion price. The conversion price being 85% of the lowest per-share selling price at which we issue shares of private preferred stock to new-money investors in the next financing. Upon a change in control or public liquidity event, the holder has the option to convert the entire outstanding principal and accrued interest into that number of shares of preferred stock as obtained by dividing (a) the entire principal and accrued interest balance by the conversion price, a conversion price 85% of the lowest per-share selling price at which we issue shares of Conversion Stock to new-money investors in the Next Financing.</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Concurrent with the issuance of the Q3 2021 Notes, we issued warrants to purchase a variable number of shares of common stock at an exercise price of $0.01. Such warrants expire between January 2026 and March 2026. The warrants were determined to not be freestanding financial instruments and are embedded in the convertible notes.</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On the Closing Date, the Q3 2021 Notes and the warrants described above were converted into New Presto Common Stock.</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June 2021 Notes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June 2021, we issued convertible promissory notes (the “June 2021 Notes”) in the total amount of $20.0 million with an annual interest rate of 5%. The June 2021 Notes were set to mature at the earlier of</w:t>
      </w:r>
    </w:p>
    <w:p>
      <w:pPr>
        <w:jc w:val="both"/>
        <w:ind w:left="460" w:right="459" w:hanging="6"/>
        <w:spacing w:after="0" w:line="251" w:lineRule="auto"/>
        <w:tabs>
          <w:tab w:leader="none" w:pos="7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months from the note issuance date or (b) an event of default. If the notes had not converted prior to maturity, then at maturity the outstanding principal and accrued interest would have been automatically converted into senior preferred stock of the Company based on a per share conversion price equal to the quotient obtained by dividing (a) $600.0 million by (b) the Fully Diluted Capitalization as of immediately prior to the closing of the Maturity Date. Prior to maturity and upon the closing of a qualified next financing of private preferred stock, the entire outstanding principal and accrued interest would have been automatically been cancelled and converted, or in the case of a nonqualified financing at the option of the holder would have been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$600.0 million by (b) the Fully Diluted Capitalization as of immediately prior to the closing of the next financing or public liquidity event The June 2021 Notes were settled with the issuance of the February 2022 Note.</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July 2021 Notes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July 2021, we issued convertible promissory notes (the “July 2021 Notes”) in the total amount of $0.5 million with an annual interest rate of 5%. The July 2021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 million by</w:t>
      </w:r>
    </w:p>
    <w:p>
      <w:pPr>
        <w:spacing w:after="0" w:line="3" w:lineRule="exact"/>
        <w:rPr>
          <w:sz w:val="20"/>
          <w:szCs w:val="20"/>
          <w:color w:val="auto"/>
        </w:rPr>
      </w:pPr>
    </w:p>
    <w:p>
      <w:pPr>
        <w:jc w:val="both"/>
        <w:ind w:left="460" w:right="459" w:hanging="6"/>
        <w:spacing w:after="0" w:line="250" w:lineRule="auto"/>
        <w:tabs>
          <w:tab w:leader="none" w:pos="7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69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lowest per-share selling price at which the Company issues shares of preferred stock to new-money investors in such financing or (ii) the quotient obtained by dividing (a) $600.0 million by (b) the Fully Diluted Capitalization as of immediately prior to the closing of the next financing or public liquidity event.</w:t>
      </w:r>
    </w:p>
    <w:p>
      <w:pPr>
        <w:spacing w:after="0" w:line="1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the Closing Date, the July 2021 Notes were converted into New Presto Common Stock.</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February 2022 Notes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February 2022, we issued a convertible promissory note (the “February 2022 Note”) in the amount of $25.7 million with an annual interest rate of 5%. The February 2022 Notes settled indebtedness of $20.7 million, which includes accrued interest, related to the June 2021 Note and included $5.0 million of cash proceeds. The February 2022 Notes mature at the earlier of (a) December 20, 2022 or (b) an event of default. If the February 2022 Notes have not converted prior to maturity, then at maturity the outstanding principal and accrued interest shall be automatically converted into senior preferred stock of the Company based on a per share conversion price equal to</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quotient obtained by dividing (a) $535.0 million by (b) the Fully Diluted Capitalization as of immediately prior to the closing of the Maturity Date. Prior to maturity and upon the closing of a qualified next financing of private preferred stock,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financing as obtained by dividing (a) the entire principal and accrued interest balance by (b) the conversion price. The conversion price being the lower of (i) 85% of the lowest per-share selling price at which the Company issues shares of preferred stock to new-money investors in such financing or (ii) the quotient obtained by dividing</w:t>
      </w:r>
    </w:p>
    <w:p>
      <w:pPr>
        <w:spacing w:after="0" w:line="1" w:lineRule="exact"/>
        <w:rPr>
          <w:sz w:val="20"/>
          <w:szCs w:val="20"/>
          <w:color w:val="auto"/>
        </w:rPr>
      </w:pPr>
    </w:p>
    <w:p>
      <w:pPr>
        <w:ind w:left="460" w:right="479" w:hanging="6"/>
        <w:spacing w:after="0" w:line="260" w:lineRule="auto"/>
        <w:tabs>
          <w:tab w:leader="none" w:pos="7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$535.0 million by (b) the Fully Diluted Capitalization as of immediately prior to the closing of the next financing or public liquidity event.</w:t>
      </w:r>
    </w:p>
    <w:p>
      <w:pPr>
        <w:spacing w:after="0" w:line="1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the Closing Date, the February 2022 Note was converted into New Presto Common Stock.</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May 2022 Notes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May 2022, the Company issued convertible promissory notes (“May 2022 Notes”) in the amount of $2.7 million with an annual interest rate of 5%. The May 2022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$535.0 million by</w:t>
      </w:r>
    </w:p>
    <w:p>
      <w:pPr>
        <w:spacing w:after="0" w:line="3" w:lineRule="exact"/>
        <w:rPr>
          <w:sz w:val="20"/>
          <w:szCs w:val="20"/>
          <w:color w:val="auto"/>
        </w:rPr>
      </w:pPr>
    </w:p>
    <w:p>
      <w:pPr>
        <w:jc w:val="both"/>
        <w:ind w:left="460" w:right="459" w:hanging="6"/>
        <w:spacing w:after="0" w:line="250" w:lineRule="auto"/>
        <w:tabs>
          <w:tab w:leader="none" w:pos="7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69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lowest per-share selling price at which the Company issues shares of preferred stock to new-money investors in such financing or (ii) the quotient obtained by dividing (a) $535.0 million by (b) the Fully Diluted Capitalization as of immediately prior to the closing of the next financing or public liquidity event.</w:t>
      </w:r>
    </w:p>
    <w:p>
      <w:pPr>
        <w:spacing w:after="0" w:line="1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the Closing Date, the May 2022 Notes were converted into New Presto Common Stock.</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concluded that the convertible promissory notes were eligible to apply the fair value option under ASC 825, accordingly we elected to account for the convertible notes at fair value and to report interest costs as a component of the fair value measurement during each reporting period. At June 30, 2022, and June 30, 2021, the remeasured value of the convertible promissory notes was $89.7 million and $62.6 million, respectively, and we recorded a loss on remeasurement of $18.9 million and $18.9 million during the fiscal years ended June 30, 2022 and the fiscal year ended June 30, 2021.</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convertible promissory notes and embedded warrants, including the July 2020 Notes, the Q3 2021 Notes, the July 2021 Notes, the February 2022 Note, and the May 2022 Notes, were converted into an aggregate of 10,060,158 shares of our common stock immediately prior to the closing of the Business Combination.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Term Loans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Horizon Loan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4, 2021, the Company entered into a loan agreement (the “Horizon Loan”) with Horizon Technology Finance Corporation (“Horizon”), which provided the Company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April 1, 2022, the Company entered into a second amendment with Horizon. Under the amended agreement, the Company experienced a default event, whereby the Company failed to achieve the agreed upon enterprise platform bookings target for the six months ended March 31, 2022. Horizon agreed to waive its right to repayment pursuant to the default event. However, as a consequence of the default, the Company will pay a 5% default rate for the periods commencing April 1, 2022 through the date of repayment of all obligations. In addition, pursuant to the amendments, the covenant related to enterprise platform bookings were also waived for the June 30, 2022 quarterly measurement period. The Company does not believe non-compliance with this covenant impacted the Company or its operations, other than the increased interest cost associated with the default rate.</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of June 30, 2022, the Company was in compliance with the loan covenants. As of June 30, 2022 and June 30, 2021, the Company had an outstanding gross balance of $15.0 million on the Horizon loan, and an unamortized debt discount of $0.6 million and $1.0 million, respectively.</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connection with the entry into the Credit Agreement, the Company repaid the Horizon Loan.</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Lago Loans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March 11, 2022, the Company entered into a loan agreement (the “Lago Loan”) with Lago Innovation Fund I &amp; II, LLC, which provided the Company with $12.6 million,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As of June 30, 2022, the Company was in compliance with its covenants. The Company issued 253,855 warrants to purchase Series C convertible preferred stock with the Lago Loan. Refer to Note 11 for further details. As of June 30, 2022, the Company had an outstanding gross balance of $12.7 million on the Lago Loan and an unamortized debt discount of $1.7 million.</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connection with the entry into the Credit Agreement, the Company repaid the Lago Loan.</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Business Combination, the Company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 million (the “Term Loans”).</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Term Loans were borrowed in full at closing.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Term Loans mature on March 21, 2025.</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Term Loan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must comply with certain financial covenants as set forth in the Credit Agreement, including a minimum cash covenant and maximum net leverage ratio of 1.20 to 1.00.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500 basis points.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Paycheck Protection Program Loan</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April 2020, we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Should the loans be forgiven, the forgiven loan balance will be recognized as income at that time. During the fiscal years ended June 30, 2022, we received forgiveness for the first PPP loan of $2.6 million and recognized as Other income (expense), net during the fiscal years ended June 30, 2022. No collateral or personal guarantees were required for the loan. These PPP loans would bear an interest rate of 1% and a maturity of two years for the first loan and five years for the second loan. We account for the loans as debt subject to the accounting guidance in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July 2022, we were granted forgiveness of the second loan in an amount of approximately $2.0 million.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June 30, 2022 and June 30, 2021.</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Recent Developments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June 2022, the Company received a favorable arbitration ruling of approximately $11.3 million in damages related to the Company’s loss on infrequent product repairs and to cover its legal expenses related to a matter with its third-party subcontractor. The ruling has not met the criteria to be considered realizable as of June 30, 2022. As a result, the Company has not recognized any gain related to this settlement in its consolidated statement of operations and comprehensive loss.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certain convertible promissory notes with entities controlled by Krishna K. Gupta and Ilya Golubovich, each of whom is a member of our board of directors. In fiscal year 2021, we issued $1.5 million and $1 million of the July 2020 Notes and embedded warrants to the entities controlled by Mr. Gupta and Mr. Golubovich, respectively, and $2 million of the Q3 2021 Notes and embedded warrants to the entity controlled by Mr. Golubovich.</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elected the fair value option for our convertible promissory notes. As of June 30, 2022 and June 30, 2021, $9.6 million and $6.4 million of convertible promissory notes and embedded warrants were due to Mr. Gupta and Mr. Golubovich, respectively, of which $9.6 million and $3.6 million, respectively are due within 12 months. The Company’s convertible promissory notes were converted to common stock on the Closing Date.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certain estimates and assumptions. These estimates and assumptions affect the reported amounts of assets, liabilities, revenues, expenses and disclosures. Our most significant estimates and judgments are related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 liabilities and impairment of property and equipment. Actual results may differ from these estimates. To the extent that there are differences between our estimates and actual results, our future financial statement presentation, financial condition, results of operations, and cash flows will be affected.</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our audited consolidated financial statements included elsewhere in this prospectus.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fiscal years ended June 30, 2022 and 2021, we derived our revenues from two revenue streams: (1) sales and leases of the Presto Touch product (“Platform revenue”), which includes hardware, hardware accessories, software and customer support and maintenance, and (2) Premium Content (gaming) and other revenue, which includes professional services (“Transaction revenue”).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Platform Revenue</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platform revenue stream is generated from fees charged to customers for access to our Presto Touch products and is recognized ratably. Part of the total contract value is due upon execution of the contract, and the remainder is due monthly over the term of the contract. Our contracts with customers are generally for a term ranging from 12 to 48 months. Amounts invoiced in excess of revenue recognized are recorded as deferred revenue. Revenue generated from our newly launched Voice and Vision products were not material during the fiscal year ended June 30, 2022 and 2021.We also maintain arrangements with a certain customer whereby we leased the Presto Touch product to that customer. Revenue associated with the lease was recognized on a straight-line basis as platform revenue over the lease term in the consolidated statements of operations and comprehensive loss.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Transaction Revenue</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44" w:lineRule="exact"/>
        <w:rPr>
          <w:sz w:val="20"/>
          <w:szCs w:val="20"/>
          <w:color w:val="auto"/>
        </w:rPr>
      </w:pPr>
    </w:p>
    <w:p>
      <w:pPr>
        <w:jc w:val="both"/>
        <w:ind w:left="1320" w:right="459" w:hanging="434"/>
        <w:spacing w:after="0" w:line="254" w:lineRule="auto"/>
        <w:tabs>
          <w:tab w:leader="none" w:pos="129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 — We enter into a master sales agreement (“MSA”) with the customer which is signed by both parties. The rights and obligations are outlined in the MSA and payment terms are clearly defined. We then enter into a license agreement, typically with each franchisee, which outlines the specified goods and services to be provided. We also enter into separate gaming agreements with diners, whereby our customer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9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We identified the following performance obligations: for the MSAs and license agreements, 1) sales or leases of hardware, SaaS and maintenance as one combined performance obligation for the Presto Touch product, and for gaming agreements, 2) premium content, or gaming. Professional services were insignificant during the fiscal year ended June 30, 2022 and 2021.</w:t>
      </w:r>
    </w:p>
    <w:p>
      <w:pPr>
        <w:spacing w:after="0" w:line="72"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The Presto Touch product is considered a single performance obligation because each element of the Presto Touch product is interdependent and cannot function independently. The software and hardware represent one combined output and the customer cannot benefit from the use of one element without the other.</w:t>
      </w:r>
    </w:p>
    <w:p>
      <w:pPr>
        <w:spacing w:after="0" w:line="72" w:lineRule="exact"/>
        <w:rPr>
          <w:sz w:val="20"/>
          <w:szCs w:val="20"/>
          <w:color w:val="auto"/>
        </w:rPr>
      </w:pPr>
    </w:p>
    <w:p>
      <w:pPr>
        <w:jc w:val="both"/>
        <w:ind w:left="1320" w:right="459"/>
        <w:spacing w:after="0" w:line="254" w:lineRule="auto"/>
        <w:rPr>
          <w:sz w:val="20"/>
          <w:szCs w:val="20"/>
          <w:color w:val="auto"/>
        </w:rPr>
      </w:pPr>
      <w:r>
        <w:rPr>
          <w:rFonts w:ascii="Times New Roman" w:cs="Times New Roman" w:eastAsia="Times New Roman" w:hAnsi="Times New Roman"/>
          <w:sz w:val="18"/>
          <w:szCs w:val="18"/>
          <w:color w:val="auto"/>
        </w:rPr>
        <w:t>When we enter into gaming agreements, our Presto Touch product includes the capability of providing entertainment services, designed (either on its own or through other subcontractors) and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diner.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spacing w:after="0" w:line="107" w:lineRule="exact"/>
        <w:rPr>
          <w:sz w:val="20"/>
          <w:szCs w:val="20"/>
          <w:color w:val="auto"/>
        </w:rPr>
      </w:pPr>
    </w:p>
    <w:p>
      <w:pPr>
        <w:jc w:val="both"/>
        <w:ind w:left="1320" w:right="459" w:hanging="434"/>
        <w:spacing w:after="0" w:line="254" w:lineRule="auto"/>
        <w:tabs>
          <w:tab w:leader="none" w:pos="129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 our MSAs stipulate the terms and conditions, and separate license agreements dictate the transaction price, and typically outlines as a price per store location or number of Presto Touch product. The transaction price is generally fixed fee, with a portion due upfront upon signing of the contract and the remainder due upon installation of the Presto Touch products.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 As the Presto Touch product is one combined performance obligation, no reallocation of the contract price is required. Our premium content contract is comprised of one performance obligation and does not require reallocation of the contract price.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 — As the customer simultaneously receives and consumes the benefits provided by us through continuous access to our SaaS platform, revenue from the Presto Touch product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our common stock underlying the awards has historically been determined by the board of directors with input from management and third-party valuation specialists, as there was no public market for our common stock. The board of directors determines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amongst other factors. 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We account for forfeitures as they occur.</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estimated the fair values of each option awarded on the date of grant using the Black-Scholes-Merton option pricing model utilizing the assumptions noted below.</w:t>
      </w:r>
    </w:p>
    <w:p>
      <w:pPr>
        <w:spacing w:after="0" w:line="50" w:lineRule="exact"/>
        <w:rPr>
          <w:sz w:val="20"/>
          <w:szCs w:val="20"/>
          <w:color w:val="auto"/>
        </w:rPr>
      </w:pPr>
    </w:p>
    <w:p>
      <w:pPr>
        <w:jc w:val="both"/>
        <w:ind w:left="1320" w:right="459" w:hanging="434"/>
        <w:spacing w:after="0" w:line="262" w:lineRule="auto"/>
        <w:tabs>
          <w:tab w:leader="none" w:pos="13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 The risk-free interest rate was calculated using the average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published interest rates of U.S. Treasury zero-coupon issues with maturities that approximate the expected term. The dividend yield assumption is zero as we have no history of, nor plans to distribute, dividend payments.</w:t>
      </w:r>
    </w:p>
    <w:p>
      <w:pPr>
        <w:spacing w:after="0" w:line="68" w:lineRule="exact"/>
        <w:rPr>
          <w:rFonts w:ascii="Times New Roman" w:cs="Times New Roman" w:eastAsia="Times New Roman" w:hAnsi="Times New Roman"/>
          <w:sz w:val="18"/>
          <w:szCs w:val="18"/>
          <w:color w:val="auto"/>
        </w:rPr>
      </w:pPr>
    </w:p>
    <w:p>
      <w:pPr>
        <w:jc w:val="both"/>
        <w:ind w:left="1320" w:right="459" w:hanging="434"/>
        <w:spacing w:after="0" w:line="259" w:lineRule="auto"/>
        <w:tabs>
          <w:tab w:leader="none" w:pos="13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term </w:t>
      </w:r>
      <w:r>
        <w:rPr>
          <w:rFonts w:ascii="Times New Roman" w:cs="Times New Roman" w:eastAsia="Times New Roman" w:hAnsi="Times New Roman"/>
          <w:sz w:val="18"/>
          <w:szCs w:val="18"/>
          <w:color w:val="auto"/>
        </w:rPr>
        <w:t>— The expected term of the options is based on the average period the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expected to remain outstanding, calculated as the midpoint of the options vesting term and the contractual expiration period, as we did not have sufficient historical information to develop reasonable expectations about future exercise patterns and post-vesting employment termination behavior.</w:t>
      </w:r>
    </w:p>
    <w:p>
      <w:pPr>
        <w:spacing w:after="0" w:line="71"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The expected stock price volatility for our stock was determined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examining the historical volatilities of our industry peers as we did not have any trading history of our common stock.</w:t>
      </w:r>
    </w:p>
    <w:p>
      <w:pPr>
        <w:spacing w:after="0" w:line="62" w:lineRule="exact"/>
        <w:rPr>
          <w:rFonts w:ascii="Times New Roman" w:cs="Times New Roman" w:eastAsia="Times New Roman" w:hAnsi="Times New Roman"/>
          <w:sz w:val="18"/>
          <w:szCs w:val="18"/>
          <w:color w:val="auto"/>
        </w:rPr>
      </w:pPr>
    </w:p>
    <w:p>
      <w:pPr>
        <w:ind w:left="1320" w:right="459" w:hanging="434"/>
        <w:spacing w:after="0" w:line="286" w:lineRule="auto"/>
        <w:tabs>
          <w:tab w:leader="none" w:pos="13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dividend yield </w:t>
      </w:r>
      <w:r>
        <w:rPr>
          <w:rFonts w:ascii="Times New Roman" w:cs="Times New Roman" w:eastAsia="Times New Roman" w:hAnsi="Times New Roman"/>
          <w:sz w:val="18"/>
          <w:szCs w:val="18"/>
          <w:color w:val="auto"/>
        </w:rPr>
        <w:t>— The dividend yield assumption is zero as we have no history of, nor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 to distribute, dividend payments.</w:t>
      </w:r>
    </w:p>
    <w:p>
      <w:pPr>
        <w:spacing w:after="0" w:line="9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assumptions used under the Black-Scholes-Merton option pricing model and the weighted average calculated value of the options granted to employees are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880" w:type="dxa"/>
            <w:vAlign w:val="bottom"/>
            <w:gridSpan w:val="3"/>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46"/>
        </w:trPr>
        <w:tc>
          <w:tcPr>
            <w:tcW w:w="522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31"/>
        </w:trPr>
        <w:tc>
          <w:tcPr>
            <w:tcW w:w="5220" w:type="dxa"/>
            <w:vAlign w:val="bottom"/>
          </w:tcPr>
          <w:p>
            <w:pPr>
              <w:spacing w:after="0"/>
              <w:rPr>
                <w:sz w:val="20"/>
                <w:szCs w:val="20"/>
                <w:color w:val="auto"/>
              </w:rPr>
            </w:pPr>
          </w:p>
        </w:tc>
        <w:tc>
          <w:tcPr>
            <w:tcW w:w="132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46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6"/>
        </w:trPr>
        <w:tc>
          <w:tcPr>
            <w:tcW w:w="522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44"/>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 – 1.25%</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6.10 – 6.51</w:t>
            </w:r>
          </w:p>
        </w:tc>
        <w:tc>
          <w:tcPr>
            <w:tcW w:w="1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5.45 – 6.51</w:t>
            </w:r>
          </w:p>
        </w:tc>
      </w:tr>
      <w:tr>
        <w:trPr>
          <w:trHeight w:val="41"/>
        </w:trPr>
        <w:tc>
          <w:tcPr>
            <w:tcW w:w="52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63"/>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45.84% – 46.15%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 – 47.74%</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We purchase our inventories from a third-party manufacturer as finished goods and store the inventory partially in our own warehouse and partially at a third-party warehouse. We establish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fiscal years ended June 30, 2022 and 2021.</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08" w:lineRule="exact"/>
        <w:rPr>
          <w:sz w:val="20"/>
          <w:szCs w:val="20"/>
          <w:color w:val="auto"/>
        </w:rPr>
      </w:pPr>
    </w:p>
    <w:p>
      <w:pPr>
        <w:ind w:left="1320" w:hanging="434"/>
        <w:spacing w:after="0"/>
        <w:tabs>
          <w:tab w:leader="none" w:pos="1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as of the reporting date.</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equivalents, accounts receivable, accounts payable, convertible promissory notes and warrant liabilities. Accounts receivable and accounts payable are stated at their carrying value, which approximates fair value due to the short time to the expected receipt or payment date.</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promissory notes and embedded warrants because we believes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 conversion upon a change in control, conversion upon maturity and default. Other inputs included a discount rate of 16.5% and 15% for the principal amount of the convertible promissory notes as of June 30, 2022 and June 30, 2021, respectively. Changes in the fair value of the convertible promissory notes and embedded warrants were included in change in fair value of warrants and convertible promissory notes in the consolidated statement of operations and comprehensive loss.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 During the fiscal years ended June 30, 2022 and 2021, we recorded $0.6 million and $3.0 million in write offs related to the impairment of tablets, respectively.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See the sections entitled “</w:t>
      </w:r>
      <w:r>
        <w:rPr>
          <w:rFonts w:ascii="Times New Roman" w:cs="Times New Roman" w:eastAsia="Times New Roman" w:hAnsi="Times New Roman"/>
          <w:sz w:val="18"/>
          <w:szCs w:val="18"/>
          <w:i w:val="1"/>
          <w:iCs w:val="1"/>
          <w:color w:val="auto"/>
        </w:rPr>
        <w:t>Recently Adopted Accounting Standards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Recently Issued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 Not Yet Adopted</w:t>
      </w:r>
      <w:r>
        <w:rPr>
          <w:rFonts w:ascii="Times New Roman" w:cs="Times New Roman" w:eastAsia="Times New Roman" w:hAnsi="Times New Roman"/>
          <w:sz w:val="18"/>
          <w:szCs w:val="18"/>
          <w:color w:val="auto"/>
        </w:rPr>
        <w:t>” in Note 1 to our audited consolidated financial statements included elsewhere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prospectus for recently adopted accounting pronouncements and recently issued accounting pronouncements not yet adopted as of the date of this prospectus.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operations both in the United States and in Canada, and we are exposed to market risks in the ordinary course of our business. These risks primarily include interest rate, credit and inflation risks. We are not exposed to significant foreign exchange risk.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equivalents, convertible notes and our term loans. Additionally, changes to interest rates will impact the cost of our borrowing. Interest on the Term Loans accrues at a rate of 15% per annum.</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if allowances for doubtful accounts need to be recorded.</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customers accounted for more than 10% of revenues during the following periods: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254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r>
      <w:tr>
        <w:trPr>
          <w:trHeight w:val="212"/>
        </w:trPr>
        <w:tc>
          <w:tcPr>
            <w:tcW w:w="5560" w:type="dxa"/>
            <w:vAlign w:val="bottom"/>
          </w:tcPr>
          <w:p>
            <w:pPr>
              <w:spacing w:after="0"/>
              <w:rPr>
                <w:sz w:val="18"/>
                <w:szCs w:val="18"/>
                <w:color w:val="auto"/>
              </w:rPr>
            </w:pPr>
          </w:p>
        </w:tc>
        <w:tc>
          <w:tcPr>
            <w:tcW w:w="1640" w:type="dxa"/>
            <w:vAlign w:val="bottom"/>
            <w:gridSpan w:val="4"/>
          </w:tcPr>
          <w:p>
            <w:pPr>
              <w:jc w:val="center"/>
              <w:ind w:left="81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55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5560" w:type="dxa"/>
            <w:vAlign w:val="bottom"/>
          </w:tcPr>
          <w:p>
            <w:pPr>
              <w:spacing w:after="0"/>
              <w:rPr>
                <w:sz w:val="20"/>
                <w:szCs w:val="20"/>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r>
              <w:rPr>
                <w:rFonts w:ascii="Times New Roman" w:cs="Times New Roman" w:eastAsia="Times New Roman" w:hAnsi="Times New Roman"/>
                <w:sz w:val="20"/>
                <w:szCs w:val="20"/>
                <w:color w:val="auto"/>
                <w:vertAlign w:val="superscript"/>
              </w:rPr>
              <w:t>(1)</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8"/>
        </w:trPr>
        <w:tc>
          <w:tcPr>
            <w:tcW w:w="55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382"/>
        </w:trPr>
        <w:tc>
          <w:tcPr>
            <w:tcW w:w="81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The following customers accounted for more than 10% of accounts receivable as of June 30, 2022, and</w:t>
            </w: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2"/>
        </w:trPr>
        <w:tc>
          <w:tcPr>
            <w:tcW w:w="5560" w:type="dxa"/>
            <w:vAlign w:val="bottom"/>
          </w:tcPr>
          <w:p>
            <w:pPr>
              <w:spacing w:after="0"/>
              <w:rPr>
                <w:sz w:val="24"/>
                <w:szCs w:val="24"/>
                <w:color w:val="auto"/>
              </w:rPr>
            </w:pPr>
          </w:p>
        </w:tc>
        <w:tc>
          <w:tcPr>
            <w:tcW w:w="1640" w:type="dxa"/>
            <w:vAlign w:val="bottom"/>
            <w:gridSpan w:val="4"/>
          </w:tcPr>
          <w:p>
            <w:pPr>
              <w:jc w:val="center"/>
              <w:ind w:left="81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7"/>
        </w:trPr>
        <w:tc>
          <w:tcPr>
            <w:tcW w:w="55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5560" w:type="dxa"/>
            <w:vAlign w:val="bottom"/>
          </w:tcPr>
          <w:p>
            <w:pPr>
              <w:spacing w:after="0"/>
              <w:rPr>
                <w:sz w:val="20"/>
                <w:szCs w:val="20"/>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r>
      <w:tr>
        <w:trPr>
          <w:trHeight w:val="47"/>
        </w:trPr>
        <w:tc>
          <w:tcPr>
            <w:tcW w:w="55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40"/>
        </w:trPr>
        <w:tc>
          <w:tcPr>
            <w:tcW w:w="5560" w:type="dxa"/>
            <w:vAlign w:val="bottom"/>
          </w:tcPr>
          <w:p>
            <w:pPr>
              <w:spacing w:after="0"/>
              <w:rPr>
                <w:sz w:val="3"/>
                <w:szCs w:val="3"/>
                <w:color w:val="auto"/>
              </w:rPr>
            </w:pPr>
          </w:p>
        </w:tc>
        <w:tc>
          <w:tcPr>
            <w:tcW w:w="1640" w:type="dxa"/>
            <w:vAlign w:val="bottom"/>
            <w:gridSpan w:val="4"/>
          </w:tcPr>
          <w:p>
            <w:pPr>
              <w:spacing w:after="0"/>
              <w:rPr>
                <w:sz w:val="3"/>
                <w:szCs w:val="3"/>
                <w:color w:val="auto"/>
              </w:rPr>
            </w:pPr>
          </w:p>
        </w:tc>
        <w:tc>
          <w:tcPr>
            <w:tcW w:w="900" w:type="dxa"/>
            <w:vAlign w:val="bottom"/>
            <w:gridSpan w:val="2"/>
          </w:tcPr>
          <w:p>
            <w:pPr>
              <w:spacing w:after="0"/>
              <w:rPr>
                <w:sz w:val="3"/>
                <w:szCs w:val="3"/>
                <w:color w:val="auto"/>
              </w:rPr>
            </w:pPr>
          </w:p>
        </w:tc>
      </w:tr>
      <w:tr>
        <w:trPr>
          <w:trHeight w:val="28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r>
              <w:rPr>
                <w:rFonts w:ascii="Times New Roman" w:cs="Times New Roman" w:eastAsia="Times New Roman" w:hAnsi="Times New Roman"/>
                <w:sz w:val="20"/>
                <w:szCs w:val="20"/>
                <w:color w:val="auto"/>
                <w:vertAlign w:val="superscript"/>
              </w:rPr>
              <w:t>(2)</w:t>
            </w:r>
          </w:p>
        </w:tc>
        <w:tc>
          <w:tcPr>
            <w:tcW w:w="16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28"/>
        </w:trPr>
        <w:tc>
          <w:tcPr>
            <w:tcW w:w="5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r>
        <w:trPr>
          <w:trHeight w:val="36"/>
        </w:trPr>
        <w:tc>
          <w:tcPr>
            <w:tcW w:w="55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81" w:lineRule="exact"/>
        <w:rPr>
          <w:sz w:val="20"/>
          <w:szCs w:val="20"/>
          <w:color w:val="auto"/>
        </w:rPr>
      </w:pPr>
    </w:p>
    <w:p>
      <w:pPr>
        <w:ind w:left="880" w:right="479" w:hanging="426"/>
        <w:spacing w:after="0" w:line="183" w:lineRule="auto"/>
        <w:tabs>
          <w:tab w:leader="none" w:pos="1015" w:val="left"/>
        </w:tabs>
        <w:numPr>
          <w:ilvl w:val="0"/>
          <w:numId w:val="66"/>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The decrease in revenue is attributable to the customer relationship cancellation with certain franchisees within Customer C.</w:t>
      </w:r>
    </w:p>
    <w:p>
      <w:pPr>
        <w:ind w:left="880" w:hanging="426"/>
        <w:spacing w:after="0" w:line="181" w:lineRule="auto"/>
        <w:tabs>
          <w:tab w:leader="none" w:pos="880" w:val="left"/>
        </w:tabs>
        <w:numPr>
          <w:ilvl w:val="0"/>
          <w:numId w:val="66"/>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6"/>
          <w:szCs w:val="16"/>
          <w:color w:val="auto"/>
        </w:rPr>
        <w:t>Customers with a dash accounted for less than 10% of accounts receivable at period end.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following persons serve as Presto’s executive officers and directors. Each director will hold office until his or her term expires at the next annual meeting of stockholders for such director’s class or until his or her death, resignation, removal or the earlier termination of his or her term of office. The ages of the executive officers and directors of Presto indicated in this section are as of September 27, 2022.</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36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2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r>
      <w:tr>
        <w:trPr>
          <w:trHeight w:val="257"/>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Rajat Suri</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r>
      <w:tr>
        <w:trPr>
          <w:trHeight w:val="49"/>
        </w:trPr>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4"/>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Ashish Gupta</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Bill Healey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49"/>
        </w:trPr>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Mosher</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5"/>
        </w:trPr>
        <w:tc>
          <w:tcPr>
            <w:tcW w:w="2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360" w:type="dxa"/>
            <w:vAlign w:val="bottom"/>
          </w:tcPr>
          <w:p>
            <w:pPr>
              <w:spacing w:after="0"/>
              <w:rPr>
                <w:sz w:val="3"/>
                <w:szCs w:val="3"/>
                <w:color w:val="auto"/>
              </w:rPr>
            </w:pPr>
          </w:p>
        </w:tc>
      </w:tr>
      <w:tr>
        <w:trPr>
          <w:trHeight w:val="263"/>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 K. Gupta</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Ilya Golubovich</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Kravcik</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 Axel Lopdrup</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Gail Zauder</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a biographical summary of the experience of our executive officers and directors: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Rajat Suri </w:t>
      </w:r>
      <w:r>
        <w:rPr>
          <w:rFonts w:ascii="Times New Roman" w:cs="Times New Roman" w:eastAsia="Times New Roman" w:hAnsi="Times New Roman"/>
          <w:sz w:val="18"/>
          <w:szCs w:val="18"/>
          <w:color w:val="auto"/>
        </w:rPr>
        <w:t>is the founder of Presto and has served as Chief Executive Officer since April 2008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Presto’s board of directors since October 2008. Previously, Mr. Suri was a co-founder of Zimride, Inc., now Lyft, Inc., from April 2007 to April 2008. He holds a B.S. in chemical engineering and economics from the University of Waterloo and attended a Ph.D. / M.B.A. program at Massachusetts Institute of Technology. Mr. Suri was nominated to serve on the board of directors of Presto due to his perspective and experience from serving as the founder and Chief Executive Officer of Presto.</w:t>
      </w:r>
    </w:p>
    <w:p>
      <w:pPr>
        <w:spacing w:after="0" w:line="10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Ashish Gupta </w:t>
      </w:r>
      <w:r>
        <w:rPr>
          <w:rFonts w:ascii="Times New Roman" w:cs="Times New Roman" w:eastAsia="Times New Roman" w:hAnsi="Times New Roman"/>
          <w:sz w:val="18"/>
          <w:szCs w:val="18"/>
          <w:color w:val="auto"/>
        </w:rPr>
        <w:t>has served as Chief Financial Officer of Presto since September 2019. Prior to joining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Presto, Mr. Gupta served as Chief Financial Officer of Moz, Inc., an SEO software company, from February 2018 to September 2019 and as Chief Financial Officer and Chief Operating Officer of TapInflence Inc., an influencer marketing platform, from October 2016 to May 2018. Mr. Gupta previously held various executive and financial positions with HotChalk, Inc., an education technology company, UniversityNow, Inc., an online higher education startup, Rafter Inc., a cloud-based provider of textbook and course materials, Cengage Group, an educational content, technology and services company and Microsoft Corporation, a multinational technology company. Mr. Gupta holds a B.S. in electrical engineering from University of Florida, an M.S. in engineering from Caltech and an M.B.A. from Columbia Business School.</w:t>
      </w:r>
    </w:p>
    <w:p>
      <w:pPr>
        <w:spacing w:after="0" w:line="121"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Bill Healey </w:t>
      </w:r>
      <w:r>
        <w:rPr>
          <w:rFonts w:ascii="Times New Roman" w:cs="Times New Roman" w:eastAsia="Times New Roman" w:hAnsi="Times New Roman"/>
          <w:sz w:val="18"/>
          <w:szCs w:val="18"/>
          <w:color w:val="auto"/>
        </w:rPr>
        <w:t>has served as Chief Technology Officer of Presto since September 2014, having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Lead Software Architect from August 2013 to September 2014 and as Engineering Lead from October 2011 to August 2013. Prior to joining Presto, Mr. Healey worked on P2P protocols and wireless WAN as a Software Development Engineer at Microsoft Corporation. Mr. Healey holds an M.S. in computer engineering and computer science from University of Illinois Urbana-Champaign.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Dan Mosher </w:t>
      </w:r>
      <w:r>
        <w:rPr>
          <w:rFonts w:ascii="Times New Roman" w:cs="Times New Roman" w:eastAsia="Times New Roman" w:hAnsi="Times New Roman"/>
          <w:sz w:val="18"/>
          <w:szCs w:val="18"/>
          <w:color w:val="auto"/>
        </w:rPr>
        <w:t>has served as Chief Revenue Officer of Presto since March 2021. Prior to joining Presto,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Mosher served as Chief Operating Officer at VuMedi, Inc., a video education platform for doctors, from March 2020 to January 2021. From June 2017 to March 2020, Mr. Mosher was Senior Vice President and Merchant Lead at Postmates Inc., an on-demand delivery platform, where he built and led the team responsible for acquiring new merchants for the platform. From 2011 to June 2017, Mr. Mosher managed BrightRoll, Inc.’s exchange, BRX, an online advertising marketplace, serving first as Senior Vice President and General Manager at BrightRoll, Inc. and, following BrightRoll,</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Inc.’s 2014 acquisition by Yahoo Inc., as Vice President and General Manager, BrightRoll Exchange at Yahoo Inc. Mr. Mosher also currently serves on the board of directors of Czinger Vehicles, Inc., a manufacturer of hybrid sports cars. Mr. Mosher holds a B.S. in finance from University of California, Berkeley — Walter A. Haas School of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and the Governance Agreement, the parties elected and appointed the below individuals as directors of Presto. Pursuant to the terms of the Governance Agreement, REMUS Capital designated Mr. Gupta for appointment to Presto’s board, Mr. Suri designated himself for appointment to the board and Cleveland Avenue designated Keith Kravcik for appointment to the board.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Ilya Golubovich </w:t>
      </w:r>
      <w:r>
        <w:rPr>
          <w:rFonts w:ascii="Times New Roman" w:cs="Times New Roman" w:eastAsia="Times New Roman" w:hAnsi="Times New Roman"/>
          <w:sz w:val="18"/>
          <w:szCs w:val="18"/>
          <w:color w:val="auto"/>
        </w:rPr>
        <w:t>has served as a member of Presto’s board of directors since 2017. Mr. Golubovich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Founding Partner and Managing Director of I2BF Global Ventures, a venture fund facilitating the advancement of the second wave of digital transformation, headquartered in New York City, since 2007. Mr. Golubovich serves as a director on the boards of OctiTV (SuperMediaFuture Corp.), an augmented reality social networking company, Enki Labs, Inc., a developer of business learning solutions and Buzzoola Group, Inc., a leading native advertising platform in Russia and the Commonwealth of Independent States. His investment portfolio includes companies in vertical SaaS, deep tech, and new media. In 2014, Mr. Golubovich co-founded Aeroxo, a long-range aerial robotics and data gathering company, where he also serves as Chief Strategist. Since 2015, Mr. Golubovich has also served as a member of the Advisory Council of the Physics and Astronomy Department of Johns Hopkins University. Mr. Golubovich holds a B.S. in management science and engineering from Stanford University. Mr. Golubovich was nominated to serve on the board of directors of Presto due to his experience investing in software companies.</w:t>
      </w:r>
    </w:p>
    <w:p>
      <w:pPr>
        <w:spacing w:after="0" w:line="10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Krishna K. Gupta </w:t>
      </w:r>
      <w:r>
        <w:rPr>
          <w:rFonts w:ascii="Times New Roman" w:cs="Times New Roman" w:eastAsia="Times New Roman" w:hAnsi="Times New Roman"/>
          <w:sz w:val="18"/>
          <w:szCs w:val="18"/>
          <w:color w:val="auto"/>
        </w:rPr>
        <w:t>has served as a member of Presto’s board of directors since 2017. Mr. Gupta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founder of REMUS Capital and Romulus Capital (collectively referred to herein as “REMUS Capital”), technology-focused venture capital firms he initially founded in 2008. Mr. Gupta serves as a director on the boards of several privately held companies, including: Allurion Technologies, a weight loss technology platform; Ceres Imaging, which provides computer vision-analytics in agriculture; Cogito, which provides voice AI for large enterprises; Cohealo, Inc., which provides equipment sharing service for health systems; Spotta, which develops smart insect and pest monitoring solutions; and ZeroCater, which provides catering technology for enterprises. Prior to REMUS Capital, Mr. Gupta held roles at McKinsey &amp; Company, a management consulting firm, and JPMorgan, an investment banking firm, where he advised several Fortune 100 clients on tech M&amp;A deals. Mr. Gupta holds B.S. degrees in materials science and engineering, as well as in management sciences, both from the Massachusetts Institute of Technology. Mr. Gupta was nominated to serve on the board of directors of Presto due to his experience investing in technology-enabled businesses.</w:t>
      </w:r>
    </w:p>
    <w:p>
      <w:pPr>
        <w:spacing w:after="0" w:line="12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Keith Kravcik </w:t>
      </w:r>
      <w:r>
        <w:rPr>
          <w:rFonts w:ascii="Times New Roman" w:cs="Times New Roman" w:eastAsia="Times New Roman" w:hAnsi="Times New Roman"/>
          <w:sz w:val="18"/>
          <w:szCs w:val="18"/>
          <w:color w:val="auto"/>
        </w:rPr>
        <w:t>is currently the Chief Financial Officer and Chief Investment Officer of all of Cleveland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Avenue’s various Investment Funds. He has been at Cleveland Avenue since its inception in September 2015. Prior to Cleveland Avenue, he served as the Chief Financial Officer of Ovation Brands (d/b/a Buffet Inc.), an operator of a number of American national buffet chain restaurants, from July 2013 to August 2015. He previously served as Group Vice President, Controller and Corporate Officer of SUPERVALU Inc., an American wholesaler and retailer of grocery products, between April 2011 and June 2013 where he was the key strategic partner in developing financial and operational strategies to turnaround results and create shareholder value. This effort culminated in him becoming the strategy and financial resource lead during the completion of the $3.3B sale of underperforming retail grocery chains to the Cerberus Capital consortium. Prior to SUPERVALU Inc, Keith spent 16 years at McDonald’s, where he held four progressive executive management positions including being responsible for all of Worldwide Financial Reporting as well as Strategy and Corporate Development when McDonald’s acquired Chipotle. He also became the CFO of Latin America where his strategies reversed losses by increasing sales over 100% in a three-year period, and ultimately the Corporate Vice President and Controller for McDonald’s USA, LLC., in which during his tenure, he developed company operated restaurant ownership and profit optimization plans which significantly improved operating margins and increased operating profits by $198mm in a three-year period. Keith began his career at Ernst &amp; Young where he worked his way up the audit ranks in the Chicago office during his eleven-year tenure. He studied at DePaul University, where he has a Bachelor of Science in Accounting degree and is a Certified Public Accountant. Keith maintains several board positions on businesses within the Cleveland Avenue investment portfolio and advises several founders of entrepreneurial food and technology concepts. He has also served as a Board member of the Illinois CPA Society Technical Accounting Committee as well as having served on the Board of Directors of other not for profit organizations. Mr. Kravcik was nominated to serve on the board of directors of Presto due to his financial expertise and experience in the food service industry.</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Kim Axel Lopdrup </w:t>
      </w:r>
      <w:r>
        <w:rPr>
          <w:rFonts w:ascii="Times New Roman" w:cs="Times New Roman" w:eastAsia="Times New Roman" w:hAnsi="Times New Roman"/>
          <w:sz w:val="18"/>
          <w:szCs w:val="18"/>
          <w:color w:val="auto"/>
        </w:rPr>
        <w:t>has served as a member of Presto’s board of directors since 2021. Mr. Lopdrup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and a director of Red Lobster Hospitality LLC, a national seafood restaurant chain from 2014 following its separation from Darden Restaurants, Inc. to August 2021. From 2003 to 2014, Mr. Lopdrup held various roles with Darden Restaurants, Inc., a multi-brand restaurant operator, including serving as Darden’s President of Specialty Restaurant Group and New Business, and as President of Red Lobster. Mr. Lopdrup was also previously employed as Executive Vice President and Chief Operating Officer for North American operations of Burger King Corporation, an operator and franchiser of fast food restaurants from 2001 to 2002, and he worked for Allied Domecq Quick Service Restaurants, a franchiser of quick service restaurants including Dunkin’ Donuts, Baskin-Robbins and Togo’s Eateries, from 1985 until 2001, where he held progressively more responsible positions in marketing, strategic and general management roles, eventually serving as Chief Executive Officer of ADQSR International. Mr. Lopdrup currently serves on the board of directors of Wawa, Inc., a convenience store chain, Bob Evans Restaurants, a restaurant chain, Botrista Technology, a robotic beverage equipment company, and Kalera, a hydroponically-grown produce company. Mr. Lopdrup holds a B.B.A. from The College of William &amp; Mary and an M.B.A. from Harvard Business School. Mr. Lopdrup was nominated to serve on the board of directors of Presto due to his significant leadership experience across the food service industry.</w:t>
      </w:r>
    </w:p>
    <w:p>
      <w:pPr>
        <w:spacing w:after="0" w:line="127"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Gail Zauder </w:t>
      </w:r>
      <w:r>
        <w:rPr>
          <w:rFonts w:ascii="Times New Roman" w:cs="Times New Roman" w:eastAsia="Times New Roman" w:hAnsi="Times New Roman"/>
          <w:sz w:val="18"/>
          <w:szCs w:val="18"/>
          <w:color w:val="auto"/>
        </w:rPr>
        <w:t>has over 35 years of experience as an investment banker specializing in M&amp;A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financings in the consumer products, beauty, luxury goods and retail and apparel sectors. She is also an experienced director and operating executive. Since January 2002, Ms. Zauder has served as Managing Partner of Elixir Advisors LLC, a financial and strategic advisory firm she founded to focus on entrepreneur-led companies in the luxury goods, beauty, retail, apparel and consumer products sectors. Ms. Zauder was the Chief Financial Officer of Urban Zen, Ms. Donna Karan’s luxury lifestyle brand and foundation, from May 2012 to December 2013 and the Chief Executive Officer of Soap &amp; Glory Ltd, a global beauty products company, from July 2011 to February 2012 and from November 2012 until April 2014. Ms. Zauder began her investment banking career in 1985 as a member of the Mergers &amp; Acquisitions Group at The First Boston Corporation, and served in various senior leadership roles at Credit Suisse First Boston, its successor firm, until 2001, including as the Head of M&amp;A for Retail and Apparel Investment Banking and the Worldwide Head of Luxury Goods Investment Banking. Ms. Zauder has served as a director on numerous private company boards, including Kenneth Cole Productions, since December 2017, where she is compensation committee chair, and Siddhi Acquisition Corp., a blank-check company targeting “better-for-you” food and beverage companies which has filed to list on the NYSE, since March 2021, where she serves on the audit and nominating and governance committees. Previously, she was a member of the boards of Altuzarra LLC, a women’s luxury ready-to-wear and accessories company, from September 2013 to February 2021, Edun Apparel Ltd, an ethical apparel brand, from May 2009 to September 2018, and Allurion Technologies, a consumer-facing medical device company disrupting the treatment of obesity, from October 2017 to July 2021, where she served as audit committee chair. She joined the board of Soap &amp; Glory in November 2008 and became Chairman in July 2009, serving in this capacity until November 2014 when the company was acquired by Alliance Boots. She is also currently a director of the Gordon A. Rich Memorial Foundation, 122E82 Owners Corp. and the Smith College Business Advisory Network. Ms. Zauder holds a B.A. in urban environmental studies from Smith College and an M.B.A. from Yale University’s School of Management. Ms. Zauder was nominated to serve on the board of directors of Presto due to her relationships, contacts and experience.</w:t>
      </w:r>
    </w:p>
    <w:p>
      <w:pPr>
        <w:spacing w:after="0" w:line="13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Edward Scheetz </w:t>
      </w:r>
      <w:r>
        <w:rPr>
          <w:rFonts w:ascii="Times New Roman" w:cs="Times New Roman" w:eastAsia="Times New Roman" w:hAnsi="Times New Roman"/>
          <w:sz w:val="18"/>
          <w:szCs w:val="18"/>
          <w:color w:val="auto"/>
        </w:rPr>
        <w:t>has been VTAQ’s Chief Executive Officer and Chairman since August 2020. He is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co-founder, Chief Executive Officer and Chairman of Ventoux Acquisition Holdings LLC (“Ventoux Acquisition”), VTAQ’s co-sponsor.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w:t>
      </w:r>
    </w:p>
    <w:p>
      <w:pPr>
        <w:sectPr>
          <w:pgSz w:w="11900" w:h="16838" w:orient="portrait"/>
          <w:cols w:equalWidth="0" w:num="1">
            <w:col w:w="9019"/>
          </w:cols>
          <w:pgMar w:left="1440" w:top="270"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involved with Wyndham Hotels, assisted the Chief Financial Officer in restructuring The Trammell Crow Companies,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Board of Directors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Presto’s business affairs will be managed under the direction of the board. The Presto Board consists of eight members, divided into three classes of staggered three-year terms, with one vacancy to be filled by an individual proposed by Presto’s nominating and governance committee and approved by the Presto Board.</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entered into the Governance Agreement with Rajat Suri, the REMUS Capital Stockholders, Cleveland Avenue and I2BF Global Investments Ltd. Pursuant to the Governance Agreement, for so long as the REMUS Capital Stockholders and any of their affiliates hold, in the aggregate, not less than 5% of the outstanding voting securities of Presto, the REMUS Capital Stockholders shall be entitled to nominate and require Presto’s board to include one Class I director in the slate of nominees recommended by the Presto Board, for so long as Mr. Suri and his affiliates hold, in the aggregate, not less 5% of the outstanding voting securities of Presto, he shall be entitled to nominate and require the Presto Board to include one Class II director in the slate of nominees recommended by the Presto Board and for so long as Cleveland Avenue and its affiliates hold, in the aggregate, not less than 75.0% of the shares of Presto Common Stock they hold immediately following the Mergers, Cleveland Avenue shall be entitled to nominate and require the Presto Board to include one Class I director in the slate of nominees recommended by the Presto Board.</w:t>
      </w:r>
    </w:p>
    <w:p>
      <w:pPr>
        <w:spacing w:after="0" w:line="12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Such designees shall comply with the requirements of the charter for, and related guidelines of, Presto’s nominating and governance committee.</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Pursuant to the Governance Agreement, the parties thereto further agreed that the initial board upon the completion of the Business Combination consists of the following seven individuals: Ilya Golubovich, Krishna K. Gupta, Keith Kravcik, Kim Axel Lopdrup, Rajat Suri, Gail Zauder and Edward Scheetz. Mr. Gupta will serve as the chairman of the board and will continue in such role following the 2022 annual meeting of stockholders until the earlier of (i) such time as he is no longer a director of Presto and (ii) the next annual meeting of stockholders at which his class of directors is subject to reelection.</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Presto Board is divided into three staggered classes of directors. At each annual meeting of its stockholders, a class of directors will be elected for a three-year term to succeed the same class whose term is then expiring, as follows:</w:t>
      </w:r>
    </w:p>
    <w:p>
      <w:pPr>
        <w:spacing w:after="0" w:line="108" w:lineRule="exact"/>
        <w:rPr>
          <w:sz w:val="20"/>
          <w:szCs w:val="20"/>
          <w:color w:val="auto"/>
        </w:rPr>
      </w:pPr>
    </w:p>
    <w:p>
      <w:pPr>
        <w:ind w:left="1320" w:right="479" w:hanging="434"/>
        <w:spacing w:after="0" w:line="282" w:lineRule="auto"/>
        <w:tabs>
          <w:tab w:leader="none" w:pos="1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whose terms will expire at the annual meeting of stockholders to be held in 2023, will be Krishna K. Gupta, Keith Kravcik and Edward Scheetz;</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whose terms will expire at the annual meeting of stockholders to be held in 2024, will be Ilya Golubovich and Rajat Suri;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whose terms will expire at the annual meeting of stockholders to be held in 2025, will be Kim Axel Lopdrup and Gail Zauder.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Certificate of Incorporation and the Governance Agreement, any change to the size of the Presto Board must be authorized by the affirmative vote of a majority of the entire board.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a result of Presto’s common stock being listed on Nasdaq, Presto is required to comply with the applicable rules of such exchange in determining whether a director is independent. Prior to the completion of the business combination, the parties undertook a review of the independence of the individuals named above and determined that each of Krishna K. Gupta, Ilya Golubovich, Kim Axel Lopdrup, Gail Zauder, Keith Kravcik and Edward Scheetz qualifies as “independent” as defined under the applicable Nasdaq rules.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Presto Board directs the management of its business and affairs, as provided by Delaware law, and conducts its business through meetings of the board of directors and standing committees. Presto has a standing audit committee, compensation committee and nominating and governance committee, each of which will operate under a written charter.</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In addition, from time to time, special committees may be established under the direction of the Presto Board when the board deems it necessary or advisable to address specific issues. Current copies of Presto’s committee charters are posted on its website, </w:t>
      </w:r>
      <w:r>
        <w:rPr>
          <w:rFonts w:ascii="Times New Roman" w:cs="Times New Roman" w:eastAsia="Times New Roman" w:hAnsi="Times New Roman"/>
          <w:sz w:val="18"/>
          <w:szCs w:val="18"/>
          <w:i w:val="1"/>
          <w:iCs w:val="1"/>
          <w:color w:val="auto"/>
        </w:rPr>
        <w:t>www.presto.com</w:t>
      </w:r>
      <w:r>
        <w:rPr>
          <w:rFonts w:ascii="Times New Roman" w:cs="Times New Roman" w:eastAsia="Times New Roman" w:hAnsi="Times New Roman"/>
          <w:sz w:val="18"/>
          <w:szCs w:val="18"/>
          <w:color w:val="auto"/>
        </w:rPr>
        <w:t>, as required by applicable SEC and Nasdaq rules. The information on or available through any of such website is not deemed incorporated in this prospectus and does not form part of this prospectus.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Presto’s audit committee consists of Keith Kravcik, Ilya Golubovich, Gail Zauder and Edward Scheetz. Mr. Kravcik serves as the chair of the audit committee. VTAQ’s board of directors has determined that each of these individuals meets the independence requirements of the Sarbanes-Oxley Act of 2002, as amended, or the Sarbanes-Oxley Act, Rule 10A-3 under the Exchange Act and the applicable listing standards of Nasdaq. Each member of Presto’s audit committee is able to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VTAQ’s board of directors has determined that Ms. Zauder qualifies as an audit committee financial expert within the meaning of SEC regulations and meet the financial sophistication requirements of the Nasdaq rules. In making this determination, VTAQ’s board considered formal education and previous and current experience in financial and accounting roles. Both Presto’s independent registered public accounting firm and management periodically will meet privately with Presto’s audit committee.</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audit committee’s responsibilities will include, among other things:</w:t>
      </w:r>
    </w:p>
    <w:p>
      <w:pPr>
        <w:spacing w:after="0" w:line="131" w:lineRule="exact"/>
        <w:rPr>
          <w:sz w:val="20"/>
          <w:szCs w:val="20"/>
          <w:color w:val="auto"/>
        </w:rPr>
      </w:pPr>
    </w:p>
    <w:p>
      <w:pPr>
        <w:ind w:left="1320" w:right="479" w:hanging="434"/>
        <w:spacing w:after="0" w:line="282"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Presto’s independent registered public accounting firm;</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Presto’s independent registered public accounting firm their independence from management;</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Presto’s independent registered public accounting firm the scope and results of their audit;</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permissible non-audit services to be performed by Presto’s independent registered public accounting firm;</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Presto’s independent registered public accounting firm the interim and annual financial statements that Presto’s files with the SEC;</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Presto’s accounting principles, accounting policies, financial and accounting controls and compliance with legal and regulatory requirements;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Presto’s compensation committee consists of Edward Scheetz, Kim Axel Lopdrup and Gail Zauder. Mr. Lopdrup serves as the chair of the compensation committee. All members are be non-employee directors, as defined in Rule 16b-3 promulgated under the Exchange Act. VTAQ’s board of directors has determined that each proposed member is “independent” as defined under the applicable Nasdaq listing standards, including the standards specific to members of a compensation committee. The compensation committee’s responsibilities include, among other things:</w:t>
      </w:r>
    </w:p>
    <w:p>
      <w:pPr>
        <w:spacing w:after="0" w:line="106" w:lineRule="exact"/>
        <w:rPr>
          <w:sz w:val="20"/>
          <w:szCs w:val="20"/>
          <w:color w:val="auto"/>
        </w:rPr>
      </w:pPr>
    </w:p>
    <w:p>
      <w:pPr>
        <w:ind w:left="1320" w:right="479" w:hanging="434"/>
        <w:spacing w:after="0" w:line="282" w:lineRule="auto"/>
        <w:tabs>
          <w:tab w:leader="none" w:pos="13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the Presto Board regarding the compensation of Presto’s executive officers;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Presto Board regarding the compensation of Presto’s directors;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1320" w:right="479" w:hanging="434"/>
        <w:spacing w:after="0" w:line="282" w:lineRule="auto"/>
        <w:tabs>
          <w:tab w:leader="none" w:pos="1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Presto Board regarding Presto’s incentive compensation and equity-based plans and arrangements; and</w:t>
      </w:r>
    </w:p>
    <w:p>
      <w:pPr>
        <w:spacing w:after="0" w:line="5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11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believe that the composition and functioning of Presto’s compensation committee will meet the requirements for independence under the current Nasdaq listing standards.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Presto’s nominating and governance committee consists of Ilya Golubovich, Krishna K. Gupta and Keith Kravcik. Mr. Golubovich serves as the chair of the nominating and governance committee. VTAQ’s board of directors has determined that each proposed member is “independent” as defined under the applicable Nasdaq listing standards. The nominating and governance committee’s responsibilities include, among other things:</w:t>
      </w:r>
    </w:p>
    <w:p>
      <w:pPr>
        <w:spacing w:after="0" w:line="72" w:lineRule="exact"/>
        <w:rPr>
          <w:sz w:val="20"/>
          <w:szCs w:val="20"/>
          <w:color w:val="auto"/>
        </w:rPr>
      </w:pPr>
    </w:p>
    <w:p>
      <w:pPr>
        <w:ind w:left="1320" w:right="479" w:hanging="434"/>
        <w:spacing w:after="0" w:line="282"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making recommendations to the Presto Board regarding, nominees for election to the board and its committees;</w:t>
      </w:r>
    </w:p>
    <w:p>
      <w:pPr>
        <w:spacing w:after="0" w:line="5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and of individual directors;</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of the board and its committees;</w:t>
      </w:r>
    </w:p>
    <w:p>
      <w:pPr>
        <w:spacing w:after="0" w:line="5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the corporate governance practices and reporting;</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w:t>
      </w:r>
    </w:p>
    <w:p>
      <w:pPr>
        <w:spacing w:after="0" w:line="5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nominating and governance committee consider a number of qualifications relating to management and leadership experience, background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governance committee will not distinguish among nominees recommended by stockholders and other persons.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Presto has a code of ethics that applies to all of its executive officers, directors and employees, including its principal executive officer, principal financial officer, principal accounting officer or controller or persons performing similar functions. The code of ethics is available on Presto’s website, </w:t>
      </w:r>
      <w:r>
        <w:rPr>
          <w:rFonts w:ascii="Times New Roman" w:cs="Times New Roman" w:eastAsia="Times New Roman" w:hAnsi="Times New Roman"/>
          <w:sz w:val="18"/>
          <w:szCs w:val="18"/>
          <w:i w:val="1"/>
          <w:iCs w:val="1"/>
          <w:color w:val="auto"/>
        </w:rPr>
        <w:t>www.presto.com</w:t>
      </w:r>
      <w:r>
        <w:rPr>
          <w:rFonts w:ascii="Times New Roman" w:cs="Times New Roman" w:eastAsia="Times New Roman" w:hAnsi="Times New Roman"/>
          <w:sz w:val="18"/>
          <w:szCs w:val="18"/>
          <w:color w:val="auto"/>
        </w:rPr>
        <w:t>. The information on or available through any of such website is not deemed incorporated in this prospectus and does not form part of this prospectus. Presto intends to make any legally required disclosures regarding amendments to, or waivers of, provisions of its code of ethics on its website rather than by filing a Current Report on Form 8-K.</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None of Presto’s executive officers currently serves, or has served during the last year, as a member of the board of directors or compensation committee of any entity, other than Presto, that has one or more executive officers serving as a member of the Presto Board.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4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Presto. and its subsidiaries. This discussion may contain forward-looking statements that are based on Presto’s current plans, considerations, expectations and determinations regarding future compensation programs. Actual compensation programs that it adopts may differ materially from the currently planned programs summarized in this discussion. All unit counts in this section are shown on a post-Business Combination basis.</w:t>
      </w:r>
    </w:p>
    <w:p>
      <w:pPr>
        <w:spacing w:after="0" w:line="11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attract, motivate and retain high quality leadership and incentivize our executive officers to achieve performance goals over the short-and long-term, which also aligns the interests of our executive officers with those of our stockholders.</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named executive officers (or “NEOs”) for the fiscal year ended June, 30 2022, which consist of our principal executive officer and our two other most highly compensated executive officers, were:</w:t>
      </w:r>
    </w:p>
    <w:p>
      <w:pPr>
        <w:spacing w:after="0" w:line="94" w:lineRule="exact"/>
        <w:rPr>
          <w:sz w:val="20"/>
          <w:szCs w:val="20"/>
          <w:color w:val="auto"/>
        </w:rPr>
      </w:pPr>
    </w:p>
    <w:p>
      <w:pPr>
        <w:ind w:left="1320" w:hanging="434"/>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Rajat Suri, our Chief Executive Officer;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Ashish Gupta, Chief Financial Officer;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 Mosher, Chief Revenue Officer.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compensation awarded to, earned by and paid to our named executive officers for the fiscal year ended June 30, 2022 (which is used for purposes of this section because it is the last day of the most recent fiscal year end of Presto).</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Plan</w:t>
            </w:r>
          </w:p>
        </w:tc>
        <w:tc>
          <w:tcPr>
            <w:tcW w:w="980" w:type="dxa"/>
            <w:vAlign w:val="bottom"/>
            <w:gridSpan w:val="2"/>
            <w:vMerge w:val="continue"/>
          </w:tcPr>
          <w:p>
            <w:pPr>
              <w:spacing w:after="0"/>
              <w:rPr>
                <w:sz w:val="12"/>
                <w:szCs w:val="12"/>
                <w:color w:val="auto"/>
              </w:rPr>
            </w:pPr>
          </w:p>
        </w:tc>
        <w:tc>
          <w:tcPr>
            <w:tcW w:w="10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3"/>
                <w:szCs w:val="13"/>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vMerge w:val="restart"/>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6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w:t>
            </w:r>
            <w:r>
              <w:rPr>
                <w:rFonts w:ascii="Times New Roman" w:cs="Times New Roman" w:eastAsia="Times New Roman" w:hAnsi="Times New Roman"/>
                <w:sz w:val="14"/>
                <w:szCs w:val="14"/>
                <w:b w:val="1"/>
                <w:bCs w:val="1"/>
                <w:color w:val="auto"/>
                <w:w w:val="88"/>
                <w:vertAlign w:val="superscript"/>
              </w:rPr>
              <w:t>(3)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7"/>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Rajat Suri</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287"/>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217,187</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1,022,753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1,239,940</w:t>
            </w:r>
          </w:p>
        </w:tc>
        <w:tc>
          <w:tcPr>
            <w:tcW w:w="0" w:type="dxa"/>
            <w:vAlign w:val="bottom"/>
          </w:tcPr>
          <w:p>
            <w:pPr>
              <w:spacing w:after="0"/>
              <w:rPr>
                <w:sz w:val="1"/>
                <w:szCs w:val="1"/>
                <w:color w:val="auto"/>
              </w:rPr>
            </w:pPr>
          </w:p>
        </w:tc>
      </w:tr>
      <w:tr>
        <w:trPr>
          <w:trHeight w:val="26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Ashish Gupta</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340,167</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390,167</w:t>
            </w:r>
          </w:p>
        </w:tc>
        <w:tc>
          <w:tcPr>
            <w:tcW w:w="0" w:type="dxa"/>
            <w:vAlign w:val="bottom"/>
          </w:tcPr>
          <w:p>
            <w:pPr>
              <w:spacing w:after="0"/>
              <w:rPr>
                <w:sz w:val="1"/>
                <w:szCs w:val="1"/>
                <w:color w:val="auto"/>
              </w:rPr>
            </w:pPr>
          </w:p>
        </w:tc>
      </w:tr>
      <w:tr>
        <w:trPr>
          <w:trHeight w:val="283"/>
        </w:trPr>
        <w:tc>
          <w:tcPr>
            <w:tcW w:w="250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323,409</w:t>
            </w:r>
          </w:p>
        </w:tc>
        <w:tc>
          <w:tcPr>
            <w:tcW w:w="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171,210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544,619</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Dan Mosher</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240,765</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152,044</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392,809</w:t>
            </w:r>
          </w:p>
        </w:tc>
        <w:tc>
          <w:tcPr>
            <w:tcW w:w="0" w:type="dxa"/>
            <w:vAlign w:val="bottom"/>
          </w:tcPr>
          <w:p>
            <w:pPr>
              <w:spacing w:after="0"/>
              <w:rPr>
                <w:sz w:val="1"/>
                <w:szCs w:val="1"/>
                <w:color w:val="auto"/>
              </w:rPr>
            </w:pPr>
          </w:p>
        </w:tc>
      </w:tr>
      <w:tr>
        <w:trPr>
          <w:trHeight w:val="28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Chief Revenue Officer</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67,083</w:t>
            </w:r>
            <w:r>
              <w:rPr>
                <w:rFonts w:ascii="Times New Roman" w:cs="Times New Roman" w:eastAsia="Times New Roman" w:hAnsi="Times New Roman"/>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520,252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587,335</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paid to Messrs. Suri and Gupta to restore prior salary reductions implemented in 2020 due to</w:t>
      </w:r>
    </w:p>
    <w:p>
      <w:pPr>
        <w:spacing w:after="0" w:line="26"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COVID.</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annual bonus, with the amount payable determined by our Chief Executive Officer.</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reported here do not reflect the actual economic value realized by each NEO. In accordance with SEC rules, these columns represent the grant date fair value of shares underlying stock options, calculated in accordance with Accounting Standards Update 718, “Compensation — Stock Compensation (Topic 718).” For additional information, see Note 11. </w:t>
      </w:r>
      <w:r>
        <w:rPr>
          <w:rFonts w:ascii="Times New Roman" w:cs="Times New Roman" w:eastAsia="Times New Roman" w:hAnsi="Times New Roman"/>
          <w:sz w:val="16"/>
          <w:szCs w:val="16"/>
          <w:i w:val="1"/>
          <w:iCs w:val="1"/>
          <w:color w:val="auto"/>
        </w:rPr>
        <w:t>Share-Based Compensation</w:t>
      </w:r>
      <w:r>
        <w:rPr>
          <w:rFonts w:ascii="Times New Roman" w:cs="Times New Roman" w:eastAsia="Times New Roman" w:hAnsi="Times New Roman"/>
          <w:sz w:val="16"/>
          <w:szCs w:val="16"/>
          <w:color w:val="auto"/>
        </w:rPr>
        <w:t xml:space="preserve"> to the notes accompanying our audited consolidated financial statements located elsewhere in this prospectus. The assumptions used in calculating the grant date fair value of the stock options reported in this table are set forth in the section entitled “Management’s Discussion and Analysis of Financial Condition and Results of Operations of Presto — Critical Accounting Policies and Estimates — Stock Based Compensation.”</w:t>
      </w: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commission-based annual incentive payments.</w:t>
      </w:r>
    </w:p>
    <w:p>
      <w:pPr>
        <w:spacing w:after="0" w:line="18"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prorated portion of Mr. Mosher’s $230,000 annual base salary paid from his start date on March 15, 2021 through June 30, 2021.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describes the material elements of our compensation program for the fiscal year ended June 30, 2022 as applicable to our named executive officers and reflected in the Summary Compensation Table above.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Base salaries for our executive officers were established primarily based on individual negotiations with the executive officers when they joined us. In determining compensation for our executive officers, we considered salaries provided to executive officers of our peer companies, each executive officer’s anticipated role criticality relative to others at the Company and our determination of the essential need to attract and retain these executive officers.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Awards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Mr. Gupta received an annual cash bonus of $50,000, with the amount payable determined by our Chief Executive Officer, and Mr. Mosher received commission-based annual incentive payments of $152,044.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Perquisites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provide health, dental, vision, life and disability insurance benefits to our named executive officers, on the same terms and conditions as provided to our other senior executives. We generally do not provide perquisites to our NEOs.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401(k) Plan. </w:t>
      </w:r>
      <w:r>
        <w:rPr>
          <w:rFonts w:ascii="Times New Roman" w:cs="Times New Roman" w:eastAsia="Times New Roman" w:hAnsi="Times New Roman"/>
          <w:sz w:val="18"/>
          <w:szCs w:val="18"/>
          <w:color w:val="auto"/>
        </w:rPr>
        <w:t>We maintain a 401(k) plan that provides eligible U.S. employees with an opportunity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save for retirement on a tax advantaged basis. Eligible employees are able to defer eligible compensation up to certain Code limits, which are updated annually. Contributions are allocated to each participant’s individual account and are then invested in selected investment alternatives according to the participants’ directions. Employees are immediately and fully vested in their own contributions. The Company may elect to make matching or other contributions into participant’s individual accounts, but made no such contributions in 2020.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entered into offer letters with each of Messrs. Gupta and Mosher in August 2019 and February 2021, respectively, each of which provides for at-will employment and sets forth each NEO’s initial base salary, certain employee benefits, eligibility (subject to Board approval) to receive a grant of stock options and, in the case of Mr. Gupta, eligibility to participate in the Company’s annual cash bonus program. The offer letters do not provide for any severance in the event of a termination of employment. Mr. Mosher also entered into a restrictive covenant agreement that includes perpetual confidentiality and twelve-month post-termination employee non-solicitation provisions.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December 2020, the Company granted Mr. Gupta 127,962 stock options to purchase shares of our common stock with an exercise price of $1.44 and subject to the terms of our 2018 Equity Incentive Plan (the “2018 Plan”) (which is described in “</w:t>
      </w:r>
      <w:r>
        <w:rPr>
          <w:rFonts w:ascii="Times New Roman" w:cs="Times New Roman" w:eastAsia="Times New Roman" w:hAnsi="Times New Roman"/>
          <w:sz w:val="18"/>
          <w:szCs w:val="18"/>
          <w:i w:val="1"/>
          <w:iCs w:val="1"/>
          <w:color w:val="auto"/>
        </w:rPr>
        <w:t>Equity Plans—2018 Equity Incentive Plan</w:t>
      </w:r>
      <w:r>
        <w:rPr>
          <w:rFonts w:ascii="Times New Roman" w:cs="Times New Roman" w:eastAsia="Times New Roman" w:hAnsi="Times New Roman"/>
          <w:sz w:val="18"/>
          <w:szCs w:val="18"/>
          <w:color w:val="auto"/>
        </w:rPr>
        <w:t>”) and the applicable award agreement. These stock options are subject to a four-year vesting schedule, with 25% vesting upon the first anniversary of the vesting commencement date, and the remainder vesting monthly in equal installments, subject to Mr. Gupta’s continued employment. The stock options will fully vest in the event Mr. Gupta is terminated without “Cause” (as defined in the 2018 Plan) or resigns for “Good Reason” (as defined in the award agreement) 90 days prior to or 12 months following a change in control (within the meaning of the 2018 Plan).</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March, 2021, each of Messrs. Suri and Gupta were granted 1,562,019 and 143,770, respectively, stock options to purchase shares of our common stock with an exercise price of $1.44 and subject to the terms of our 2018 Plan and the applicable award agreement. 961,267 of Mr. Suri’s stock options vest in monthly installments over four years,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subject to continued employment and 600,752 are subject to performance-based vesting conditions, with half of such options vesting in connection with the closing of the next financing and half in connection with a public liquidity event. Mr. Gupta’s stock options vest in equal monthly installments over two years, subject to continued employment.</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April 2021, in connection with his hiring, Mr. Mosher was granted 513,358 stock options to purchase shares of our common stock with an exercise price of $2.23 and subject to the terms of our 2018 Plan and the applicable award agreement. These stock options are subject to a four-year vesting schedule, with 25% vesting upon the first anniversary of the vesting commencement date, and the remainder vesting monthly in equal installments, subject to Mr. Mosher’s continued employment. Fifty percent of any unvested stock options will vest in the event Mr. Mosher is terminated without “Cause” within three months following a “Change in Control” (in each case, as defined in his offer letter).</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March 2022, we entered into an agreement to grant Mr. Mosher, 64,793 stock options to purchase shares or our common stock, subject to the approval of our Board and subject to the terms of our 2018 Plan and the applicable award agreement. These stock options will be subject to a five-year vesting schedule, with 20% vesting upon the first anniversary of the vesting commencement date and the remainder vesting annually in equal installments, subject to Mr. Mosher’s continued employment.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Generally, our NEOs would not be entitled to any payments and benefits that would be payable upon a termination of employment or a change in control other than Mr. Gupta’s stock option’s granted in 2019 and 2020 and Mr. Mosher’s options, which would accelerate upon certain terminations in connection with a change in control as described below in the Section entitled “—</w:t>
      </w:r>
      <w:r>
        <w:rPr>
          <w:rFonts w:ascii="Times New Roman" w:cs="Times New Roman" w:eastAsia="Times New Roman" w:hAnsi="Times New Roman"/>
          <w:sz w:val="18"/>
          <w:szCs w:val="18"/>
          <w:i w:val="1"/>
          <w:iCs w:val="1"/>
          <w:color w:val="auto"/>
        </w:rPr>
        <w:t>Outstanding Equity Awards at Fiscal Year-End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NEOs as of June 30, 2022.</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40" w:type="dxa"/>
            <w:vAlign w:val="bottom"/>
            <w:gridSpan w:val="2"/>
            <w:vMerge w:val="continue"/>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12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0"/>
        </w:trPr>
        <w:tc>
          <w:tcPr>
            <w:tcW w:w="1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Rajat Suri</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2,221,689</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8/26/2027</w:t>
            </w:r>
          </w:p>
        </w:tc>
        <w:tc>
          <w:tcPr>
            <w:tcW w:w="0" w:type="dxa"/>
            <w:vAlign w:val="bottom"/>
          </w:tcPr>
          <w:p>
            <w:pPr>
              <w:spacing w:after="0"/>
              <w:rPr>
                <w:sz w:val="1"/>
                <w:szCs w:val="1"/>
                <w:color w:val="auto"/>
              </w:rPr>
            </w:pPr>
          </w:p>
        </w:tc>
      </w:tr>
      <w:tr>
        <w:trPr>
          <w:trHeight w:val="284"/>
        </w:trPr>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791,292</w:t>
            </w:r>
          </w:p>
        </w:tc>
        <w:tc>
          <w:tcPr>
            <w:tcW w:w="10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8/26/2027</w:t>
            </w:r>
          </w:p>
        </w:tc>
        <w:tc>
          <w:tcPr>
            <w:tcW w:w="0" w:type="dxa"/>
            <w:vAlign w:val="bottom"/>
          </w:tcPr>
          <w:p>
            <w:pPr>
              <w:spacing w:after="0"/>
              <w:rPr>
                <w:sz w:val="1"/>
                <w:szCs w:val="1"/>
                <w:color w:val="auto"/>
              </w:rPr>
            </w:pPr>
          </w:p>
        </w:tc>
      </w:tr>
      <w:tr>
        <w:trPr>
          <w:trHeight w:val="283"/>
        </w:trPr>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723,528</w:t>
            </w:r>
          </w:p>
        </w:tc>
        <w:tc>
          <w:tcPr>
            <w:tcW w:w="10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8/26/2027</w:t>
            </w:r>
          </w:p>
        </w:tc>
        <w:tc>
          <w:tcPr>
            <w:tcW w:w="0" w:type="dxa"/>
            <w:vAlign w:val="bottom"/>
          </w:tcPr>
          <w:p>
            <w:pPr>
              <w:spacing w:after="0"/>
              <w:rPr>
                <w:sz w:val="1"/>
                <w:szCs w:val="1"/>
                <w:color w:val="auto"/>
              </w:rPr>
            </w:pPr>
          </w:p>
        </w:tc>
      </w:tr>
      <w:tr>
        <w:trPr>
          <w:trHeight w:val="330"/>
        </w:trPr>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600,752</w:t>
            </w:r>
            <w:r>
              <w:rPr>
                <w:rFonts w:ascii="Times New Roman" w:cs="Times New Roman" w:eastAsia="Times New Roman" w:hAnsi="Times New Roman"/>
                <w:sz w:val="21"/>
                <w:szCs w:val="21"/>
                <w:color w:val="auto"/>
                <w:vertAlign w:val="superscript"/>
              </w:rPr>
              <w:t>(5)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3/4/2031</w:t>
            </w:r>
          </w:p>
        </w:tc>
        <w:tc>
          <w:tcPr>
            <w:tcW w:w="0" w:type="dxa"/>
            <w:vAlign w:val="bottom"/>
          </w:tcPr>
          <w:p>
            <w:pPr>
              <w:spacing w:after="0"/>
              <w:rPr>
                <w:sz w:val="1"/>
                <w:szCs w:val="1"/>
                <w:color w:val="auto"/>
              </w:rPr>
            </w:pPr>
          </w:p>
        </w:tc>
      </w:tr>
      <w:tr>
        <w:trPr>
          <w:trHeight w:val="237"/>
        </w:trPr>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340,448</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3/4/2031</w:t>
            </w:r>
          </w:p>
        </w:tc>
        <w:tc>
          <w:tcPr>
            <w:tcW w:w="0" w:type="dxa"/>
            <w:vAlign w:val="bottom"/>
          </w:tcPr>
          <w:p>
            <w:pPr>
              <w:spacing w:after="0"/>
              <w:rPr>
                <w:sz w:val="1"/>
                <w:szCs w:val="1"/>
                <w:color w:val="auto"/>
              </w:rPr>
            </w:pPr>
          </w:p>
        </w:tc>
      </w:tr>
      <w:tr>
        <w:trPr>
          <w:trHeight w:val="330"/>
        </w:trPr>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Ashish Gupta</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313,390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142,696</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9/21/2029</w:t>
            </w: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55,982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71,979</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12/16/2030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101,836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41,933</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3/4/2031</w:t>
            </w:r>
          </w:p>
        </w:tc>
        <w:tc>
          <w:tcPr>
            <w:tcW w:w="0" w:type="dxa"/>
            <w:vAlign w:val="bottom"/>
          </w:tcPr>
          <w:p>
            <w:pPr>
              <w:spacing w:after="0"/>
              <w:rPr>
                <w:sz w:val="1"/>
                <w:szCs w:val="1"/>
                <w:color w:val="auto"/>
              </w:rPr>
            </w:pPr>
          </w:p>
        </w:tc>
      </w:tr>
      <w:tr>
        <w:trPr>
          <w:trHeight w:val="269"/>
        </w:trPr>
        <w:tc>
          <w:tcPr>
            <w:tcW w:w="1760" w:type="dxa"/>
            <w:vAlign w:val="bottom"/>
          </w:tcPr>
          <w:p>
            <w:pPr>
              <w:spacing w:after="0"/>
              <w:rPr>
                <w:sz w:val="23"/>
                <w:szCs w:val="23"/>
                <w:color w:val="auto"/>
              </w:rPr>
            </w:pPr>
          </w:p>
        </w:tc>
        <w:tc>
          <w:tcPr>
            <w:tcW w:w="1240" w:type="dxa"/>
            <w:vAlign w:val="bottom"/>
            <w:gridSpan w:val="2"/>
          </w:tcPr>
          <w:p>
            <w:pPr>
              <w:spacing w:after="0"/>
              <w:rPr>
                <w:sz w:val="23"/>
                <w:szCs w:val="23"/>
                <w:color w:val="auto"/>
              </w:rPr>
            </w:pPr>
          </w:p>
        </w:tc>
        <w:tc>
          <w:tcPr>
            <w:tcW w:w="124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Dan Mosher</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160,423</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352,934</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4/25/2031</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80" w:right="479" w:hanging="426"/>
        <w:spacing w:after="0" w:line="269" w:lineRule="auto"/>
        <w:tabs>
          <w:tab w:leader="none" w:pos="8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time-based stock options that vest in equal monthly installments over four years from the vesting commencement date, subject to the NEO’s continued employment.</w:t>
      </w:r>
    </w:p>
    <w:p>
      <w:pPr>
        <w:jc w:val="both"/>
        <w:ind w:left="880" w:right="459" w:hanging="426"/>
        <w:spacing w:after="0" w:line="264" w:lineRule="auto"/>
        <w:tabs>
          <w:tab w:leader="none" w:pos="8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time-based stock options that vest over four years, with 25% vesting upon the first anniversary of the vesting commencement date, and the remainder vesting monthly in equal installments, subject to the NEO’s continued employment, and will fully vest in the event of a termination by the Company without “Cause” (as defined in the 2018 Plan) or the NEO resigns for “Good Reason” (as defined in the applicable award agreement) 90 days prior to or 12 months following a change in control (within the meaning of the 2018 Plan).</w:t>
      </w:r>
    </w:p>
    <w:p>
      <w:pPr>
        <w:ind w:left="880" w:right="479" w:hanging="426"/>
        <w:spacing w:after="0" w:line="288" w:lineRule="auto"/>
        <w:tabs>
          <w:tab w:leader="none" w:pos="8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time-based stock options that vest in equal monthly installments over two years from the vesting commencement date, subject to the NEO’s continued employment.</w:t>
      </w:r>
    </w:p>
    <w:p>
      <w:pPr>
        <w:sectPr>
          <w:pgSz w:w="11900" w:h="16838" w:orient="portrait"/>
          <w:cols w:equalWidth="0" w:num="1">
            <w:col w:w="9019"/>
          </w:cols>
          <w:pgMar w:left="1440" w:top="270"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2" w:lineRule="auto"/>
        <w:tabs>
          <w:tab w:leader="none" w:pos="8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time-based stock options that vest over four-years, with 25% vesting upon the first anniversary of the vesting commencement date, and the remainder vesting monthly in equal installments, subject to the NEO’s continued employment. Fifty percent of any unvested stock options will vest in the event of a termination without “Cause” within three months following a “Change in Control” (in each case, as defined in his offer letter).</w:t>
      </w:r>
    </w:p>
    <w:p>
      <w:pPr>
        <w:ind w:left="880" w:right="479" w:hanging="426"/>
        <w:spacing w:after="0" w:line="288" w:lineRule="auto"/>
        <w:tabs>
          <w:tab w:leader="none" w:pos="8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performance based options, with half of such options vesting in connection with the closing of the next financing and half in connection with a public liquidity event, subject to the NEO’s continued employment.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our shareholders approved and we adopted the 2022 Incentive Award Plan (the “2022 Plan”). The material terms of the 2022 Plan are summarized below.</w:t>
      </w:r>
    </w:p>
    <w:p>
      <w:pPr>
        <w:spacing w:after="0" w:line="9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Compensation Committee of the Presto Board administers the 2022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generally has the authority to designate participants, determine the type or types of awards to be granted to a participant, determine the terms and conditions of any agreements evidencing any awards granted under the 2022 Plan, accelerate the vesting or exercisability of, payment for or lapse of restrictions on, awards and to adopt, alter and repeal rules, guidelines and practices relating to the 2022 Plan. The Compensation Committee has full discretion to administer and interpret the 2022 Plan and to make any other determinations and/or take any other action that it deems necessary or desirable for the administration of the 2022 Plan, and any such determinations or actions taken by the Committee shall be final, conclusive and binding upon all persons and entities. The Committee may delegate to one or more officers of Presto or any affiliate the authority to act on behalf of the Committee with respect to any matter, right, obligation or election that is the responsibility of or that is allocated to the Committee in the 2022 Plan and that may be so delegated as a matter of law, except for grants of awards to persons subject to Section 16 of the Exchange Act.</w:t>
      </w:r>
    </w:p>
    <w:p>
      <w:pPr>
        <w:spacing w:after="0" w:line="12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Certain employees, directors, officers, advisors or consultants of Presto or its affiliates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participate in the 2022 Plan. Approximately 190 employees, consultants, advisors and service providers and all of our non-executive officer directors are eligible to participate in the 2022 Plan.</w:t>
      </w:r>
    </w:p>
    <w:p>
      <w:pPr>
        <w:spacing w:after="0" w:line="9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Number of Shares Authorized. </w:t>
      </w:r>
      <w:r>
        <w:rPr>
          <w:rFonts w:ascii="Times New Roman" w:cs="Times New Roman" w:eastAsia="Times New Roman" w:hAnsi="Times New Roman"/>
          <w:sz w:val="18"/>
          <w:szCs w:val="18"/>
          <w:color w:val="auto"/>
        </w:rPr>
        <w:t>The 2022 Plan provides for an aggregate of 4,617,400 shares of Presto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to be delivered, plus any shares representing Optionholder Earnout Shares (as defined in the Merger Agreement) that are forfeited by reason of a termination of service or employment following the effective date, not to exceed an aggregate of 4,500,000 shares.</w:t>
      </w:r>
    </w:p>
    <w:p>
      <w:pPr>
        <w:spacing w:after="0" w:line="11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number of shares reserved for issuance under the 2022 Plan will increase automatically on January 1 of each of 2023 through 2032 by the number of shares equal to the lesser of (i) one percent (1%) of the total number of outstanding shares (rounded down to the nearest whole share) of Presto Common Stock as of the immediately preceding December 31, or (ii) a number as may be determined by the Presto Board. Notwithstanding anything to the contrary in the 2022 Plan, no more than 23,087,000 shares of Presto Common Stock may be issued pursuant to the exercise of ISOs under the 2022 Plan.</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Shares of Presto Common Stock underlying awards under the 2022 Plan that are forfeited, canceled, expire unexercised or are settled in cash will be available again for new awards under the 2022 Plan. If there is any change in our corporate capitalization, the Committee in its sole discretion may make substitutions or adjustments to the number of shares of Presto Common Stock reserved for issuance under the 2022 Plan, the number of shares of Presto Common Stock covered by awards then outstanding under the 2022 Plan, the limitations on awards under the 2022 Plan, the exercise price of outstanding options and such other equitable substitutions or adjustments as it may determine appropriate.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2022 Plan will have a term of not more than 10 years from the date it is approved by stockholders, and no further awards may be granted under the 2022 Plan after that date, provided, however, in the case of an ISO, no ISO shall be granted on or after 10 years from the date our stockholders approves the 2022 Plan.</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Awards Available for Grant. </w:t>
      </w:r>
      <w:r>
        <w:rPr>
          <w:rFonts w:ascii="Times New Roman" w:cs="Times New Roman" w:eastAsia="Times New Roman" w:hAnsi="Times New Roman"/>
          <w:sz w:val="18"/>
          <w:szCs w:val="18"/>
          <w:color w:val="auto"/>
        </w:rPr>
        <w:t>The Committee may grant awards of nonqualified stock options,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appreciation rights (“SARs”), restricted stock, restricted stock units (“RSUs”), other stock-based awards, other cash-based awards, dividend equivalents, and/or performance compensation awards or any combination of the foregoing.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Options and Stock Appreciation Rights. </w:t>
      </w:r>
      <w:r>
        <w:rPr>
          <w:rFonts w:ascii="Times New Roman" w:cs="Times New Roman" w:eastAsia="Times New Roman" w:hAnsi="Times New Roman"/>
          <w:sz w:val="18"/>
          <w:szCs w:val="18"/>
          <w:color w:val="auto"/>
        </w:rPr>
        <w:t>Stock options provide for the purchase of shares of Presto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 the future at an exercise price set on the 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11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Restricted stock is an award of nontransferable shares of Presto Common Stock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subject to certain vesting conditions and other restrictions.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RSUs are contractual promises to deliver shares of Presto Common Stock in the future,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also remain forfeitable unless and until specified conditions are met and may be accompanied by the right to receive the equivalent value of dividends paid on shares of common stock prior to the delivery of the underlying shares (i.e., dividend equivalent rights). The Committee may provide that the delivery of the shares underlying RSUs will be deferred on a mandatory basis or at the election of the participant. The terms and conditions applicable to RSUs will be determined by the Committee, subject to the conditions and limitations contained in the 2022 Plan.</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Stock or Cash-Based Awards. </w:t>
      </w:r>
      <w:r>
        <w:rPr>
          <w:rFonts w:ascii="Times New Roman" w:cs="Times New Roman" w:eastAsia="Times New Roman" w:hAnsi="Times New Roman"/>
          <w:sz w:val="18"/>
          <w:szCs w:val="18"/>
          <w:color w:val="auto"/>
        </w:rPr>
        <w:t>Other stock or cash based awards are awards of cash, fully 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Presto Common Stock and other awards valued wholly or partially by referring to, or otherwise based on, shares of Presto Common Stock. Other stock or cash based awards may be granted to participants and may also be available as a payment form in the settlement of other awards, as standalone payments and as payment in lieu of compensation to which a participant is otherwise entitled.</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Dividend equivalents represent the right to receive the equivalent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on shares of Presto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Committee.</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Performance awards granted pursuant to the 2022 Plan may be in the form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bonus, or an award of performance shares or performance units denominated in shares of Presto Common Stock, that may be settled in cash, property or by issuance of those shares subject to the satisfaction or achievement of specified performance conditions.</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Each award may be exercised during the participant’s lifetime only by the participant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permissible under applicable aw, by the participant’s guardian or legal representative and may not be otherwise assigned, alienated, pledged, attached, sold or otherwise transferred or encumbered by a participant other than by will or by the laws of descent and distribution. The Committee, however, may permit awards (other than ISOs) to be transferred to family members, a trust for the benefit of such family members, a partnership or limited liability company whose partners or stockholders are the participant and his or her family members or anyone else approved by it.</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Repricing. </w:t>
      </w:r>
      <w:r>
        <w:rPr>
          <w:rFonts w:ascii="Times New Roman" w:cs="Times New Roman" w:eastAsia="Times New Roman" w:hAnsi="Times New Roman"/>
          <w:sz w:val="18"/>
          <w:szCs w:val="18"/>
          <w:color w:val="auto"/>
        </w:rPr>
        <w:t>In general, our Board may amend, alter, suspend, discontinue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terminate the 2022 Plan at any time. However, stockholder approval to amend the 2022 Plan may be necessary if the law or the 2022 Plan so requires. No amendment, alteration, suspension, discontinuance or termination will impair the rights of any participant or recipient of any award without the consent of the participant or recipient. Stockholder approval will not be required for any amendment that reduces the exercise price of any stock option or SAR, or cancels any stock option or SAR that has an exercise price that is greater than the then-current fair market value of Presto Common Stock in exchange for cash, other awards or stock options or SARs with an exercise price per share that is less than the exercise price per share of the original stock options or SARs.</w:t>
      </w:r>
    </w:p>
    <w:p>
      <w:pPr>
        <w:spacing w:after="0" w:line="12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Adjustments; Corporate Transactions. </w:t>
      </w:r>
      <w:r>
        <w:rPr>
          <w:rFonts w:ascii="Times New Roman" w:cs="Times New Roman" w:eastAsia="Times New Roman" w:hAnsi="Times New Roman"/>
          <w:sz w:val="18"/>
          <w:szCs w:val="18"/>
          <w:color w:val="auto"/>
        </w:rPr>
        <w:t>In the event of certain capitalization events or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(as set forth in the 2022 Plan), including the consummation of a merger or consolidation of Presto with another corporation, the Committee may adjust the number of shares of Presto Common Stock or other securities of Presto (or number and kind of other securities or other property) subject to an award, the exercise or strike price of an award, or any applicable performance measure, and may provide for the substitution or assumption of outstanding</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awards in a manner that substantially preserves the terms of such awards, the acceleration of the exercisability or lapse of restrictions applicable to outstanding awards and the cancellation of outstanding awards in exchange for the consideration received by stockholders of Presto in connection with such transaction.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2018 Equity Incentive Plan (the “2018 Plan”) was adopted by our Board in November 2018. Our 2018 Plan provides for the grant of qualified and non-qualified stock options, restricted stock, RSUs and stock appreciation rights. Subject to applicable law, awards may be granted to our officers, employees, directors, independent contractors and consultants of the Company, its parent or any subsidiary who are key employees or service providers.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of June 30, 2022, stock options to purchase 6,328,902 shares of our common stock with a weighted-average exercise price of $1.27 per share, and 305,911 RSUs were outstanding. Shares of our common stock reacquired pursuant to a forfeiture or repurchase provision; underlying forfeited, canceled or cash-settled awards; or used to pay any exercise price or applicable tax withholding obligation with respect to an award will again be available for issuance under the 2018 Plan.</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2018 Plan is administered by a committee consisting of at least one member of our Board or, if no such members are designated, our Board. The committee has the authority to construe and interpret the 2018 Plan and any award agreement; prescribe and modify the 2018 Plan, or grant any waiver of any conditions of the 2018 Plan or any award; approve grantees, and determine the form and terms of, awards; interpret the 2018 Plan (including correcting any defects or inconsistencies); adopt rules and procedures related to the administration of the 2018 Plan outside the United States; and make all other determinations and findings necessary or advisable for the administration of the 2018 Plan. The committee’s determinations under the 2018 Plan are final and binding. The committee may delegate its authority to grant an award to officers of the Company or other committees of our Board to the extent permitted by law.</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event that the Company’s common stock is changed by a stock dividend, recapitalization, stock split, reverse stock split, subdivision, combination, reclassification or other change in the capital structure of the Company affecting shares of our common stock without consideration, then appropriate adjustments will be made to (a) the number and class of shares reserved for issuance under the 2018 Plan or subject to outstanding awards and (b) the exercise prices, as applicable, and other terms and conditions of outstanding awards.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event of a “change in control” (referred to as an “acquisition or other combination” in the 2018 Plan), the 2018 Plan provides that an award will be subject to the terms of the applicable transaction agreement, which will provide for one or more of the following: (1) continuation by the Company, (2) assumption or substitution, (3) full or partial vesting, (4) cash-out (including the cancelation for no consideration of any underwater stock option) or (5) cancelation of an unvested or unexercised award for no consideration.</w:t>
      </w:r>
    </w:p>
    <w:p>
      <w:pPr>
        <w:spacing w:after="0" w:line="10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Awards granted under our 2018 Plan generally may not be transferred or assigned in any manner other than by will, by the laws of descent and distribution, unless otherwise permitted by the committee.</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Presto Board may terminate any outstanding award upon a dissolution or liquidation of the Company, followed by payment of the Company’s creditors and distribution of remaining funds to the Company’s stockholders.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2018 Plan terminated in connection with the adoption of the 2022 Plan, although outstanding awards continue to be governed by the terms of the 2018 Plan.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2008 Stock Incentive Plan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2008 Stock Incentive Plan (the “2008 Plan”) was adopted by our Board in 2008. Our 2008 Plan provides for the grant of qualified and non-qualified stock options, restricted stock, RSUs and other stock-based award. Subject to applicable law, awards may be granted to our officers, employees, directors, consultants and advisors of the Company.</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stock options to purchase 6,045,058 shares of our common stock with a weighted-average exercise price of $0.04 per share were outstanding.</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2008 Plan is administered by our Board. The Presto Board has authority to grant awards and to adopt, amend and repeal such administrative rules, guidelines and practices relating to the Plan as it shall deem advisable; to construe and interpret the terms of the 2008 Plan and any award agreements; to accelerate the vesting of any award;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to correct any defect, supply any omission or reconcile any inconsistency in the 2008 Plan or any award. The Presto Board’s determinations under the 2008 Plan are final and binding. To the extent permitted by applicable law, the Board may delegate its authority to a committee of our Board and, subject to certain limitations set forth in the 2008 Plan, officers of the Company.</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event of any stock split, reverse stock split, stock dividend, recapitalization, combination of shares, reclassification of shares, spin-off or other similar change in capitalization or event, or any dividend or distribution other than an ordinary cash dividend, then appropriate adjustments will be made to (i) the number and class of securities available under 2008 Plan or any award, (ii) the exercise or repurchase price, as applicable, of any award and (iii) the terms of each other outstanding Award.</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In the event of a “change in control” (referred to as a “reorganization event” in the 2008 Plan), the 2008 Plan provides that the Presto Board may take one or more of the following actions with respect to outstanding awards on terms determined by the Presto Board: (1) assumption or substitution, (2) termination if unexercised,</w:t>
      </w:r>
    </w:p>
    <w:p>
      <w:pPr>
        <w:spacing w:after="0" w:line="1" w:lineRule="exact"/>
        <w:rPr>
          <w:sz w:val="20"/>
          <w:szCs w:val="20"/>
          <w:color w:val="auto"/>
        </w:rPr>
      </w:pPr>
    </w:p>
    <w:p>
      <w:pPr>
        <w:ind w:left="460" w:right="459" w:hanging="6"/>
        <w:spacing w:after="0" w:line="260" w:lineRule="auto"/>
        <w:tabs>
          <w:tab w:leader="none" w:pos="72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vesting or exercisability, (4) cash-out any in-the-money options or (5) cancelation of an unvested or unexercised award for no consideration.</w:t>
      </w:r>
    </w:p>
    <w:p>
      <w:pPr>
        <w:spacing w:after="0" w:line="10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Awards granted under our 2008 Plan generally may not be transferred or assigned in any manner other than by will, by the laws of descent and distribution, unless otherwise permitted by the Presto Board.</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Presto Board may amend or terminate any award without a participant’s consent unless such amendment or termination would adversely impact the rights of the participant and may amend or substitute any award, without stockholder approval, to provide an exercise price that is lower than that provided in the applicable award.</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2008 Plan terminated in connection with the adoption of the 2018 Plan, although outstanding awards continue to be governed by the terms of the 2008 Plan.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During 2022, no director received cash, equity or other non-equity compensation for service on Presto’s Board. The Company currently has no formal arrangements under which directors receive compensation for their service on its Board or its committees.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entered into a directorship letter with each of Kim Lopdrup, in September 2021, and Gail Zauder, in November 2021, pursuant to which Mr. Lopdrup and Ms. Zauder were invited to serve as members of our Board of Directors upon formal election for a 24 month term for Mr. Lopdrup and a term ending upon the earlier of the end of a and 36 month period and the 2024 annual meeting for Ms. Zauder. Each directorship letter provides, among other things, for the grant of 50,000 and 75,000 stock options, respectively, upon Board approval with an exercise price equal to the fair market value on the grant date and which would vest in equal monthly installments over three years and for full acceleration upon a change in control, subject to continued service and the terms of the applicable Presto equity plan. The Company is in the process of amending the terms of the directorship letter to increase the Ms. Lodrup’s term to 36 months and intends to issue 50,000 and 75,000 Presto RSUs to each of Mr. Lopdrup and Ms. Zauder, respectively, with such issuance replacing Presto’s prior commitment (subject to Board approval) to issue the same of number of stock options.</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but prior to the Closing, the Presto Board, upon receipt of the approval of Presto’s disinterested shareholders, granted Krishna K. Gupta approximately 1.2 million Presto RSUs, which are subject to the same terms as the 2018 Plan (although they were granted outside of the 2018 Plan) and the terms of the award agreement governing such RSUs and are subject to a three year service-based vesting schedule.</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Presto’s Board expects to review director compensation periodically to ensure that director compensation remains competitive such that Presto is able to recruit and retain qualified directors. Upon the consummation of the Business Combination, Presto will adopt a director compensation program that is designed to align compensation with its business objectives and the creation of stockholder value, while enabling Presto to attract, retain, incentivize and reward directors who contribute to the long-term success of Presto.</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4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Presto Common Stock immediately following consummation of the Business Combination by:</w:t>
      </w:r>
    </w:p>
    <w:p>
      <w:pPr>
        <w:spacing w:after="0" w:line="94" w:lineRule="exact"/>
        <w:rPr>
          <w:sz w:val="20"/>
          <w:szCs w:val="20"/>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Presto Common Stock;</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an executive officer or director of the Company;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or the right to acquire such power within 60 days.</w:t>
      </w:r>
    </w:p>
    <w:p>
      <w:pPr>
        <w:spacing w:after="0" w:line="10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There were 50,639,837 shares of Presto Common Stock issued and outstanding immediately following the consummation of the Business Combination. In the Company’s Current Report on Form 8-K filed on September 27, 2022, the Company incorrectly reported that there were 52,762,713 shares of Presto Common Stock issued and outstanding immediately following the consummation of the Business Combination due to the inclusion of shares of Presto Common Stock underlying warrants of Legacy Presto that were deemed exercised in connection with the closing of the Business Combination, but which were not exercised as of such date.</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Unless otherwise indicated, the Company believes that all persons named below have sole voting and investment power with respect to the voting securities indicated in the table below and the corresponding footnotes as being beneficially owned by them.</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8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Presto</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Presto</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55"/>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r>
      <w:tr>
        <w:trPr>
          <w:trHeight w:val="261"/>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 K. Gupta</w:t>
            </w:r>
            <w:r>
              <w:rPr>
                <w:rFonts w:ascii="Times New Roman" w:cs="Times New Roman" w:eastAsia="Times New Roman" w:hAnsi="Times New Roman"/>
                <w:sz w:val="20"/>
                <w:szCs w:val="20"/>
                <w:color w:val="auto"/>
                <w:vertAlign w:val="superscript"/>
              </w:rPr>
              <w:t>(2)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13,579,964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Rajat Suri</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7,466,262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Kravcik</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Gail Zauder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Ilya Golubovich</w:t>
            </w:r>
            <w:r>
              <w:rPr>
                <w:rFonts w:ascii="Times New Roman" w:cs="Times New Roman" w:eastAsia="Times New Roman" w:hAnsi="Times New Roman"/>
                <w:sz w:val="20"/>
                <w:szCs w:val="20"/>
                <w:color w:val="auto"/>
                <w:vertAlign w:val="superscript"/>
              </w:rPr>
              <w:t>(3)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4,579,508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64"/>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Kim Axel Lopdrup</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Ashish Gupta</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Healey</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40,496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 Mosher</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Scheetz</w:t>
            </w:r>
            <w:r>
              <w:rPr>
                <w:rFonts w:ascii="Times New Roman" w:cs="Times New Roman" w:eastAsia="Times New Roman" w:hAnsi="Times New Roman"/>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2,008,033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(ten individuals)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27,653,680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Cleveland Avenue, LLC</w:t>
            </w:r>
            <w:r>
              <w:rPr>
                <w:rFonts w:ascii="Times New Roman" w:cs="Times New Roman" w:eastAsia="Times New Roman" w:hAnsi="Times New Roman"/>
                <w:sz w:val="20"/>
                <w:szCs w:val="20"/>
                <w:color w:val="auto"/>
                <w:vertAlign w:val="superscript"/>
              </w:rPr>
              <w:t>(5)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7,000,000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International Investments, LLC</w:t>
            </w:r>
            <w:r>
              <w:rPr>
                <w:rFonts w:ascii="Times New Roman" w:cs="Times New Roman" w:eastAsia="Times New Roman" w:hAnsi="Times New Roman"/>
                <w:sz w:val="20"/>
                <w:szCs w:val="20"/>
                <w:color w:val="auto"/>
                <w:vertAlign w:val="superscript"/>
              </w:rPr>
              <w:t>(6)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2,983,171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0"/>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73" w:lineRule="exact"/>
        <w:rPr>
          <w:sz w:val="20"/>
          <w:szCs w:val="20"/>
          <w:color w:val="auto"/>
        </w:rPr>
      </w:pPr>
    </w:p>
    <w:p>
      <w:pPr>
        <w:ind w:left="860" w:hanging="406"/>
        <w:spacing w:after="0"/>
        <w:tabs>
          <w:tab w:leader="none" w:pos="8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6" w:lineRule="exact"/>
        <w:rPr>
          <w:sz w:val="20"/>
          <w:szCs w:val="20"/>
          <w:color w:val="auto"/>
        </w:rPr>
      </w:pPr>
    </w:p>
    <w:p>
      <w:pPr>
        <w:ind w:left="880" w:right="479" w:hanging="426"/>
        <w:spacing w:after="0" w:line="264" w:lineRule="auto"/>
        <w:tabs>
          <w:tab w:leader="none" w:pos="8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Presto’s stockholders is c/o Presto Automation Inc., 985 Industrial Road, San Carlos, CA 94070.</w:t>
      </w:r>
    </w:p>
    <w:p>
      <w:pPr>
        <w:jc w:val="both"/>
        <w:ind w:left="880" w:right="459" w:hanging="426"/>
        <w:spacing w:after="0" w:line="266" w:lineRule="auto"/>
        <w:tabs>
          <w:tab w:leader="none" w:pos="8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279,680 shares of Presto Common Stock held of record by KKG Enterprises LLC, for which Krishna K. Gupta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Mr. Gupta exercises joint voting and dispositive control of the Presto Common Stock held by Romulus III;</w:t>
      </w:r>
    </w:p>
    <w:p>
      <w:pPr>
        <w:spacing w:after="0" w:line="13" w:lineRule="exact"/>
        <w:rPr>
          <w:sz w:val="20"/>
          <w:szCs w:val="20"/>
          <w:color w:val="auto"/>
        </w:rPr>
      </w:pPr>
    </w:p>
    <w:p>
      <w:pPr>
        <w:jc w:val="both"/>
        <w:ind w:left="880" w:right="459"/>
        <w:spacing w:after="0" w:line="264" w:lineRule="auto"/>
        <w:rPr>
          <w:sz w:val="20"/>
          <w:szCs w:val="20"/>
          <w:color w:val="auto"/>
        </w:rPr>
      </w:pPr>
      <w:r>
        <w:rPr>
          <w:rFonts w:ascii="Times New Roman" w:cs="Times New Roman" w:eastAsia="Times New Roman" w:hAnsi="Times New Roman"/>
          <w:sz w:val="16"/>
          <w:szCs w:val="16"/>
          <w:color w:val="auto"/>
        </w:rPr>
        <w:t>(v)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and (vii) 429,565 shares of Presto Common Stock underlying RSUs that will vest within 60 days of the date of this prospectus.</w:t>
      </w:r>
    </w:p>
    <w:p>
      <w:pPr>
        <w:jc w:val="both"/>
        <w:ind w:left="880" w:right="479" w:hanging="426"/>
        <w:spacing w:after="0" w:line="264" w:lineRule="auto"/>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Presto Common Stock held of record by I2BF Global Investments LTD (“I2BF”). Ilya Golubovich is the sole director of I2BF and possesses both voting and dispositive power over the shares. The business address of I2BF is C/O HSM Corporate Services Ltd. 68 Fort Street, PO Box 31726, Grand Cayman KY 1-1297, Cayman Islands.</w:t>
      </w:r>
    </w:p>
    <w:p>
      <w:pPr>
        <w:ind w:left="880" w:right="479" w:hanging="426"/>
        <w:spacing w:after="0" w:line="264" w:lineRule="auto"/>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owned by Ventoux Acquisition Holdings LLC, for which Edward Scheetz is a managing member and has voting and/or dispositive powers with respect to such shares.</w:t>
      </w:r>
    </w:p>
    <w:p>
      <w:pPr>
        <w:jc w:val="both"/>
        <w:ind w:left="880" w:right="459" w:hanging="426"/>
        <w:spacing w:after="0" w:line="264" w:lineRule="auto"/>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jc w:val="both"/>
        <w:ind w:left="880" w:right="479" w:hanging="426"/>
        <w:spacing w:after="0" w:line="274" w:lineRule="auto"/>
        <w:tabs>
          <w:tab w:leader="none" w:pos="8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1,108,171 shares of Presto Common Stock and 1,875,000 private placement warrants held by Chardan International Investments,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6"/>
          <w:szCs w:val="16"/>
          <w:color w:val="auto"/>
        </w:rPr>
        <w:t xml:space="preserve"> Floor, New York, NY 10004.</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4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of (a) up to 46,949,333 shares of common stock, which includes (i) 4,312,500 founder shares, (ii) 7,143,687 of the PIPE shares and</w:t>
      </w:r>
    </w:p>
    <w:p>
      <w:pPr>
        <w:jc w:val="both"/>
        <w:ind w:left="460" w:right="459" w:hanging="6"/>
        <w:spacing w:after="0" w:line="251" w:lineRule="auto"/>
        <w:tabs>
          <w:tab w:leader="none" w:pos="77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7,433,040 shares of common stock that may be issued from time to time upon achievement of certain stock price thresholds and (b) up to 6,125,000 private placement warrants to purchase common stock and 1,500,000 financing warrants to purchase common stock. 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Beneficially Owned Before the Offering</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Beneficially Owned After the Offering</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gridSpan w:val="2"/>
            <w:vMerge w:val="continue"/>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51"/>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80" w:type="dxa"/>
            <w:vAlign w:val="bottom"/>
            <w:vMerge w:val="restart"/>
          </w:tcPr>
          <w:p>
            <w:pPr>
              <w:spacing w:after="0"/>
              <w:rPr>
                <w:sz w:val="13"/>
                <w:szCs w:val="13"/>
                <w:color w:val="auto"/>
              </w:rPr>
            </w:pPr>
          </w:p>
        </w:tc>
        <w:tc>
          <w:tcPr>
            <w:tcW w:w="90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Being</w:t>
            </w:r>
          </w:p>
        </w:tc>
        <w:tc>
          <w:tcPr>
            <w:tcW w:w="76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0" w:type="dxa"/>
            <w:vAlign w:val="bottom"/>
          </w:tcPr>
          <w:p>
            <w:pPr>
              <w:spacing w:after="0"/>
              <w:rPr>
                <w:sz w:val="1"/>
                <w:szCs w:val="1"/>
                <w:color w:val="auto"/>
              </w:rPr>
            </w:pPr>
          </w:p>
        </w:tc>
      </w:tr>
      <w:tr>
        <w:trPr>
          <w:trHeight w:val="207"/>
        </w:trPr>
        <w:tc>
          <w:tcPr>
            <w:tcW w:w="1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Stock</w:t>
            </w:r>
            <w:r>
              <w:rPr>
                <w:rFonts w:ascii="Times New Roman" w:cs="Times New Roman" w:eastAsia="Times New Roman" w:hAnsi="Times New Roman"/>
                <w:sz w:val="14"/>
                <w:szCs w:val="14"/>
                <w:b w:val="1"/>
                <w:bCs w:val="1"/>
                <w:color w:val="auto"/>
                <w:w w:val="94"/>
                <w:vertAlign w:val="superscript"/>
              </w:rPr>
              <w:t>(1)</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70"/>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80Five LLC</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Acadia Woods Partners,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21"/>
                <w:szCs w:val="21"/>
                <w:color w:val="auto"/>
                <w:vertAlign w:val="superscript"/>
              </w:rPr>
              <w:t>(4)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31,250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31,250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Adam Eskin</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44,866</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44,866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Adam Feil</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6,250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6,250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Aloha Partners, LLC</w:t>
            </w:r>
            <w:r>
              <w:rPr>
                <w:rFonts w:ascii="Times New Roman" w:cs="Times New Roman" w:eastAsia="Times New Roman" w:hAnsi="Times New Roman"/>
                <w:sz w:val="21"/>
                <w:szCs w:val="21"/>
                <w:color w:val="auto"/>
                <w:vertAlign w:val="superscript"/>
              </w:rPr>
              <w:t>(5)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Arbat Capital Group Ltd.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 Spigel</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Blind 1212, LLC</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447,274</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288,616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447,274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288,616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Brock Strasbourger</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390,905</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269,850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390,905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269,850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Cabbaj Capital Ltd.</w:t>
            </w:r>
            <w:r>
              <w:rPr>
                <w:rFonts w:ascii="Times New Roman" w:cs="Times New Roman" w:eastAsia="Times New Roman" w:hAnsi="Times New Roman"/>
                <w:sz w:val="21"/>
                <w:szCs w:val="21"/>
                <w:color w:val="auto"/>
                <w:vertAlign w:val="superscript"/>
              </w:rPr>
              <w:t>(7)</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CEOF Holdings LP</w:t>
            </w:r>
            <w:r>
              <w:rPr>
                <w:rFonts w:ascii="Times New Roman" w:cs="Times New Roman" w:eastAsia="Times New Roman" w:hAnsi="Times New Roman"/>
                <w:sz w:val="21"/>
                <w:szCs w:val="21"/>
                <w:color w:val="auto"/>
                <w:vertAlign w:val="superscript"/>
              </w:rPr>
              <w:t>(21)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267,274</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190,909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267,274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190,909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Chardan Capital Markets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(23)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Chardan International</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 LLC</w:t>
            </w:r>
            <w:r>
              <w:rPr>
                <w:rFonts w:ascii="Times New Roman" w:cs="Times New Roman" w:eastAsia="Times New Roman" w:hAnsi="Times New Roman"/>
                <w:sz w:val="21"/>
                <w:szCs w:val="21"/>
                <w:color w:val="auto"/>
                <w:vertAlign w:val="superscript"/>
              </w:rPr>
              <w:t>(23)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2,983,171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1,875,000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2,983,171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1,875,000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 Ahrens</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61,116</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61,116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Cindat USA LLC</w:t>
            </w:r>
            <w:r>
              <w:rPr>
                <w:rFonts w:ascii="Times New Roman" w:cs="Times New Roman" w:eastAsia="Times New Roman" w:hAnsi="Times New Roman"/>
                <w:sz w:val="21"/>
                <w:szCs w:val="21"/>
                <w:color w:val="auto"/>
                <w:vertAlign w:val="superscript"/>
              </w:rPr>
              <w:t>(17)</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1,374,148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918,387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1,374,148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918,387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Cleveland Avenue LLC</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7,000,000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7,000,000</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72"/>
        </w:trPr>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Cliff Moskowitz</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44,866</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44,866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Cosme Fagundo</w:t>
            </w:r>
            <w:r>
              <w:rPr>
                <w:rFonts w:ascii="Times New Roman" w:cs="Times New Roman" w:eastAsia="Times New Roman" w:hAnsi="Times New Roman"/>
                <w:sz w:val="21"/>
                <w:szCs w:val="21"/>
                <w:color w:val="auto"/>
                <w:vertAlign w:val="superscript"/>
              </w:rPr>
              <w:t>(2)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Dan Bordessa</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Allan DeHorn</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Dentons US LLP</w:t>
            </w:r>
            <w:r>
              <w:rPr>
                <w:rFonts w:ascii="Times New Roman" w:cs="Times New Roman" w:eastAsia="Times New Roman" w:hAnsi="Times New Roman"/>
                <w:sz w:val="21"/>
                <w:szCs w:val="21"/>
                <w:color w:val="auto"/>
                <w:vertAlign w:val="superscript"/>
              </w:rPr>
              <w:t>(13)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Ed Scheetz</w:t>
            </w:r>
            <w:r>
              <w:rPr>
                <w:rFonts w:ascii="Times New Roman" w:cs="Times New Roman" w:eastAsia="Times New Roman" w:hAnsi="Times New Roman"/>
                <w:sz w:val="21"/>
                <w:szCs w:val="21"/>
                <w:color w:val="auto"/>
                <w:vertAlign w:val="superscript"/>
              </w:rPr>
              <w:t>(3)(11)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1,321,389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705,762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1,032,464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705,762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Greg Flynn</w:t>
            </w:r>
            <w:r>
              <w:rPr>
                <w:rFonts w:ascii="Times New Roman" w:cs="Times New Roman" w:eastAsia="Times New Roman" w:hAnsi="Times New Roman"/>
                <w:sz w:val="21"/>
                <w:szCs w:val="21"/>
                <w:color w:val="auto"/>
                <w:vertAlign w:val="superscript"/>
              </w:rPr>
              <w:t>(18)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353"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353"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Beneficially Owned Before the Offering</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Beneficially Owned After the Offering</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gridSpan w:val="2"/>
            <w:vMerge w:val="continue"/>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51"/>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90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Being</w:t>
            </w:r>
          </w:p>
        </w:tc>
        <w:tc>
          <w:tcPr>
            <w:tcW w:w="76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0" w:type="dxa"/>
            <w:vAlign w:val="bottom"/>
          </w:tcPr>
          <w:p>
            <w:pPr>
              <w:spacing w:after="0"/>
              <w:rPr>
                <w:sz w:val="1"/>
                <w:szCs w:val="1"/>
                <w:color w:val="auto"/>
              </w:rPr>
            </w:pPr>
          </w:p>
        </w:tc>
      </w:tr>
      <w:tr>
        <w:trPr>
          <w:trHeight w:val="207"/>
        </w:trPr>
        <w:tc>
          <w:tcPr>
            <w:tcW w:w="1700" w:type="dxa"/>
            <w:vAlign w:val="bottom"/>
            <w:gridSpan w:val="2"/>
            <w:vMerge w:val="continue"/>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Stock</w:t>
            </w:r>
            <w:r>
              <w:rPr>
                <w:rFonts w:ascii="Times New Roman" w:cs="Times New Roman" w:eastAsia="Times New Roman" w:hAnsi="Times New Roman"/>
                <w:sz w:val="14"/>
                <w:szCs w:val="14"/>
                <w:b w:val="1"/>
                <w:bCs w:val="1"/>
                <w:color w:val="auto"/>
                <w:w w:val="94"/>
                <w:vertAlign w:val="superscript"/>
              </w:rPr>
              <w:t>(1)</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35"/>
        </w:trPr>
        <w:tc>
          <w:tcPr>
            <w:tcW w:w="162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HighSage Ventures</w:t>
            </w: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(19)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I2BF Global Investments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Ltd.</w:t>
            </w:r>
            <w:r>
              <w:rPr>
                <w:rFonts w:ascii="Times New Roman" w:cs="Times New Roman" w:eastAsia="Times New Roman" w:hAnsi="Times New Roman"/>
                <w:sz w:val="21"/>
                <w:szCs w:val="21"/>
                <w:color w:val="auto"/>
                <w:vertAlign w:val="superscript"/>
              </w:rPr>
              <w:t>(6)</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5,682,225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5,682,225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Jameson Weber</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Jasminder Singh</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115,848</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78,714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115,848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78,714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Jay Lidell</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6,250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6,250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Jeff Jones</w:t>
            </w:r>
            <w:r>
              <w:rPr>
                <w:rFonts w:ascii="Times New Roman" w:cs="Times New Roman" w:eastAsia="Times New Roman" w:hAnsi="Times New Roman"/>
                <w:sz w:val="21"/>
                <w:szCs w:val="21"/>
                <w:color w:val="auto"/>
                <w:vertAlign w:val="superscript"/>
              </w:rPr>
              <w:t>(20)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Jefferies LLC</w:t>
            </w:r>
            <w:r>
              <w:rPr>
                <w:rFonts w:ascii="Times New Roman" w:cs="Times New Roman" w:eastAsia="Times New Roman" w:hAnsi="Times New Roman"/>
                <w:sz w:val="21"/>
                <w:szCs w:val="21"/>
                <w:color w:val="auto"/>
                <w:vertAlign w:val="superscript"/>
              </w:rPr>
              <w:t>(24)</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Julie Atkinson</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37,946</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10,495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37,946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10,495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Kim Lopdrup</w:t>
            </w:r>
            <w:r>
              <w:rPr>
                <w:rFonts w:ascii="Times New Roman" w:cs="Times New Roman" w:eastAsia="Times New Roman" w:hAnsi="Times New Roman"/>
                <w:sz w:val="21"/>
                <w:szCs w:val="21"/>
                <w:color w:val="auto"/>
                <w:vertAlign w:val="superscript"/>
              </w:rPr>
              <w:t>(2)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Lago Innovation</w:t>
            </w:r>
            <w:r>
              <w:rPr>
                <w:rFonts w:ascii="Times New Roman" w:cs="Times New Roman" w:eastAsia="Times New Roman" w:hAnsi="Times New Roman"/>
                <w:sz w:val="21"/>
                <w:szCs w:val="21"/>
                <w:color w:val="auto"/>
                <w:vertAlign w:val="superscript"/>
              </w:rPr>
              <w:t>(25)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156,233</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156,233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Matt Armstrong</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Matt MacDonald</w:t>
            </w:r>
            <w:r>
              <w:rPr>
                <w:rFonts w:ascii="Times New Roman" w:cs="Times New Roman" w:eastAsia="Times New Roman" w:hAnsi="Times New Roman"/>
                <w:sz w:val="21"/>
                <w:szCs w:val="21"/>
                <w:color w:val="auto"/>
                <w:vertAlign w:val="superscript"/>
              </w:rPr>
              <w:t>(3)(11)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1,036,253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512,024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747,328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512,024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Metropolitan Partners</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Group</w:t>
            </w:r>
            <w:r>
              <w:rPr>
                <w:rFonts w:ascii="Times New Roman" w:cs="Times New Roman" w:eastAsia="Times New Roman" w:hAnsi="Times New Roman"/>
                <w:sz w:val="21"/>
                <w:szCs w:val="21"/>
                <w:color w:val="auto"/>
                <w:vertAlign w:val="superscript"/>
              </w:rPr>
              <w:t>(22)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1,832,727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1,309,091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1,832,727</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Liberman</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38,616</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38,616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Prasad Phatak</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604,758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415,154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604,758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415,154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Rajat Suri</w:t>
            </w:r>
            <w:r>
              <w:rPr>
                <w:rFonts w:ascii="Times New Roman" w:cs="Times New Roman" w:eastAsia="Times New Roman" w:hAnsi="Times New Roman"/>
                <w:sz w:val="21"/>
                <w:szCs w:val="21"/>
                <w:color w:val="auto"/>
                <w:vertAlign w:val="superscript"/>
              </w:rPr>
              <w:t>(2)(15)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8,623,814</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4,386,655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Martin</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Romulus Capital</w:t>
            </w:r>
            <w:r>
              <w:rPr>
                <w:rFonts w:ascii="Times New Roman" w:cs="Times New Roman" w:eastAsia="Times New Roman" w:hAnsi="Times New Roman"/>
                <w:sz w:val="21"/>
                <w:szCs w:val="21"/>
                <w:color w:val="auto"/>
                <w:vertAlign w:val="superscript"/>
              </w:rPr>
              <w:t>(9)</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16,911,939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16,911,939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Silver Rock Capital</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Partners</w:t>
            </w:r>
            <w:r>
              <w:rPr>
                <w:rFonts w:ascii="Times New Roman" w:cs="Times New Roman" w:eastAsia="Times New Roman" w:hAnsi="Times New Roman"/>
                <w:sz w:val="21"/>
                <w:szCs w:val="21"/>
                <w:color w:val="auto"/>
                <w:vertAlign w:val="superscript"/>
              </w:rPr>
              <w:t>(10)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P Botts</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115,848</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78,714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115,848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78,714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Ventoux Acquisition</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Holdings LLC</w:t>
            </w:r>
            <w:r>
              <w:rPr>
                <w:rFonts w:ascii="Times New Roman" w:cs="Times New Roman" w:eastAsia="Times New Roman" w:hAnsi="Times New Roman"/>
                <w:sz w:val="21"/>
                <w:szCs w:val="21"/>
                <w:color w:val="auto"/>
                <w:vertAlign w:val="superscript"/>
              </w:rPr>
              <w:t>(3)(16)</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288,925</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288,925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White &amp; Case LLP</w:t>
            </w:r>
            <w:r>
              <w:rPr>
                <w:rFonts w:ascii="Times New Roman" w:cs="Times New Roman" w:eastAsia="Times New Roman" w:hAnsi="Times New Roman"/>
                <w:sz w:val="21"/>
                <w:szCs w:val="21"/>
                <w:color w:val="auto"/>
                <w:vertAlign w:val="superscript"/>
              </w:rPr>
              <w:t>(12)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Healey</w:t>
            </w:r>
            <w:r>
              <w:rPr>
                <w:rFonts w:ascii="Times New Roman" w:cs="Times New Roman" w:eastAsia="Times New Roman" w:hAnsi="Times New Roman"/>
                <w:sz w:val="21"/>
                <w:szCs w:val="21"/>
                <w:color w:val="auto"/>
                <w:vertAlign w:val="superscript"/>
              </w:rPr>
              <w:t>(2)(26)</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307,318</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307,318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6"/>
        </w:trPr>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Wilton Trustees (IOM)</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4"/>
                <w:szCs w:val="14"/>
                <w:color w:val="auto"/>
              </w:rPr>
              <w:t>Limited ATO Dalmia</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Trust</w:t>
            </w:r>
            <w:r>
              <w:rPr>
                <w:rFonts w:ascii="Times New Roman" w:cs="Times New Roman" w:eastAsia="Times New Roman" w:hAnsi="Times New Roman"/>
                <w:sz w:val="21"/>
                <w:szCs w:val="21"/>
                <w:color w:val="auto"/>
                <w:vertAlign w:val="superscript"/>
              </w:rPr>
              <w:t>(15)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Woolery &amp; Co PLLC</w:t>
            </w:r>
            <w:r>
              <w:rPr>
                <w:rFonts w:ascii="Times New Roman" w:cs="Times New Roman" w:eastAsia="Times New Roman" w:hAnsi="Times New Roman"/>
                <w:sz w:val="21"/>
                <w:szCs w:val="21"/>
                <w:color w:val="auto"/>
                <w:vertAlign w:val="superscript"/>
              </w:rPr>
              <w:t>(9)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beneficial ownership of less than 1%.</w:t>
      </w:r>
    </w:p>
    <w:p>
      <w:pPr>
        <w:spacing w:after="0" w:line="26" w:lineRule="exact"/>
        <w:rPr>
          <w:sz w:val="20"/>
          <w:szCs w:val="20"/>
          <w:color w:val="auto"/>
        </w:rPr>
      </w:pPr>
    </w:p>
    <w:p>
      <w:pPr>
        <w:ind w:left="880" w:right="479" w:hanging="426"/>
        <w:spacing w:after="0" w:line="264"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such number of shares of Presto Common Stock underlying the private placement warrants and financing warrants registered hereby as such warrants are currently exercisable.</w:t>
      </w:r>
    </w:p>
    <w:p>
      <w:pPr>
        <w:ind w:left="880" w:right="479" w:hanging="426"/>
        <w:spacing w:after="0" w:line="264"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these securityholders is c/o Presto Automation Inc., 985 Industrial Road, San Carlos, CA 94070.</w:t>
      </w:r>
    </w:p>
    <w:p>
      <w:pPr>
        <w:ind w:left="880" w:right="459" w:hanging="426"/>
        <w:spacing w:after="0" w:line="264"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each of these securityholders is c/o Ventoux Acquisition Holdings LLC, 1 East Putnam Avenue, Floor 4, Greenwich, CT 06830.</w:t>
      </w:r>
    </w:p>
    <w:p>
      <w:pPr>
        <w:ind w:left="880" w:right="479" w:hanging="426"/>
        <w:spacing w:after="0" w:line="264"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Acadia Woods Partners, LLC is c/o Hawkes Financial LLC, 77 Bedford Road, Katonah, NY 10536.</w:t>
      </w:r>
    </w:p>
    <w:p>
      <w:pPr>
        <w:ind w:left="880" w:hanging="426"/>
        <w:spacing w:after="0"/>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Aloha Partners, LLC is c/o Hawkes Financial LLC 77 Bedford Road, Omaha, NE 68127.</w:t>
      </w:r>
    </w:p>
    <w:p>
      <w:pPr>
        <w:spacing w:after="0" w:line="18"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the sole director of I2BF and possesses both voting and dispositive power over the shares. The business address of I2BF is C/O HSM Corporate Services Ltd. 68 Fort Street, PO Box 31726, Grand Cayman KY 1-1297, Cayman Islands.</w:t>
      </w:r>
    </w:p>
    <w:p>
      <w:pPr>
        <w:ind w:left="880" w:hanging="426"/>
        <w:spacing w:after="0"/>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Cabbaj Capital Ltd. is Georgiou Katsounotou, 6, 3026, Limassol, Cyprus.</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jc w:val="both"/>
        <w:ind w:left="880" w:right="459" w:hanging="426"/>
        <w:spacing w:after="0" w:line="268" w:lineRule="auto"/>
        <w:tabs>
          <w:tab w:leader="none" w:pos="8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279,680 shares of Presto Common Stock held of record by KKG Enterprises LLC, for which Krishna K. Gupta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w:t>
      </w:r>
    </w:p>
    <w:p>
      <w:pPr>
        <w:sectPr>
          <w:pgSz w:w="11900" w:h="16838" w:orient="portrait"/>
          <w:cols w:equalWidth="0" w:num="1">
            <w:col w:w="9019"/>
          </w:cols>
          <w:pgMar w:left="1440" w:top="270" w:right="1440" w:bottom="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spacing w:after="0" w:line="263" w:lineRule="auto"/>
        <w:rPr>
          <w:sz w:val="20"/>
          <w:szCs w:val="20"/>
          <w:color w:val="auto"/>
        </w:rPr>
      </w:pPr>
      <w:r>
        <w:rPr>
          <w:rFonts w:ascii="Times New Roman" w:cs="Times New Roman" w:eastAsia="Times New Roman" w:hAnsi="Times New Roman"/>
          <w:sz w:val="16"/>
          <w:szCs w:val="16"/>
          <w:color w:val="auto"/>
        </w:rPr>
        <w:t>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and (vii) 3,761,549 Earnout Shares that may be issued to such entities from time to time upon achievement of certain stock price thresholds in accordance with the terms of the Merger Agreement.</w:t>
      </w:r>
    </w:p>
    <w:p>
      <w:pPr>
        <w:spacing w:after="0" w:line="4" w:lineRule="exact"/>
        <w:rPr>
          <w:sz w:val="20"/>
          <w:szCs w:val="20"/>
          <w:color w:val="auto"/>
        </w:rPr>
      </w:pPr>
    </w:p>
    <w:p>
      <w:pPr>
        <w:jc w:val="both"/>
        <w:ind w:left="880" w:right="479" w:hanging="426"/>
        <w:spacing w:after="0" w:line="264"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ind w:left="880" w:right="479" w:hanging="426"/>
        <w:spacing w:after="0" w:line="264" w:lineRule="auto"/>
        <w:tabs>
          <w:tab w:leader="none" w:pos="874"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owned by Ventoux Acquisition Holdings LLC, for which Edward Scheetz and Matt MacDonald are the managing members and have voting and/or dispositive powers with respect to such shares.</w:t>
      </w:r>
    </w:p>
    <w:p>
      <w:pPr>
        <w:ind w:left="880" w:right="479" w:hanging="426"/>
        <w:spacing w:after="0" w:line="264"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White &amp; Case LLP is 1221 Avenue of the Americas New York, NY 10020. White &amp; Case LLP served as counsel to Legacy Presto in connection with the Business Combination.</w:t>
      </w:r>
    </w:p>
    <w:p>
      <w:pPr>
        <w:ind w:left="880" w:right="479" w:hanging="426"/>
        <w:spacing w:after="0" w:line="264"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Dentons US LLP is 233 South Wacker Drive, Suite 5900, Chicago, IL 60606. Dentons US LLP served as co-counsel to VTAQ in connection with the Business Combination.</w:t>
      </w:r>
    </w:p>
    <w:p>
      <w:pPr>
        <w:ind w:left="880" w:right="479" w:hanging="426"/>
        <w:spacing w:after="0" w:line="248"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Woolery &amp; Co. PLLC is 1 Pier 76, 408 12</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Ave New York, NY 10018. Woolery &amp; Co. PLLC served as co-counsel to VTAQ in connection with the Business Combination.</w:t>
      </w:r>
    </w:p>
    <w:p>
      <w:pPr>
        <w:jc w:val="both"/>
        <w:ind w:left="880" w:right="459" w:hanging="426"/>
        <w:spacing w:after="0" w:line="264"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consists of (i) 2,234,703 shares of Presto Common Stock currently owned by Rajat Suri, our Chief Executive Officer and a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ind w:left="880" w:right="479" w:hanging="426"/>
        <w:spacing w:after="0" w:line="264"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288,925 shares of Presto Common Stock that are subject to vesting based upon achievement of certain stock price thresholds in accordance with the terms of the Merger Agreement.</w:t>
      </w:r>
    </w:p>
    <w:p>
      <w:pPr>
        <w:ind w:left="880" w:right="459" w:hanging="426"/>
        <w:spacing w:after="0" w:line="264"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Cindat USA LLC is Beijing Yintai Center, Tower C, Suite 5101, 2 Jianwai Avenue, Beijing 100022, PRC.</w:t>
      </w:r>
    </w:p>
    <w:p>
      <w:pPr>
        <w:ind w:left="880" w:hanging="426"/>
        <w:spacing w:after="0"/>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Greg Flynn is 225 Bush Street, Suite 1800, San Francisco, CA 94104.</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HighSage Ventures, LLC is 200 Clarendon Street, 59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Boston, MA, 02116.</w:t>
      </w:r>
    </w:p>
    <w:p>
      <w:pPr>
        <w:spacing w:after="0" w:line="5"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Jeff Jones is 1180 NW Maple St Ste 105, Issaquah, WA 98027.</w:t>
      </w:r>
    </w:p>
    <w:p>
      <w:pPr>
        <w:spacing w:after="0" w:line="8" w:lineRule="exact"/>
        <w:rPr>
          <w:rFonts w:ascii="Times New Roman" w:cs="Times New Roman" w:eastAsia="Times New Roman" w:hAnsi="Times New Roman"/>
          <w:sz w:val="16"/>
          <w:szCs w:val="16"/>
          <w:color w:val="auto"/>
        </w:rPr>
      </w:pPr>
    </w:p>
    <w:p>
      <w:pPr>
        <w:jc w:val="both"/>
        <w:ind w:left="880" w:right="459" w:hanging="426"/>
        <w:spacing w:after="0" w:line="256"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6"/>
          <w:szCs w:val="16"/>
          <w:color w:val="auto"/>
        </w:rPr>
        <w:t xml:space="preserve"> Floor, New York, New York 10022. Mr. Bergstrom disclaims beneficial ownership of shares held by CEOF.</w:t>
      </w:r>
    </w:p>
    <w:p>
      <w:pPr>
        <w:jc w:val="both"/>
        <w:ind w:left="880" w:right="459" w:hanging="426"/>
        <w:spacing w:after="0" w:line="258"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MPF VII GP, LLC, an affiliate of Metropolitan Partners Group, is the general partner of Metropolitan Levered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New York 10022.</w:t>
      </w:r>
    </w:p>
    <w:p>
      <w:pPr>
        <w:spacing w:after="0" w:line="3" w:lineRule="exact"/>
        <w:rPr>
          <w:rFonts w:ascii="Times New Roman" w:cs="Times New Roman" w:eastAsia="Times New Roman" w:hAnsi="Times New Roman"/>
          <w:sz w:val="16"/>
          <w:szCs w:val="16"/>
          <w:color w:val="auto"/>
        </w:rPr>
      </w:pPr>
    </w:p>
    <w:p>
      <w:pPr>
        <w:jc w:val="both"/>
        <w:ind w:left="880" w:right="479" w:hanging="426"/>
        <w:spacing w:after="0" w:line="258"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6"/>
          <w:szCs w:val="16"/>
          <w:color w:val="auto"/>
        </w:rPr>
        <w:t xml:space="preserve"> Floor, New York, NY 10004.</w:t>
      </w:r>
    </w:p>
    <w:p>
      <w:pPr>
        <w:spacing w:after="0" w:line="3" w:lineRule="exact"/>
        <w:rPr>
          <w:rFonts w:ascii="Times New Roman" w:cs="Times New Roman" w:eastAsia="Times New Roman" w:hAnsi="Times New Roman"/>
          <w:sz w:val="16"/>
          <w:szCs w:val="16"/>
          <w:color w:val="auto"/>
        </w:rPr>
      </w:pPr>
    </w:p>
    <w:p>
      <w:pPr>
        <w:ind w:left="880" w:right="479" w:hanging="426"/>
        <w:spacing w:after="0" w:line="248"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Jefferies LLC is 520 Madison Avenue,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NY 10022. Jefferies LLC served as financial advisor to Legacy Presto in connection with the Business Combination.</w:t>
      </w:r>
    </w:p>
    <w:p>
      <w:pPr>
        <w:jc w:val="both"/>
        <w:ind w:left="880" w:right="459" w:hanging="426"/>
        <w:spacing w:after="0" w:line="264"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ind w:left="880" w:right="479" w:hanging="426"/>
        <w:spacing w:after="0" w:line="264"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266,822 Earnout Shares that may be issued from time to time upon achievement of certain stock price thresholds in accordance with the terms of the Merger Agreement.</w:t>
      </w:r>
    </w:p>
    <w:p>
      <w:pPr>
        <w:ind w:left="880" w:right="479" w:hanging="426"/>
        <w:spacing w:after="0" w:line="264"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Wilton Trustees (IOM) Limited ATO Dalmia Trust is Grosvenor House 66-67 Athol Street, Isle of Man IM1 IJE.</w:t>
      </w:r>
    </w:p>
    <w:p>
      <w:pPr>
        <w:ind w:left="880" w:hanging="426"/>
        <w:spacing w:after="0"/>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Cosme Fagundo is 711 Calle Artis San Jose, CA 95131.</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76" w:lineRule="auto"/>
        <w:tabs>
          <w:tab w:leader="none" w:pos="8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Arbat Capital Group Ltd. (“Arbat”).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VTAQ Related Person Transactions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August 20, 2020, VTAQ issued an unsecured promissory note to one of its sponsors, Ventoux Acquisition Holdings LLC. The outstanding balance under the promissory note of $151,812 was repaid in full on December 31, 2020.</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at the closing of the IPO, VTAQ’s stockholders prior to the IPO purchased from the Company an aggregate of 6,000,000 Private Warrants at $1.00 per Private Warrant (for a total purchase price of $6,000,000). In connection with the closing of the issuance sale of the Over-Allotment Option Units, the Company’s stockholders prior to the IPO purchased from VTAQ an aggregate of 675,000 Private Warrants at $1.00 per Private Warrant (for a total purchase price of $675,000). As of December 31, 2020, VTAQ had no loans outstanding, including any loans from its directors or officers.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Jonas Grossman and Alex Weil are affiliated with Chardan Capital Markets, in addition to being directors of the Company. While no direct compensation arrangements regarding such individuals have been entered into regarding such fees, these executives may benefit indirectly from any such amounts payable to Chardan Capital Markets in respect of marketing fees, costs and expenses incurred by Chardan Capital Markets in connection with the identification, review and negotiation and approval of the initial business combination and in respect of fees in connection with VTAQ’s capital raising efforts. Prior to the Closing, VTAQ and Presto intend to take reasonable steps to negotiate with their service providers to reduce their respective transaction expenses to be paid at the consummation of the Business Combination. The results of these negotiations are uncertain since the service providers can discontinue negotiations at any time and require the full amount of their fees payable upon the consummation of the Business Combination.</w:t>
      </w:r>
    </w:p>
    <w:p>
      <w:pPr>
        <w:spacing w:after="0" w:line="11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VTAQ entered into an agreement, commencing on December 23, 2020 through VTAQ’s consummation of a Business Combination or its liquidation, to pay Chardan Capital Markets, LLC a total of $10,000 per month for office space, utilities and secretarial support.</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29, 2022, Ventoux Acquisition Holdings LLC and Chardan International Investments, LLC, as the Sponsors, loaned $1,150,000 and $575,000 to VTAQ for the purpose of depositing such amounts into the Trust Account in order to extend the deadline for VTAQ to consummate the Business Combination from March 30, 2022 to June 30, 2022, in accordance with VTAQ’s certificate of incorporation and the trust agreement governing the Trust Account. In consideration for such loans, VTAQ issued two unsecured promissory notes (the “Extension Notes”) in the amounts of $1,150,000 and $575,000 to Ventoux Acquisition Holdings LLC and Chardan International Investments, LLC, respectively. On the same day, VTAQ wired the sum of $1,725,000 to Continental, as Trustee of the Trust Account, for the purpose of extending the deadline for VTAQ to consummate the Business Combination from March 30, 2022 to June 30, 2022.</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Also on March 29, 2022, Ventoux Acquisition Holdings LLC and Chardan International Investments, LLC loaned VTAQ $250,000 and $125,000 for additional working capital purposes. In consideration for such loans, VTAQ issued two unsecured promissory notes (the “Working Capital Notes”) in amounts of $250,000 and $125,000 to Ventoux Acquisition Holdings LLC and Chardan International Investments, LLC, respectively.</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Extension Notes and Working Capital Notes were approved by VTAQ’s audit committee and VTAQ’s Board of Directors. The Extension Notes and Working Capital Notes do not bear interest and mature and are payable (subject to the waiver against trust provisions) upon on the earlier of (i) the date on which the Business Combination is consummated and (ii) the date of VTAQ’s liquidation.</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VTAQ’s officers and directors are entitled to reimbursement for any out-of-pocket expenses incurred in connection with activities on VTAQ’s behalf such as identifying potential target businesses and performing due diligence on suitable business combinations. VTAQ’s audit committee reviews on a quarterly basis all payments that were made to our Sponsor, VTAQ’s officers, directors or its or their affiliates.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Sponsors or an affiliate of our Sponsors or certain of its officers and directors may, but are not obligated to, loan VTAQ funds as may be required on a non-interest basis. If VTAQ completes the Business Combination, it would repay such loaned amounts. In the event that the Business Combination does not close, VTAQ may use a portion of the working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capital held outside the Trust Account to repay such loaned amounts but no proceeds from its Trust Account would be used for such repayment. Except as set forth above, the terms of such loans, if any, have not been determined and no written agreements exist with respect to such loans.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Presto Related Party Transactions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certain convertible promissory notes with entities controlled by Krishna K. Gupta and Ilya Golubovich, each of whom is a member of our board of directors. In fiscal year 2021, we issued $1.5 million and $1 million of the July 2020 Notes and embedded warrants to the entities controlled by Mr. Gupta and Mr. Golubovich, respectively, and $2 million of the Q3 2021 Notes and embedded warrants to the entity controlled by Mr. Golubovich.</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elected the fair value option for our convertible promissory notes. As of June 30, 2022 and June 30, 2021, $9.6 million and $6.4 million of convertible promissory notes and embedded warrants were due to Mr. Gupta and Mr. Golubovich, respectively, of which $9.6 million and $3.6 million, respectively are due within 12 months.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Presto Board adopted a written related person transaction policy that sets forth the following policies and procedures for the review and approval or ratification of related person transactions.</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“Related Person Transaction” is a financial transaction, arrangement or relationship or any series of similar transactions, arrangement or relationships, in which Presto or any of its subsidiaries was, is or will be a participant, the amount of which involved exceeds $120,000, and in which any related person had, has or will have a direct or indirect material interest, other than an employment relationship or transaction involving an executive officer and any related compensation. A “Related Person” means:</w:t>
      </w:r>
    </w:p>
    <w:p>
      <w:pPr>
        <w:spacing w:after="0" w:line="116" w:lineRule="exact"/>
        <w:rPr>
          <w:sz w:val="20"/>
          <w:szCs w:val="20"/>
          <w:color w:val="auto"/>
        </w:rPr>
      </w:pPr>
    </w:p>
    <w:p>
      <w:pPr>
        <w:ind w:left="1320" w:right="47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Presto’s executive officers, a member or a member nominee of the Presto Board;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Presto to be the beneficial owner of more than 5% of its voting stock at the time of occurrence or existence of the Related Person Transaction;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includes any child, stepchild, parent, stepparent, spouse, sibling, mother-in-law, father-in-law, son-in-law, daughter-in-law, brother-in-law or sister-in-law of a director, officer or a beneficial owner of more than 5% of Presto’s voting stock, and any person (other than a tenant or employee) sharing the household of such director, director nominee, executive officer or beneficial owner of more than 5% of Presto’s voting stock.</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It is also anticipated that Presto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ownership and disposition of our shares of common stock and warrants, which we refer to collectively as our securities. This discussion applies only to our securities that are held as capital assets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securities will be in U.S. dollars.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16" w:lineRule="exact"/>
        <w:rPr>
          <w:sz w:val="20"/>
          <w:szCs w:val="20"/>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our shares;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securities;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securities as part of a “straddle,” constructive sale, hedge, wash sale, conversion or other integrated or similar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17"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OWNERSHIP AND DISPOSITION OF OUR SECURITIES. EACH PROSPECTIVE INVESTOR IN OUR SECURITIES IS URGED TO CONSULT ITS OWN TAX ADVISOR WITH RESPECT TO THE PARTICULAR TAX CONSEQUENCES TO SUCH INVESTOR OF THE OWNERSHIP AND DISPOSITION OF OUR SECURITIES, INCLUDING THE APPLICABILITY AND EFFECT OF ANY U.S. FEDERAL NON-INCOME, STATE, LOCAL, AND NON-U.S. TAX LAWS.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securities who or that is, for U.S. federal income tax purposes:</w:t>
      </w:r>
    </w:p>
    <w:p>
      <w:pPr>
        <w:spacing w:after="0" w:line="94" w:lineRule="exact"/>
        <w:rPr>
          <w:sz w:val="20"/>
          <w:szCs w:val="20"/>
          <w:color w:val="auto"/>
        </w:rPr>
      </w:pPr>
    </w:p>
    <w:p>
      <w:pPr>
        <w:ind w:left="1320" w:hanging="434"/>
        <w:spacing w:after="0"/>
        <w:tabs>
          <w:tab w:leader="none" w:pos="13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1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If we pay distributions in cash or other property (other than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Holders—Gain or Loss on 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Common Stock and Warrants</w:t>
      </w:r>
      <w:r>
        <w:rPr>
          <w:rFonts w:ascii="Times New Roman" w:cs="Times New Roman" w:eastAsia="Times New Roman" w:hAnsi="Times New Roman"/>
          <w:sz w:val="18"/>
          <w:szCs w:val="18"/>
          <w:color w:val="auto"/>
        </w:rPr>
        <w:t>” below.</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treated as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Common Stock and Warrants.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a sale or other taxable disposition of our common stock or warrants (which, in general, would include a redemption of warrants that is treated as a sale of such warrants as described below), a U.S. holder generally will recognize capital gain or loss in an amount equal to the difference between the amount realized and the U.S. holder’s adjusted tax basis in the common stock or warrants. Any such capital gain or loss generally will be long-term capital gain or loss if the U.S. holder’s holding period for the common stock or warrants so disposed of exceeds one year. If the holding period requirements are not satisfied, any gain on a sale or taxable disposition of the shares or warrants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2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warrants generally will equal the U.S. holder’s acquisition cost for the common stock or warrants, as applicable, less any prior distributions treated as a return of capital, or in the case of a U.S. holder that acquired common stock upon exercise of a warrant for cash, as described below in “</w:t>
      </w:r>
      <w:r>
        <w:rPr>
          <w:rFonts w:ascii="Times New Roman" w:cs="Times New Roman" w:eastAsia="Times New Roman" w:hAnsi="Times New Roman"/>
          <w:sz w:val="18"/>
          <w:szCs w:val="18"/>
          <w:i w:val="1"/>
          <w:iCs w:val="1"/>
          <w:color w:val="auto"/>
        </w:rPr>
        <w:t>U.S. Holders—Exercise, Lapse or Redemption of a Warrant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Exercise, Lapse or Redemption of a Warrant.</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our common stock upon exercise of a warrant for cash. The U.S. holder’s tax basis in the share of our common stock received upon exercise of the warrant generally will be an amount equal to the sum of the U.S. holder’s initial investment in the warrant and the exercise price of such warrant.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not be taxable, either because the exercise is not a realization event or because the exercise is treated as a recapitalization for U.S. federal income tax purposes. In either situation, a U.S. holder’s basis in the common stock received would equal the holder’s basis in the warrants exercised therefor. If the cashless exercise were treated as not being a realization event, it is unclear whether a U.S. holder’s holding period in the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common stock would include the holding period of the warrants exercised therefor.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could be deemed to have surrendered a number of warrants equal to the number of shares of common stock having a value equal to the exercise price for the total number of warrants to be exercised. In such case, the U.S. holder would recognize capital gain or loss with respect to the warrants deemed surrendered in an amount equal to the difference between the fair market value of the common stock that would have been received in a regular exercise of the warrants deemed surrendered and the U.S. holder’s tax basis in the warrants deemed surrendered. In this case, a U.S. holder’s aggregate tax basis in the common stock received would equal the sum of the U.S. holder’s initial investment in the warrants deemed exercised and the aggregate exercise price of such warrants. It is unclear whether a U.S. holder’s holding period for the common stock would commence on the date following the date of exercise or on the date of exercise of the warrant; in either case, the holding period would not include the period during which the U.S. holder held the warrant.</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we redeem warrants for cash pursuant to the redemption provisions described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or if we purchase warrants in an open market transaction, such redemption or purchase generally will be treated as a taxable disposition to the U.S. holder, taxed as described above under “</w:t>
      </w:r>
      <w:r>
        <w:rPr>
          <w:rFonts w:ascii="Times New Roman" w:cs="Times New Roman" w:eastAsia="Times New Roman" w:hAnsi="Times New Roman"/>
          <w:sz w:val="18"/>
          <w:szCs w:val="18"/>
          <w:i w:val="1"/>
          <w:iCs w:val="1"/>
          <w:color w:val="auto"/>
        </w:rPr>
        <w:t>U.S. Holders—Gain or Loss on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Stock and Warrants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distributions paid to a U.S. holder and to the proceeds of 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securities who or that is for U.S. federal income tax purposes:</w:t>
      </w:r>
    </w:p>
    <w:p>
      <w:pPr>
        <w:spacing w:after="0" w:line="94" w:lineRule="exact"/>
        <w:rPr>
          <w:sz w:val="20"/>
          <w:szCs w:val="20"/>
          <w:color w:val="auto"/>
        </w:rPr>
      </w:pPr>
    </w:p>
    <w:p>
      <w:pPr>
        <w:ind w:left="1320" w:right="459" w:hanging="434"/>
        <w:spacing w:after="0" w:line="282" w:lineRule="auto"/>
        <w:tabs>
          <w:tab w:leader="none" w:pos="13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15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securities. If you are such an individual, you should consult your tax advisor regarding the U.S. federal income tax consequences of the ownership or sale or other disposition of our securities.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6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us or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Holders—Gain on Sale, Taxable Exchange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and Warrants</w:t>
      </w:r>
      <w:r>
        <w:rPr>
          <w:rFonts w:ascii="Times New Roman" w:cs="Times New Roman" w:eastAsia="Times New Roman" w:hAnsi="Times New Roman"/>
          <w:sz w:val="18"/>
          <w:szCs w:val="18"/>
          <w:color w:val="auto"/>
        </w:rPr>
        <w:t>” below. In addition, if we determine that we are likely to be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real property holding corporation” (see “</w:t>
      </w:r>
      <w:r>
        <w:rPr>
          <w:rFonts w:ascii="Times New Roman" w:cs="Times New Roman" w:eastAsia="Times New Roman" w:hAnsi="Times New Roman"/>
          <w:sz w:val="18"/>
          <w:szCs w:val="18"/>
          <w:i w:val="1"/>
          <w:iCs w:val="1"/>
          <w:color w:val="auto"/>
        </w:rPr>
        <w:t>Non-U.S. Holders—Gain on Sale, Taxable Exchange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Taxable Disposition of Common Stock and Warrants</w:t>
      </w:r>
      <w:r>
        <w:rPr>
          <w:rFonts w:ascii="Times New Roman" w:cs="Times New Roman" w:eastAsia="Times New Roman" w:hAnsi="Times New Roman"/>
          <w:sz w:val="18"/>
          <w:szCs w:val="18"/>
          <w:color w:val="auto"/>
        </w:rPr>
        <w:t>” below), we generally will withhold 15%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that exceeds our current and accumulated earnings and profits.</w:t>
      </w:r>
    </w:p>
    <w:p>
      <w:pPr>
        <w:spacing w:after="0" w:line="11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Exercise, Lapse or Redemption of a Warrant.</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w:t>
      </w:r>
      <w:r>
        <w:rPr>
          <w:rFonts w:ascii="Times New Roman" w:cs="Times New Roman" w:eastAsia="Times New Roman" w:hAnsi="Times New Roman"/>
          <w:sz w:val="18"/>
          <w:szCs w:val="18"/>
          <w:i w:val="1"/>
          <w:iCs w:val="1"/>
          <w:color w:val="auto"/>
        </w:rPr>
        <w:t>U.S. Holders—Exercise, Lapse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 of a Warrant</w:t>
      </w:r>
      <w:r>
        <w:rPr>
          <w:rFonts w:ascii="Times New Roman" w:cs="Times New Roman" w:eastAsia="Times New Roman" w:hAnsi="Times New Roman"/>
          <w:sz w:val="18"/>
          <w:szCs w:val="18"/>
          <w:color w:val="auto"/>
        </w:rPr>
        <w:t>” above, although to the extent a cashless exercise results in a taxable exchange,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would be similar to those described below in “</w:t>
      </w:r>
      <w:r>
        <w:rPr>
          <w:rFonts w:ascii="Times New Roman" w:cs="Times New Roman" w:eastAsia="Times New Roman" w:hAnsi="Times New Roman"/>
          <w:sz w:val="18"/>
          <w:szCs w:val="18"/>
          <w:i w:val="1"/>
          <w:iCs w:val="1"/>
          <w:color w:val="auto"/>
        </w:rPr>
        <w:t>Non-U.S. Holders—Gain on Sale,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or Other Taxable Disposition of Common Stock and Warrants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characterization for U.S. federal income tax purposes of the redemption of the Non-U.S. holder’s warrants generally will correspond to the U.S. federal income tax treatment of such a redemption of a U.S. holder’s warrants, as described under “</w:t>
      </w:r>
      <w:r>
        <w:rPr>
          <w:rFonts w:ascii="Times New Roman" w:cs="Times New Roman" w:eastAsia="Times New Roman" w:hAnsi="Times New Roman"/>
          <w:sz w:val="18"/>
          <w:szCs w:val="18"/>
          <w:i w:val="1"/>
          <w:iCs w:val="1"/>
          <w:color w:val="auto"/>
        </w:rPr>
        <w:t>U.S. Holders—Exercise, Lapse or Redemption of a Warrant</w:t>
      </w:r>
      <w:r>
        <w:rPr>
          <w:rFonts w:ascii="Times New Roman" w:cs="Times New Roman" w:eastAsia="Times New Roman" w:hAnsi="Times New Roman"/>
          <w:sz w:val="18"/>
          <w:szCs w:val="18"/>
          <w:color w:val="auto"/>
        </w:rPr>
        <w:t>” above, and the consequences of the redemption to the Non-U.S. holder will be as described below under the heading “</w:t>
      </w:r>
      <w:r>
        <w:rPr>
          <w:rFonts w:ascii="Times New Roman" w:cs="Times New Roman" w:eastAsia="Times New Roman" w:hAnsi="Times New Roman"/>
          <w:sz w:val="18"/>
          <w:szCs w:val="18"/>
          <w:i w:val="1"/>
          <w:iCs w:val="1"/>
          <w:color w:val="auto"/>
        </w:rPr>
        <w:t>Non-U.S. Holders—Gain on Sale, Taxable Exchange or Other Taxable Disposition of Common Stock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depending on such characterization.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Gain on Sale, Taxable Exchange or Other Taxable Disposition of Common Stock and Warrants.</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or warrants (including an expiration or redemption of our warrants), unless:</w:t>
      </w:r>
    </w:p>
    <w:p>
      <w:pPr>
        <w:spacing w:after="0" w:line="108" w:lineRule="exact"/>
        <w:rPr>
          <w:sz w:val="20"/>
          <w:szCs w:val="20"/>
          <w:color w:val="auto"/>
        </w:rPr>
      </w:pPr>
    </w:p>
    <w:p>
      <w:pPr>
        <w:jc w:val="both"/>
        <w:ind w:left="1320" w:right="479" w:hanging="434"/>
        <w:spacing w:after="0" w:line="266"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security, except, in the case where shares of our common stock are “regularly traded on an established securities market” (within the meaning of applicable Treasury Regulations, referred to herein as “regularly traded”), (i) the Non-U.S. holder is disposing of common stock and has owned, directly or constructively, 5% or less of our common stock at all times within the shorter of the five-year period preceding such disposition of common stock or such Non-U.S. holder’s holding period for such common stock or (ii) the Non-U.S. holder is disposing of warrants and has owned, directly or constructively, 5% or less of the total fair market value of our warrants (provided our warrants are considered to be regularly traded) at all times within the shorter of the five-year period preceding such disposition of warrants or such Non-U.S. holder’s holding period for such warrants. It is unclear how the rules for determining the 5% threshold for this purpose would be applied with respect to our common stock and warrants, including how a Non-U.S. holder’s ownership of warrants impacts the 5% threshold determination with respect to its common stock and whether the 5% threshold determination with respect to our warrants must be made with or without reference to the private placement warrants. In addition, special rules may apply in the case of a disposition of warrants if our common stock is considered to be regularly traded, but the warrants are not considered to be regularly traded. We can provide no assurance as to our future status as a United States real property holding corporation or as to whether our common stock or warrants will be considered to be regularly traded. Non-U.S. holders should consult their own tax advisors regarding the application of the foregoing rules in light of their particular facts and circumstances.</w:t>
      </w:r>
    </w:p>
    <w:p>
      <w:pPr>
        <w:spacing w:after="0" w:line="12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30% rate (or lower treaty rate).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Information returns will be filed with the IRS in connection with payments of distributions and the proceeds from a sale or other disposition of shares of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required information is timely furnished to the IRS.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FATCA Withholding Taxes.</w:t>
      </w:r>
    </w:p>
    <w:p>
      <w:pPr>
        <w:spacing w:after="0" w:line="14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Prospective investors should consult their tax advisors regarding the effects of FATCA on their investment in our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4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As a result of the Business Combination, VTAQ Stockholders who receive shares of Presto Common Stock in the transactions, as well as stockholders of Legacy Presto, will become Presto stockholders. Your rights as Presto stockholders will be governed by the DGCL, the Charter and the Bylaws. The following description of the material terms of Presto’s securities reflects the anticipated state of affairs upon completion of the Business Combination. This description is a summary and is not complete. You are encouraged to read the applicable provisions of Delaware law, the Charter and the Bylaws in their entirety for a complete description of the rights and preferences of Presto’s securities.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Charter authorizes the issuance of shares of Presto capital stock, each with a par value of $0.0001, consisting of (a) 180,000,000 shares of Presto Common Stock and (b) 1,500,000 shares of preferred stock. The outstanding shares of VTAQ’s stock are, and the shares of VTAQ Common Stock issuable in connection with the Business Combination and the PIPE Investments will be, duly authorized, validly issued, fully paid and non-assessable</w:t>
      </w:r>
      <w:r>
        <w:rPr>
          <w:rFonts w:ascii="Times New Roman" w:cs="Times New Roman" w:eastAsia="Times New Roman" w:hAnsi="Times New Roman"/>
          <w:sz w:val="18"/>
          <w:szCs w:val="18"/>
          <w:b w:val="1"/>
          <w:bCs w:val="1"/>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Charter provides the following with respect to the rights, powers, preferences and privileges of the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Power</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under the Charter, the holders of Presto Common Stock will possess all voting power for the election of directors and all other matters requiring stockholder action and will be entitled to one vote per share on matters to be voted on by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and preferences of any holders of any outstanding series of preferred stock, under the Charter, holders of Presto Common Stock will be entitled to the payment of dividends when, as and if declared by the Presto Board in accordance with applicable law.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Liquidation, Dissolution and Winding Up</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Subject to the rights and preferences of any holders of any shares of any outstanding series of preferred stock, in the event of the voluntary or involuntary liquidation, dissolution, or winding-up of Presto, the holders of Presto Common Stock will be entitled to receive all the funds and assets of Presto available for distribution to stockholders, ratably in proportion to the number of shares of Presto Common Stock held by them, after the rights of creditors of Presto and the holders of any outstanding shares of preferred stock have been satisfied.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Preemptive or Other Rights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holders of Presto Common Stock will not have preemptive or other subscription rights and there will be no sinking fund or redemption provisions applicable to Presto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Presto Preferred Stock may be issued from time to time in one or more series, each of such series to have such terms as stated or expressed in the Charter and in the resolution or resolutions providing for the creation and issuance of such series adopted by the Presto Board.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There are currently outstanding an aggregate of 24,875,000 warrants, which, following the consummation of the Business Combination, will entitle the holder to acquire Presto Common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Each Public Warrant entitles the registered holder to purchase one-half of one share of Presto Common Stock at a price of $11.50 per whole share, subject to adjustment as described below, at any time commencing on the date of the completion of an initial business combination. However, no Public Warrants will be exercisable for cash unless Presto has an effective and current registration statement covering the shares of Presto Common Stock issuable upon exercise of the warrants and a current prospectus relating to such shares. Notwithstanding the foregoing, if a registration statement covering the shares of Presto Common Stock issuable upon exercise of the Public Warrants is not effective within 120 days from the closing of VTAQ’s initial business combination, warrant holders may, until such time as there is an effective registration statement and during any period when Presto shall have failed to maintain an effective registration statement, exercise warrants on a cashless basis pursuant to an available exemption from registration under the Securities Act. The warrants will expire five years from the closing of VTAQ’s initial business combination at 5:00 p.m., Eastern time.</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private warrants and financing warrants are identical to the Public Warrants except that (i) each private warrant and each financing warrant is exercisable for one share of Presto Common Stock at an exercise price of $11.50 per share instead of $8.21 per share, and (ii) such private warrants and financing warrants will be exercisable for cash (even if a registration statement covering the shares of Presto Common Stock issuable upon exercise of such warrants is not effective) or on a cashless basis, at the holder’s option, and will not be redeemable by Presto, (in the case of the private warrants, only so long as they are still held by the initial purchasers or their affiliates). The private warrants purchased by Chardan Investments will not be exercisable more than five years from the date VTAQ’s registration statement used in connection with the VTAQ IPO was declared effective, in accordance with FINRA Rule 5110(g)(8), as long as Chardan or any of its related persons beneficially own these private warrants.</w:t>
      </w:r>
    </w:p>
    <w:p>
      <w:pPr>
        <w:spacing w:after="0" w:line="12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Presto may call the outstanding warrants for redemption (excluding the private warrants and financing warrants but including any warrants already issued upon exercise of the unit purchase option), in whole and not in part, at a price of $0.01 per warrant:</w:t>
      </w:r>
    </w:p>
    <w:p>
      <w:pPr>
        <w:spacing w:after="0" w:line="95" w:lineRule="exact"/>
        <w:rPr>
          <w:sz w:val="20"/>
          <w:szCs w:val="20"/>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Presto Common Stock equals or exceeds 165% of the volume weighted average price of Common Stock during the 20 trading day period starting on the trading day prior to the Closing, for any 20 trading days within a 30-day trading period ending on the third business day prior to the notice of redemption to warrant holders,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Presto Common Stock underlying such warrants at the time of redemption and for the entire 30-day trading period referred to above and continuing each day thereafter until the date of redemption.</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 For context, recent common stock trading prices have not met or exceeded the threshold that would allow the company to redeem public warrants. In order to exercise the warrant redemption rights, Presto is required to mail notice to the registered holders of the warrants by first class mail, postage prepaid, not less than 30 days prior to the redemption date.</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redemption criteria for Presto’s warrants were established at a price which is intended to provide warrant holders a reasonable premium to the initial exercise price and provide a sufficient differential between the then-prevailing share price and the warrant exercise price so that if the share price declines as a result of Presto’s redemption call, the redemption will not cause the share price to drop below the exercise price of the warrants.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Presto calls the warrants for redemption as described above, Presto’s management will have the option to require all holders that wish to exercise warrants to do so on a “cashless basis.” In such event, each holder would pay the exercise price by surrendering the warrants for that number of shares of Presto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means the average reported last sale price of Presto Common Stock for the 10 trading days ending on the third trading day prior to the date on which the notice of redemption is sent to the holders of warrants. Whether</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Presto will exercise its option to require all holders to exercise their warrants on a “cashless basis” will depend on a variety of factors including the price of Presto Common Stock at the time the warrants are called for redemption, its cash needs at such time and concerns regarding dilutive share issuances.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warrants have been issued in registered form under a warrant agreement between Continental, as warrant agent, and VTAQ, amended at Closing as described in the section entitled “</w:t>
      </w:r>
      <w:r>
        <w:rPr>
          <w:rFonts w:ascii="Times New Roman" w:cs="Times New Roman" w:eastAsia="Times New Roman" w:hAnsi="Times New Roman"/>
          <w:sz w:val="18"/>
          <w:szCs w:val="18"/>
          <w:i w:val="1"/>
          <w:iCs w:val="1"/>
          <w:color w:val="auto"/>
        </w:rPr>
        <w:t>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 Agreement</w:t>
      </w:r>
      <w:r>
        <w:rPr>
          <w:rFonts w:ascii="Times New Roman" w:cs="Times New Roman" w:eastAsia="Times New Roman" w:hAnsi="Times New Roman"/>
          <w:sz w:val="18"/>
          <w:szCs w:val="18"/>
          <w:color w:val="auto"/>
        </w:rPr>
        <w:t>.” The warrant agreement provides that the terms of the warrants may be amended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Presto Common Stock and any voting rights until they exercise their warrants and receive shares of Presto Common Stock. After the issuance of shares of Presto Common Stock upon exercise of the warrants, each holder will be entitled to one vote for each share held of record on all matters to be voted on by stockholders.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Except as described above, no Public Warrants will be exercisable for cash, and Presto will not be obligated to issue shares of its common stock unless at the time a holder seeks to exercise such warrant, a prospectus relating to such shares issuable upon exercise of the warrants is current and such shares have been registered or qualified or deemed to be exempt under the securities laws of the state of residence of the holder of the warrants. Under the terms of the warrant agreement, Presto has agreed to use its best efforts to meet these conditions and to maintain a current prospectus relating to such shares issuable upon exercise of the warrants until the expiration of the warrants. However, Presto cannot assure you that it will be able to do so and, if it does not maintain a current prospectus relating to such shares issuable upon exercise of the warrants, holders will be unable to exercise their warrants, and Presto will not be required to settle any such warrant exercise. If the prospectus relating to such shares issuable upon the exercise of the warrants is not current or if such shares are not qualified or exempt from qualification in the jurisdictions in which the holders of the warrants reside, Presto will not be required to net cash settle or cash settle the warrant exercise, the warrants may have no value, the market for the warrants may be limited, and the warrants may expire worthless.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 holder of a warrant may notify Presto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Presto Common Stock outstanding.</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Presto will, upon exercise, round down to the nearest whole number the number of shares of common stock to be issued to the warrant holder.</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Presto has agreed that, subject to applicable law, any action, proceeding or claim against Presto arising out of or relating in any way to the warrant agreement will be brought and enforced in the courts of the State of New York or the United States District Court for the Southern District of New York, and Presto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 with respect to Certain Warrants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Presto has agreed that Presto will not redeem the private warrants and financing warrants and will allow the holders to exercise such warrants on a cashless basis (even if a registration statement covering the shares of Presto Common Stock issuable upon exercise of such warrants is not effective). However, once any of the private warrants are transferred from the initial purchasers or their affiliates, these arrangements will no longer apply. Furthermore, because the private warrants and the financing warrants were issued in a private transaction, the holders and their transferees are allowed to exercise the private warrants for cash even if a registration statement covering the shares of common stock issuable upon exercise of such warrants is not effective and receive unregistered shares of common stock.</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VTAQ has not paid any cash dividends on its common stock to date and does not intend to pay cash dividends prior to the completion of a business combination. The payment of cash dividends in the future will be dependent upon many factors, including Presto’s financial condition, results of operations, projections, liquidity, earnings, legal requirements, restrictions in its debt agreements and other factors that its board of directors deems relevant.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Charter authorizes 181,500,000 shares of capital stock, consisting of 180,000,000 shares of Presto Common Stock and 1,500,000 shares of preferred stock.</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Exclusive Forum for Certain Lawsuits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Charter provides that, unless Presto consents in writing to the selection of an alternative forum, the Court of Chancery of the State of Delaware will, to the fullest extent permitted by law, be the sole and exclusive forum for any stockholder to bring: (i) any derivative action, suit or proceeding brought on its behalf; (ii) any action asserting a breach of fiduciary duty owed by any current or former director, officer or other employee of Presto to Presto or its stockholders; (iii) any action asserting a claim against Presto, its directors, officers or employees arising under the DGCL, the Charter or the Bylaws or (iv) any action, suit or proceeding asserting a claim against Presto or any current or former director, officer or stockholder governed by the internal affairs doctrine, and, if brought outside of Delaware, the stockholder bringing the suit will be deemed to have consented to (A) the personal jurisdiction of the state and federal courts within Delaware and (B) service of process on such stockholder’s counsel. The provision of the Charter described in the immediately preceding sentence does not apply to (i) suits brought to enforce a duty or liability created by the Securities Act or any other claim for which the federal courts have exclusive jurisdiction and (ii) any action arising under the Exchange Act, as to which the federal courts for the United States of America shall have exclusive jurisdiction.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Charter provides that special meetings of Presto stockholders may be called at any time by the chairperson of the Presto Board, the Chief Executive Officer or the board of directors acting pursuant to a resolution adopted by a majority of the Presto Board, and may not be called by any other person or persons, subject to the rights of holders of any series of preferred stock then outstanding.</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60"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For any matter to be “properly brought” before a meeting, a stockholder will have to comply with advance notice requirements and provide Presto with certain information. Generally, to be timely, a stockholder’s notice must be received at Presto’s principal executive offices not less than 90 days nor more than 120 days prior to the first anniversary date of the immediately preceding annual meeting of stockholders (for the purposes of the first annual meeting of the stockholders of Presto following the adoption of the Bylaws, the date of the preceding annual meeting will be deemed to be September 14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of the preceding calendar year). The Bylaws also specify requirements as to the form and content of a stockholder’s notice. The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Presto.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Presto Board or the chairman of the meeting may adjourn the meeting to another time or place (whether or not a quorum is present), and notice need not be given of the adjourned meeting if the time, place, if any, and the means of remote communications, if any, by which stockholders and proxy holders may be deemed to be present in person and vote at such meeting, are announced at the meeting at which such adjournment is made. At the adjourned meeting, Presto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Presto’s stock entitled to vote thereon were present and voted, unless Presto’s then-effective charter provides otherwise. Subject to applicable law and the rights, if any, of the holders of any outstanding series of preferred stock or any other outstanding class or series of stock of Presto, the Charter does not permit Presto’s holders of common stock to act by consent in writing.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Appraisal rights are statutory rights under the DGCL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the DGCL, any of Presto’s stockholders may bring an action in Presto’s name to procure a judgment in Presto’s favor, also known as a derivative action, provided that the stockholder bringing the action is a holder of Presto’s shares at the time of the transaction to which the action relates or such stockholder’s stock thereafter devolved by operation of law.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Charter will, to the maximum extent permitted from time to time by Delaware law, renounce any interest or expectancy that Presto has in, or right to be offered an opportunity to participate in, specified business opportunities that are from time to time presented to our directors or their affiliates, other than those directors or affiliates who are its employees. The Charter provides that, to the fullest extent permitted by law, none of the directors who are not employed by Presto (including any non-employee director who serves as one of its officers in both his or her director and officer capacities) or his or her affiliates will have any fiduciary duty to refrain from (i) engaging or possessing interests in a corporate opportunity in the same or similar lines of business in which Presto or its affiliates now engage or propose to engage or (ii) otherwise competing with Presto or its affiliates. The Charter will not renounce Presto’s interest in any business opportunity that is expressly offered to a non-employee director solely in his or her capacity as a director or officer of Presto. To the fullest extent permitted by law, a business opportunity will not be deemed to be a potential corporate opportunity for Presto if Presto is neither financially nor legally able, nor contractually permitted to undertake the opportunity, the opportunity is not in the line of Presto’s business or is of no practical advantage to Presto or it is one in which Presto has no interest or reasonable expectancy.</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duty as a director except to the extent such exemption from liability or limitation thereof is not permitted under the DGCL as the same exists or may hereafter be amended.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Bylaws provide that Presto must indemnify and advance expenses to Presto’s directors and officers to the fullest extent authorized by the DGCL. Presto also is expressly authorized to carry directors’ and officers’ liability insurance providing indemnification for Presto directors, officers, and certain employees for some liabilities. Presto believes that these indemnification and advancement provisions and insurance are useful to attract and retain qualified directors and executive officers.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Charter and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Presto and its stockholders. In addition, your investment may be adversely affected to the extent Presto pays the costs of settlement and damage awards against directors and officer pursuant to these indemnification provisions.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Presto, the Sponsors, the PIPE Investors and other holders of Presto capital stock (the “Presto Holders” and together with the Sponsors and PIPE Investors, the “Holders”) entered into the Amended and Restated Registration Rights Agreement. Pursuant to the terms of the Amended and Restated Registration Rights Agreement and the Equity Subscription Agreements, within 30 days of the Closing, Presto is required to file a registration statement to register the resale of (i) 8,756,250 shares of Presto Common Stock that will be issued to the investors in the PIPE Investment; (ii) 27,983,240 shares of Presto Common Stock held by Presto’s directors and officers; and (iii) 3,223,687 shares of Presto Common Stock, 5,775,000 Private Placement Warrants and the underlying 5,775,000 shares of Presto Common Stock underlying such warrants held by our Sponsors and independent directors. The Amended and Restated Registration Rights Agreement also provides the Holders with certain “demand” and “piggy-back” registration rights, subject to certain requirements and customary conditions. Because certain of the Holders would have acquired their Presto Common Stock at an effective price that is less than Ventoux’s IPO price of $10.00 per share, such Holders may have an incentive to sell even if the trading price of Presto Common Stock is less than $10.00 per share following the Closing. Therefore, upon the effectiveness of the registration statement covering the resale of shares issued to the PIPE Investors, and the expiration of the lock-up period eighteen months following the Closing, the market price of Presto Common Stock may experience negative selling pressure from potential sales by the Holders.</w:t>
      </w:r>
    </w:p>
    <w:p>
      <w:pPr>
        <w:spacing w:after="0" w:line="11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Assuming no redemptions, immediately following the Closing, 2,117,518 shares of Presto Common Stock, representing approximately 3.6% of the outstanding shares of Presto Common Stock, will be freely transferable. In addition, effective at Closing, the Presto Board may release certain unaffiliated Presto stockholders receiving registered shares of Presto Common Stock in the Business Combination from the applicable lock up in Presto’s Bylaws as needed to satisfy the initial listing requirements of Nasdaq. Such amount is not currently expected to exceed 637,500 shares of Presto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transfer agent for Presto capital stock is Continental. Presto agreed to indemnify Continental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Presto’s common stock and public warrants are listed on the Nasdaq Stock Market under the symbols “PRST” and “PRSTW,”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Resales under Rule 144</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Under the Securities Act, securities may be sold only if the sale is registered under the Securities Act or qualifies for an exemption from registration, including an exemption under Rule 144 under the Securities Act (“Rule 144”).</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Rule 144(b)(1) provides a safe harbor pursuant to which certain persons may sell shares of Presto Common Stock that constitute “restricted securities” as defined in Rule 144 without registration under the Securities Act. “Restricted securities” include, among other things, securities acquired directly or indirectly from the issuer, or from an affiliate of the issuer, in a transaction or chain of transactions not involving any public offering. In general, the conditions that must be met for a person to sell shares of Presto Common Stock pursuant to Rule 144(b)(1) are as follows: (i) the person selling the shares must not be an affiliate of Presto at the time of the sale, and must not have been an affiliate of Presto during the preceding three months, and</w:t>
      </w:r>
    </w:p>
    <w:p>
      <w:pPr>
        <w:spacing w:after="0" w:line="3" w:lineRule="exact"/>
        <w:rPr>
          <w:sz w:val="20"/>
          <w:szCs w:val="20"/>
          <w:color w:val="auto"/>
        </w:rPr>
      </w:pPr>
    </w:p>
    <w:p>
      <w:pPr>
        <w:jc w:val="both"/>
        <w:ind w:left="460" w:right="459" w:hanging="6"/>
        <w:spacing w:after="0" w:line="253" w:lineRule="auto"/>
        <w:tabs>
          <w:tab w:leader="none" w:pos="72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at least one year must have elapsed since the date of acquisition of the restricted securities from Presto or any of its affiliates or (B) if Presto satisfies the current public information requirements set forth in Rule 144, at least six months have elapsed since the date of acquisition of the restricted securities from Presto or any of its affiliates.</w:t>
      </w:r>
    </w:p>
    <w:p>
      <w:pPr>
        <w:spacing w:after="0" w:line="12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Rule 144(b)(2) provides a safe harbor pursuant to which persons who are affiliates of Presto may sell shares of its stock, whether restricted securities or not, without registration under the Securities Act if certain conditions are met. In general, the conditions that must be met for a person who is an affiliate of Presto (or has been within three months prior to the date of sale) to sell shares of stock of Presto pursuant to Rule 144(b)</w:t>
      </w:r>
    </w:p>
    <w:p>
      <w:pPr>
        <w:spacing w:after="0" w:line="3" w:lineRule="exact"/>
        <w:rPr>
          <w:sz w:val="20"/>
          <w:szCs w:val="20"/>
          <w:color w:val="auto"/>
        </w:rPr>
      </w:pPr>
    </w:p>
    <w:p>
      <w:pPr>
        <w:jc w:val="both"/>
        <w:ind w:left="460" w:right="459" w:hanging="6"/>
        <w:spacing w:after="0" w:line="253" w:lineRule="auto"/>
        <w:tabs>
          <w:tab w:leader="none" w:pos="73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as follows (1) if the shares being sold are restricted securities, at least six months must have elapsed since the date of acquisition of the shares of stock from Presto or any of its affiliates, (2) the seller must comply with volume limitations, manner of sale restrictions and notice requirements and (3) Presto must satisfy the current public information requirements set forth in Rule 144. In order to comply with the volume limitations, a seller may not sell, in any three month period, more than the following number of shares:</w:t>
      </w:r>
    </w:p>
    <w:p>
      <w:pPr>
        <w:spacing w:after="0" w:line="10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shares of Presto Common Stock then outstanding as shown by the most recent report or statement published by Presto;</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volume of trading in Presto Common Stock on all national securities exchanges and/or reported through the automated quotation system of a registered securities association during the four calendar weeks preceding the filing of the notice required to be filed by the seller under Rule 144 or if no such notice is required, the date of receipt of the order to execute the transaction by the broker or the date of execution of the transaction directly with a market maker; or</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volume of trading in such securities reported pursuant to an effective transaction report plan or an effective national market system plan, as defined in Regulation NMS under the Exchange Act, during the four week period described in the preceding bullet.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unless the following conditions are met:</w:t>
      </w:r>
    </w:p>
    <w:p>
      <w:pPr>
        <w:spacing w:after="0" w:line="108" w:lineRule="exact"/>
        <w:rPr>
          <w:sz w:val="20"/>
          <w:szCs w:val="20"/>
          <w:color w:val="auto"/>
        </w:rPr>
      </w:pPr>
    </w:p>
    <w:p>
      <w:pPr>
        <w:ind w:left="1320" w:hanging="43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the Closing Date, we had 50,639,837 shares of common stock outstanding. Of these shares, approximately 20,696,420 shares are freely tradable without restriction pursuant to, or further registration under, the Securities Act, except for any shares purchased by one of our affiliates within the meaning of Rule 144. All of 4,312,500 shares of our common stock owned by the Sponsors and their permitted transferees (the “Sponsor Shares”) are restricted securities under Rule 144, in that they were issued in private transactions not involving a public offering. All of the 7,143,687 PIPE Shares we issued to the PIPE Investors pursuant to the Subscription Agreements are also restricted securities for purposes of Rule 144. The registration statement of which this prospectus is a part registers for resale all of the PIPE Shares and Sponsor Shares, 6,125,000 shares of common stock underlying the private placement warrants, 1,500,000 shares of common stock underlying the financing warrants and we are obligated to maintain the effectiveness of such registration statement in accordance with the terms and conditions of the Amended and Restated Registration Rights Agreement or applicable Subscription Agreements.</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the date of this registration statement, there are 24,875,000 warrants outstanding, consisting of 17,250,000 public warrants originally sold as part of the units issued in the IPO, 6,125,000 private placement warrants that were sold by the Company (formerly known as Ventoux CCM Acquisition Corp.) to the Sponsor in a private sale prior to the Initial Public Offering and 1,500,000 financing warrants issued to the lenders party to Presto’s Credit Agreement. Each public warrant is exercisable for a half of share of our Common Stock, and each private placement and financing warrant is exercisable for one share of our Common stock, in each case in accordance with the terms of the Warrant Agreement governing the warrants. The public warrants are freely tradable. In addition, we have filed the registration statement of which this prospectus is a part under the Securities Act covering the 16,250,000 shares of our Common stock that may be issued upon exercise of the warrants and resales by the Selling Securityholders of the 6,125,000 and 1,500,000 private placement warrants and financing warrants, respectively, and the shares underlying such private placement warrants, and we are obligated to maintain the effectiveness of such registration statement until the expiration or redemption of the warrants.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Bylaws and Company Support Agreement</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VTAQ, Presto and certain Presto stockholders entered into an amended and restated Presto Stockholder Support Agreement to subject substantially all shares of Presto Common Stock held by Legacy Presto stockholders to an 18-month lockup period. In addition, the Bylaws apply the same corresponding lockup to certain Presto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Sponsors, Presto’s directors and officers and certain affiliates of the Sponsors (together, the “Sponsor Parties”) entered into a Sponsor Support Agreement (the “Sponsor Agreement”) with the Company and Presto, pursuant to which the Sponsor Parties agreed to subject the founder shares they acquired prior to the Company’s initial public offering and any privately placed warrants acquired prior to the Company initial public offering to lock-up restrictions. During the period beginning on the Closing Date and ending on the date that is 18 months after the Closing Date, the Sponsor Parties may not transfer any of its, his or her founder shares or private placement warrants, in each case, except for certain limited permitted transfers.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Sponsors also agreed to subject a total of 444,500 of their founders shares to vesting and forfeiture provisions as set forth in the Sponsor Support Agreement (such shares, the “Sponsors’ Contingent Consideration”). Pursuant to the Sponsor Support Agreement, at the Closing, (i) the first 25% of the Sponsors’ Contingent Consideration shall vest at such time as a $12.00 Stock Price Level (as defined below) is achieved on or before the date that is five years after the Closing Date, (ii) the next 25% of the Sponsors’ Contingent Consideration owned by the Sponsors shall vest at such time as a $15.00 Stock Price Level (as defined below) is achieved on or before the date that is five years after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Closing Date, (iii) the next 25% of the Sponsors’ Contingent Consideration owned by the Sponsors shall vest at such time as a $20.00 Stock Price Level (as defined below) is achieved on or before the date that is five years after the Closing Date and (iv) the remaining 25% of the Sponsors’ Contingent Consideration owned by the Sponsors’ shall vest at such time as a $25.00 Stock Price Level (as defined below) is achieved on or before the date that is five years after the Closing Date. For the avoidance of doubt, if the applicable Stock Price Level is not achieved on or prior to the date that is five years after the Closing Date, the applicable Sponsors’ Contingent Consideration shall not vest and shall be automatically forfeited and cancelled for no consideration.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Pursuant to the Subscription Agreements, the PIPE investors are contractually restricted from selling or transferring the PIPE Shares for a period of 18 months following the Closing (subject to certain exceptions contained therein).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This prospectus relates to from time to time the resale of (a) an aggregate of 46,949,333 shares of common stock of the Company and (b) 6,125,000 private placement warrants and 1,500,000 financing warrants to purchase shares of common stock by certain of the Selling Securityholders named in this prospectus.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w:t>
      </w:r>
    </w:p>
    <w:p>
      <w:pPr>
        <w:spacing w:after="0" w:line="158"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w:t>
      </w:r>
    </w:p>
    <w:p>
      <w:pPr>
        <w:spacing w:after="0" w:line="10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108" w:lineRule="exact"/>
        <w:rPr>
          <w:sz w:val="20"/>
          <w:szCs w:val="20"/>
          <w:color w:val="auto"/>
        </w:rPr>
      </w:pPr>
    </w:p>
    <w:p>
      <w:pPr>
        <w:ind w:left="1320" w:right="45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To the extent required, the shares of common stock to be sold to PIPE Investors (the “PIPE Shares”),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PIPE Shares, the Selling Securityholders may enter into hedging transactions with broker-dealers or other financial institutions, which may in turn engage in short sales of the PIPE Shares in the course of hedging the positions they assume. The Selling Securityholders may also sell the PIPE shares short and deliver these securities to close out their short positions, or loan or pledge the PIPE Shares to broker-dealers that in turn may sell these shares.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White &amp; Case LLP, New York, New York has passed upon the validity of the common stock and warrants offered by this prospectus and certain other legal matters related to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E La Carte, Inc. (dba Presto) as of June 30, 2022 and 2021, and for the years then ended, included in this prospectus have been audited by Moss Adams LLP, an independent registered public accounting firm, as stated in their report (which report expresses an unqualified opinion and includes explanatory paragraphs relating to a going concern uncertainty). Such consolidated financial statements have been so included in reliance upon the report of such firm given upon their authority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Those filings are also available to the public on, or accessible through, our website under the heading “Investors” at </w:t>
      </w:r>
      <w:r>
        <w:rPr>
          <w:rFonts w:ascii="Times New Roman" w:cs="Times New Roman" w:eastAsia="Times New Roman" w:hAnsi="Times New Roman"/>
          <w:sz w:val="18"/>
          <w:szCs w:val="18"/>
          <w:i w:val="1"/>
          <w:iCs w:val="1"/>
          <w:color w:val="auto"/>
        </w:rPr>
        <w:t>www.presto.com</w:t>
      </w:r>
      <w:r>
        <w:rPr>
          <w:rFonts w:ascii="Times New Roman" w:cs="Times New Roman" w:eastAsia="Times New Roman" w:hAnsi="Times New Roman"/>
          <w:sz w:val="18"/>
          <w:szCs w:val="18"/>
          <w:color w:val="auto"/>
        </w:rPr>
        <w:t>. The information on our web site, however, is not, and should not be deemed to be, a part of this prospectus.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 (dba PRESTO)</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183"/>
        </w:trPr>
        <w:tc>
          <w:tcPr>
            <w:tcW w:w="7080" w:type="dxa"/>
            <w:vAlign w:val="bottom"/>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F-2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02"/>
        </w:trPr>
        <w:tc>
          <w:tcPr>
            <w:tcW w:w="708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EE"/>
              </w:rPr>
              <w:t>Consolidated Balance Sheets as of June 30, 2022 and 2021</w:t>
            </w:r>
          </w:p>
        </w:tc>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F-3</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5"/>
        </w:trPr>
        <w:tc>
          <w:tcPr>
            <w:tcW w:w="70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fiscal years ended</w:t>
            </w:r>
          </w:p>
        </w:tc>
        <w:tc>
          <w:tcPr>
            <w:tcW w:w="10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34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June 30, 2022 and 2021</w:t>
            </w:r>
          </w:p>
        </w:tc>
        <w:tc>
          <w:tcPr>
            <w:tcW w:w="560" w:type="dxa"/>
            <w:vAlign w:val="bottom"/>
            <w:tcBorders>
              <w:top w:val="single" w:sz="8" w:color="CCEEFF"/>
            </w:tcBorders>
            <w:gridSpan w:val="2"/>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5"/>
        </w:trPr>
        <w:tc>
          <w:tcPr>
            <w:tcW w:w="70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 for the fiscal years ended June 30, 2022 and</w:t>
            </w:r>
          </w:p>
        </w:tc>
        <w:tc>
          <w:tcPr>
            <w:tcW w:w="1020" w:type="dxa"/>
            <w:vAlign w:val="bottom"/>
          </w:tcPr>
          <w:p>
            <w:pPr>
              <w:spacing w:after="0"/>
              <w:rPr>
                <w:sz w:val="15"/>
                <w:szCs w:val="15"/>
                <w:color w:val="auto"/>
              </w:rPr>
            </w:pPr>
          </w:p>
        </w:tc>
      </w:tr>
      <w:tr>
        <w:trPr>
          <w:trHeight w:val="196"/>
        </w:trPr>
        <w:tc>
          <w:tcPr>
            <w:tcW w:w="188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2021</w:t>
            </w:r>
          </w:p>
        </w:tc>
        <w:tc>
          <w:tcPr>
            <w:tcW w:w="12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Statements of Cash Flows for the fiscal years ended June 30, 2022 and 2021</w:t>
            </w:r>
          </w:p>
        </w:tc>
        <w:tc>
          <w:tcPr>
            <w:tcW w:w="10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03"/>
        </w:trPr>
        <w:tc>
          <w:tcPr>
            <w:tcW w:w="708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F-7 – F-49</w:t>
            </w:r>
          </w:p>
        </w:tc>
      </w:tr>
      <w:tr>
        <w:trPr>
          <w:trHeight w:val="453"/>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394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8"/>
                <w:szCs w:val="18"/>
                <w:color w:val="auto"/>
              </w:rPr>
              <w:t>F-1</w:t>
            </w: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 La Carte, Inc. (dba Presto)</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 La Carte, Inc. (dba Presto) (the “Company”) as of June 30, 2022 and 2021, the related consolidated statements of operations and comprehensive loss, stockholders’ deficit, and cash flows for the years then ended, and the related notes (collectively referred to as the “consolidated financial statements”). In our opinion, the consolidated financial statements present fairly, in all material respects, the consolidated financial position of the Company as of June 30, 2022 and 2021, and the consolidated results of its operations and its cash flows for the years then ended,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 Uncertainty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September 27, 2022</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3,017</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36,909</w:t>
            </w: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$353 and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$902 as of June 30, 2022 and 2021, respectively</w:t>
            </w: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costs, current</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8,443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11,264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2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 net of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10,670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3,925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spacing w:after="0"/>
              <w:rPr>
                <w:sz w:val="22"/>
                <w:szCs w:val="22"/>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30,536</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70,259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5,916</w:t>
            </w:r>
          </w:p>
        </w:tc>
        <w:tc>
          <w:tcPr>
            <w:tcW w:w="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6,037</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7,256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obligations, current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15,763</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loans, current</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25,443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promissory notes and embedded warrants, current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89,663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9,854</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PPP loan, current</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10,532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13,980</w:t>
            </w:r>
          </w:p>
        </w:tc>
        <w:tc>
          <w:tcPr>
            <w:tcW w:w="0" w:type="dxa"/>
            <w:vAlign w:val="bottom"/>
          </w:tcPr>
          <w:p>
            <w:pPr>
              <w:spacing w:after="0"/>
              <w:rPr>
                <w:sz w:val="1"/>
                <w:szCs w:val="1"/>
                <w:color w:val="auto"/>
              </w:rPr>
            </w:pPr>
          </w:p>
        </w:tc>
      </w:tr>
      <w:tr>
        <w:trPr>
          <w:trHeight w:val="22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 net of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14,011</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Financing obligations, net of current portion</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 and embedded warrants, net of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52,727</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PPP loan, net of current portion</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11,643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152,995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140,278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(Refer to Note 8)</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$0.001 par value–30,752,578 shares authorized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June 30, 2022 and June 30, 2021; 28,343,420 shares issued and</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June 30 2022 and June 30, 2021 (liquidation preference</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$46,908 as of June 30, 2022 and June 30, 2021)</w:t>
            </w: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value–52,665,368 and 50,839,368 shares</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and 6,196,257 and 5,132,354 shares issued and outstanding</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of June 30, 2022 and June 30, 2021, respectively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74,417</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(200,783)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(144,469)</w:t>
            </w:r>
          </w:p>
        </w:tc>
        <w:tc>
          <w:tcPr>
            <w:tcW w:w="0" w:type="dxa"/>
            <w:vAlign w:val="bottom"/>
          </w:tcPr>
          <w:p>
            <w:pPr>
              <w:spacing w:after="0"/>
              <w:rPr>
                <w:sz w:val="1"/>
                <w:szCs w:val="1"/>
                <w:color w:val="auto"/>
              </w:rPr>
            </w:pPr>
          </w:p>
        </w:tc>
      </w:tr>
      <w:tr>
        <w:trPr>
          <w:trHeight w:val="23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(122,459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(70,019</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30,536</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70,259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6"/>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Years Ended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Platform</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20,053</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19,074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Transaction</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10,838</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Platform</w:t>
            </w: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18,687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14,813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Transaction</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8,497</w:t>
            </w:r>
          </w:p>
        </w:tc>
        <w:tc>
          <w:tcPr>
            <w:tcW w:w="0" w:type="dxa"/>
            <w:vAlign w:val="bottom"/>
          </w:tcPr>
          <w:p>
            <w:pPr>
              <w:spacing w:after="0"/>
              <w:rPr>
                <w:sz w:val="1"/>
                <w:szCs w:val="1"/>
                <w:color w:val="auto"/>
              </w:rPr>
            </w:pPr>
          </w:p>
        </w:tc>
      </w:tr>
      <w:tr>
        <w:trPr>
          <w:trHeight w:val="257"/>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20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5,554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29,718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28,864</w:t>
            </w:r>
          </w:p>
        </w:tc>
        <w:tc>
          <w:tcPr>
            <w:tcW w:w="0" w:type="dxa"/>
            <w:vAlign w:val="bottom"/>
          </w:tcPr>
          <w:p>
            <w:pPr>
              <w:spacing w:after="0"/>
              <w:rPr>
                <w:sz w:val="1"/>
                <w:szCs w:val="1"/>
                <w:color w:val="auto"/>
              </w:rPr>
            </w:pPr>
          </w:p>
        </w:tc>
      </w:tr>
      <w:tr>
        <w:trPr>
          <w:trHeight w:val="228"/>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16,778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14,985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infrequent product repairs</w:t>
            </w:r>
          </w:p>
        </w:tc>
        <w:tc>
          <w:tcPr>
            <w:tcW w:w="20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33,847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25,566</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(20,528)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(19,996)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3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tcPr>
          <w:p>
            <w:pPr>
              <w:spacing w:after="0"/>
              <w:rPr>
                <w:sz w:val="22"/>
                <w:szCs w:val="22"/>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(56,314</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(49,802</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4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60" w:type="dxa"/>
            <w:vAlign w:val="bottom"/>
            <w:tcBorders>
              <w:bottom w:val="single" w:sz="8" w:color="CCEEF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5,325,122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5,074,018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15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58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580" w:type="dxa"/>
            <w:vAlign w:val="bottom"/>
            <w:gridSpan w:val="4"/>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58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3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2320" w:type="dxa"/>
            <w:vAlign w:val="bottom"/>
          </w:tcPr>
          <w:p>
            <w:pPr>
              <w:spacing w:after="0"/>
              <w:rPr>
                <w:sz w:val="5"/>
                <w:szCs w:val="5"/>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7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3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2020,</w:t>
            </w:r>
          </w:p>
        </w:tc>
        <w:tc>
          <w:tcPr>
            <w:tcW w:w="8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28,343,420</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8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5,034,446</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73,654</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(94,667)</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(20,980)</w:t>
            </w:r>
          </w:p>
        </w:tc>
        <w:tc>
          <w:tcPr>
            <w:tcW w:w="0" w:type="dxa"/>
            <w:vAlign w:val="bottom"/>
          </w:tcPr>
          <w:p>
            <w:pPr>
              <w:spacing w:after="0"/>
              <w:rPr>
                <w:sz w:val="1"/>
                <w:szCs w:val="1"/>
                <w:color w:val="auto"/>
              </w:rPr>
            </w:pPr>
          </w:p>
        </w:tc>
      </w:tr>
      <w:tr>
        <w:trPr>
          <w:trHeight w:val="126"/>
        </w:trPr>
        <w:tc>
          <w:tcPr>
            <w:tcW w:w="23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97,908</w:t>
            </w:r>
          </w:p>
        </w:tc>
        <w:tc>
          <w:tcPr>
            <w:tcW w:w="80" w:type="dxa"/>
            <w:vAlign w:val="bottom"/>
          </w:tcPr>
          <w:p>
            <w:pPr>
              <w:spacing w:after="0"/>
              <w:rPr>
                <w:sz w:val="10"/>
                <w:szCs w:val="10"/>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0"/>
                <w:szCs w:val="10"/>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8"/>
        </w:trPr>
        <w:tc>
          <w:tcPr>
            <w:tcW w:w="2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750</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78"/>
        </w:trPr>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(49,802)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(49,802)</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2021</w:t>
            </w:r>
          </w:p>
        </w:tc>
        <w:tc>
          <w:tcPr>
            <w:tcW w:w="8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28,343,420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8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5,132,354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74,417</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(144,469)</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(70,019)</w:t>
            </w:r>
          </w:p>
        </w:tc>
        <w:tc>
          <w:tcPr>
            <w:tcW w:w="0" w:type="dxa"/>
            <w:vAlign w:val="bottom"/>
          </w:tcPr>
          <w:p>
            <w:pPr>
              <w:spacing w:after="0"/>
              <w:rPr>
                <w:sz w:val="1"/>
                <w:szCs w:val="1"/>
                <w:color w:val="auto"/>
              </w:rPr>
            </w:pPr>
          </w:p>
        </w:tc>
      </w:tr>
      <w:tr>
        <w:trPr>
          <w:trHeight w:val="126"/>
        </w:trPr>
        <w:tc>
          <w:tcPr>
            <w:tcW w:w="23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320,913</w:t>
            </w:r>
          </w:p>
        </w:tc>
        <w:tc>
          <w:tcPr>
            <w:tcW w:w="80" w:type="dxa"/>
            <w:vAlign w:val="bottom"/>
          </w:tcPr>
          <w:p>
            <w:pPr>
              <w:spacing w:after="0"/>
              <w:rPr>
                <w:sz w:val="10"/>
                <w:szCs w:val="10"/>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0"/>
                <w:szCs w:val="10"/>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88"/>
        </w:trPr>
        <w:tc>
          <w:tcPr>
            <w:tcW w:w="2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1,947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1,947</w:t>
            </w:r>
          </w:p>
        </w:tc>
        <w:tc>
          <w:tcPr>
            <w:tcW w:w="0" w:type="dxa"/>
            <w:vAlign w:val="bottom"/>
          </w:tcPr>
          <w:p>
            <w:pPr>
              <w:spacing w:after="0"/>
              <w:rPr>
                <w:sz w:val="1"/>
                <w:szCs w:val="1"/>
                <w:color w:val="auto"/>
              </w:rPr>
            </w:pPr>
          </w:p>
        </w:tc>
      </w:tr>
      <w:tr>
        <w:trPr>
          <w:trHeight w:val="126"/>
        </w:trPr>
        <w:tc>
          <w:tcPr>
            <w:tcW w:w="232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Fair value of newly issued non-</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voting common stock warrants</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712</w:t>
            </w:r>
          </w:p>
        </w:tc>
        <w:tc>
          <w:tcPr>
            <w:tcW w:w="120" w:type="dxa"/>
            <w:vAlign w:val="bottom"/>
          </w:tcPr>
          <w:p>
            <w:pPr>
              <w:spacing w:after="0"/>
              <w:rPr>
                <w:sz w:val="12"/>
                <w:szCs w:val="12"/>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88"/>
        </w:trPr>
        <w:tc>
          <w:tcPr>
            <w:tcW w:w="2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(refer to Note 2)</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32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8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CyborgOps acquisition (refer</w:t>
            </w:r>
          </w:p>
        </w:tc>
        <w:tc>
          <w:tcPr>
            <w:tcW w:w="8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742,990</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1,104</w:t>
            </w:r>
          </w:p>
        </w:tc>
        <w:tc>
          <w:tcPr>
            <w:tcW w:w="12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1,104</w:t>
            </w:r>
          </w:p>
        </w:tc>
        <w:tc>
          <w:tcPr>
            <w:tcW w:w="0" w:type="dxa"/>
            <w:vAlign w:val="bottom"/>
          </w:tcPr>
          <w:p>
            <w:pPr>
              <w:spacing w:after="0"/>
              <w:rPr>
                <w:sz w:val="1"/>
                <w:szCs w:val="1"/>
                <w:color w:val="auto"/>
              </w:rPr>
            </w:pPr>
          </w:p>
        </w:tc>
      </w:tr>
      <w:tr>
        <w:trPr>
          <w:trHeight w:val="192"/>
        </w:trPr>
        <w:tc>
          <w:tcPr>
            <w:tcW w:w="2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 Note 15)</w:t>
            </w:r>
          </w:p>
        </w:tc>
        <w:tc>
          <w:tcPr>
            <w:tcW w:w="80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right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(56,314)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(56,314)</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2022</w:t>
            </w: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28,343,420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8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6,196,257</w:t>
            </w:r>
          </w:p>
        </w:tc>
        <w:tc>
          <w:tcPr>
            <w:tcW w:w="8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78,290</w:t>
            </w:r>
          </w:p>
        </w:tc>
        <w:tc>
          <w:tcPr>
            <w:tcW w:w="1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(200,783)</w:t>
            </w:r>
          </w:p>
        </w:tc>
        <w:tc>
          <w:tcPr>
            <w:tcW w:w="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(122,459)</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5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2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(56,314)</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(49,802)</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impairment</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5,872</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26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liability classified warrants</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warrants and convertible promissory notes</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18,932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18,915</w:t>
            </w:r>
          </w:p>
        </w:tc>
        <w:tc>
          <w:tcPr>
            <w:tcW w:w="0" w:type="dxa"/>
            <w:vAlign w:val="bottom"/>
          </w:tcPr>
          <w:p>
            <w:pPr>
              <w:spacing w:after="0"/>
              <w:rPr>
                <w:sz w:val="1"/>
                <w:szCs w:val="1"/>
                <w:color w:val="auto"/>
              </w:rPr>
            </w:pPr>
          </w:p>
        </w:tc>
      </w:tr>
      <w:tr>
        <w:trPr>
          <w:trHeight w:val="26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taxes</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Paid-in-kind interest expense</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Forgiveness of PPP loan</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260"/>
        </w:trPr>
        <w:tc>
          <w:tcPr>
            <w:tcW w:w="5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2,451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costs</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11,361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8,082</w:t>
            </w:r>
          </w:p>
        </w:tc>
        <w:tc>
          <w:tcPr>
            <w:tcW w:w="0" w:type="dxa"/>
            <w:vAlign w:val="bottom"/>
          </w:tcPr>
          <w:p>
            <w:pPr>
              <w:spacing w:after="0"/>
              <w:rPr>
                <w:sz w:val="1"/>
                <w:szCs w:val="1"/>
                <w:color w:val="auto"/>
              </w:rPr>
            </w:pPr>
          </w:p>
        </w:tc>
      </w:tr>
      <w:tr>
        <w:trPr>
          <w:trHeight w:val="260"/>
        </w:trPr>
        <w:tc>
          <w:tcPr>
            <w:tcW w:w="5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1,073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60"/>
        </w:trPr>
        <w:tc>
          <w:tcPr>
            <w:tcW w:w="5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(3,322)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Vendor financing facility</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60"/>
        </w:trPr>
        <w:tc>
          <w:tcPr>
            <w:tcW w:w="5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2,192</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(14,854)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(12,391)</w:t>
            </w:r>
          </w:p>
        </w:tc>
        <w:tc>
          <w:tcPr>
            <w:tcW w:w="0" w:type="dxa"/>
            <w:vAlign w:val="bottom"/>
          </w:tcPr>
          <w:p>
            <w:pPr>
              <w:spacing w:after="0"/>
              <w:rPr>
                <w:sz w:val="1"/>
                <w:szCs w:val="1"/>
                <w:color w:val="auto"/>
              </w:rPr>
            </w:pPr>
          </w:p>
        </w:tc>
      </w:tr>
      <w:tr>
        <w:trPr>
          <w:trHeight w:val="278"/>
        </w:trPr>
        <w:tc>
          <w:tcPr>
            <w:tcW w:w="5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vMerge w:val="continue"/>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(47,299)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(23,772)</w:t>
            </w:r>
          </w:p>
        </w:tc>
        <w:tc>
          <w:tcPr>
            <w:tcW w:w="0" w:type="dxa"/>
            <w:vAlign w:val="bottom"/>
          </w:tcPr>
          <w:p>
            <w:pPr>
              <w:spacing w:after="0"/>
              <w:rPr>
                <w:sz w:val="1"/>
                <w:szCs w:val="1"/>
                <w:color w:val="auto"/>
              </w:rPr>
            </w:pPr>
          </w:p>
        </w:tc>
      </w:tr>
      <w:tr>
        <w:trPr>
          <w:trHeight w:val="282"/>
        </w:trPr>
        <w:tc>
          <w:tcPr>
            <w:tcW w:w="5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relating to capitalized software</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279"/>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of CyborgOps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240" w:type="dxa"/>
            <w:vAlign w:val="bottom"/>
            <w:vMerge w:val="continue"/>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(2,213)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253"/>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4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exercise of common stock options</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6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term loans</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(6,195)</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convertible promissory notes and embedded warrants</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43,666</w:t>
            </w:r>
          </w:p>
        </w:tc>
        <w:tc>
          <w:tcPr>
            <w:tcW w:w="0" w:type="dxa"/>
            <w:vAlign w:val="bottom"/>
          </w:tcPr>
          <w:p>
            <w:pPr>
              <w:spacing w:after="0"/>
              <w:rPr>
                <w:sz w:val="1"/>
                <w:szCs w:val="1"/>
                <w:color w:val="auto"/>
              </w:rPr>
            </w:pPr>
          </w:p>
        </w:tc>
      </w:tr>
      <w:tr>
        <w:trPr>
          <w:trHeight w:val="26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payments of financing obligations</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(2,389)</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(1,225)</w:t>
            </w:r>
          </w:p>
        </w:tc>
        <w:tc>
          <w:tcPr>
            <w:tcW w:w="0" w:type="dxa"/>
            <w:vAlign w:val="bottom"/>
          </w:tcPr>
          <w:p>
            <w:pPr>
              <w:spacing w:after="0"/>
              <w:rPr>
                <w:sz w:val="1"/>
                <w:szCs w:val="1"/>
                <w:color w:val="auto"/>
              </w:rPr>
            </w:pPr>
          </w:p>
        </w:tc>
      </w:tr>
      <w:tr>
        <w:trPr>
          <w:trHeight w:val="26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term loans</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12,600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PPP loans</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60"/>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financing obligations</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6,170</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deferred transaction costs</w:t>
            </w:r>
          </w:p>
        </w:tc>
        <w:tc>
          <w:tcPr>
            <w:tcW w:w="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24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15,620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57,040</w:t>
            </w:r>
          </w:p>
        </w:tc>
        <w:tc>
          <w:tcPr>
            <w:tcW w:w="0" w:type="dxa"/>
            <w:vAlign w:val="bottom"/>
          </w:tcPr>
          <w:p>
            <w:pPr>
              <w:spacing w:after="0"/>
              <w:rPr>
                <w:sz w:val="1"/>
                <w:szCs w:val="1"/>
                <w:color w:val="auto"/>
              </w:rPr>
            </w:pPr>
          </w:p>
        </w:tc>
      </w:tr>
      <w:tr>
        <w:trPr>
          <w:trHeight w:val="282"/>
        </w:trPr>
        <w:tc>
          <w:tcPr>
            <w:tcW w:w="524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900" w:orient="portrait"/>
          <w:cols w:equalWidth="0" w:num="1">
            <w:col w:w="9019"/>
          </w:cols>
          <w:pgMar w:left="1440" w:top="270" w:right="1440" w:bottom="0" w:gutter="0" w:footer="0" w:header="0"/>
        </w:sectPr>
      </w:pPr>
    </w:p>
    <w:p>
      <w:pPr>
        <w:ind w:left="46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32385</wp:posOffset>
            </wp:positionV>
            <wp:extent cx="5143500" cy="17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32385</wp:posOffset>
            </wp:positionV>
            <wp:extent cx="5143500" cy="196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(33,892)</w:t>
            </w:r>
          </w:p>
        </w:tc>
        <w:tc>
          <w:tcPr>
            <w:tcW w:w="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32,722</w:t>
            </w:r>
          </w:p>
        </w:tc>
      </w:tr>
      <w:tr>
        <w:trPr>
          <w:trHeight w:val="302"/>
        </w:trPr>
        <w:tc>
          <w:tcPr>
            <w:tcW w:w="3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36,909</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4,187</w:t>
            </w:r>
          </w:p>
        </w:tc>
      </w:tr>
      <w:tr>
        <w:trPr>
          <w:trHeight w:val="20"/>
        </w:trPr>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55"/>
        </w:trPr>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3,017</w:t>
            </w:r>
          </w:p>
        </w:tc>
        <w:tc>
          <w:tcPr>
            <w:tcW w:w="36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36,909</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900" w:orient="portrait"/>
          <w:cols w:equalWidth="0" w:num="2">
            <w:col w:w="5420" w:space="720"/>
            <w:col w:w="2879"/>
          </w:cols>
          <w:pgMar w:left="1440" w:top="270" w:right="1440" w:bottom="0" w:gutter="0" w:footer="0" w:header="0"/>
          <w:type w:val="continuous"/>
        </w:sectPr>
      </w:pP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2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36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4"/>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42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520" w:type="dxa"/>
            <w:vAlign w:val="bottom"/>
            <w:tcBorders>
              <w:bottom w:val="single" w:sz="8" w:color="CCEEFF"/>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24</w:t>
            </w:r>
          </w:p>
        </w:tc>
      </w:tr>
      <w:tr>
        <w:trPr>
          <w:trHeight w:val="260"/>
        </w:trPr>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24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3,854</w:t>
            </w:r>
          </w:p>
        </w:tc>
        <w:tc>
          <w:tcPr>
            <w:tcW w:w="5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4,664</w:t>
            </w:r>
          </w:p>
        </w:tc>
      </w:tr>
      <w:tr>
        <w:trPr>
          <w:trHeight w:val="24"/>
        </w:trPr>
        <w:tc>
          <w:tcPr>
            <w:tcW w:w="36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04"/>
        </w:trPr>
        <w:tc>
          <w:tcPr>
            <w:tcW w:w="3620" w:type="dxa"/>
            <w:vAlign w:val="bottom"/>
            <w:shd w:val="clear" w:color="auto" w:fill="CCEEFF"/>
          </w:tcPr>
          <w:p>
            <w:pPr>
              <w:spacing w:after="0"/>
              <w:rPr>
                <w:sz w:val="9"/>
                <w:szCs w:val="9"/>
                <w:color w:val="auto"/>
              </w:rPr>
            </w:pPr>
          </w:p>
        </w:tc>
        <w:tc>
          <w:tcPr>
            <w:tcW w:w="24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r>
    </w:tbl>
    <w:p>
      <w:pPr>
        <w:sectPr>
          <w:pgSz w:w="11900" w:h="16900" w:orient="portrait"/>
          <w:cols w:equalWidth="0" w:num="1">
            <w:col w:w="9019"/>
          </w:cols>
          <w:pgMar w:left="1440" w:top="270" w:right="1440" w:bottom="0" w:gutter="0" w:footer="0" w:header="0"/>
          <w:type w:val="continuous"/>
        </w:sectPr>
      </w:pPr>
    </w:p>
    <w:bookmarkStart w:id="143" w:name="page144"/>
    <w:bookmarkEnd w:id="1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88900</wp:posOffset>
            </wp:positionV>
            <wp:extent cx="514350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90"/>
        </w:trPr>
        <w:tc>
          <w:tcPr>
            <w:tcW w:w="5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Cancellation of June 2021 Note and related accrued interest, with issuance of February 2022</w:t>
            </w:r>
          </w:p>
        </w:tc>
        <w:tc>
          <w:tcPr>
            <w:tcW w:w="50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20,663</w:t>
            </w:r>
          </w:p>
        </w:tc>
        <w:tc>
          <w:tcPr>
            <w:tcW w:w="560" w:type="dxa"/>
            <w:vAlign w:val="bottom"/>
            <w:vMerge w:val="restart"/>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w:t>
            </w: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560" w:type="dxa"/>
            <w:vAlign w:val="bottom"/>
            <w:tcBorders>
              <w:bottom w:val="single" w:sz="8" w:color="CCEEFF"/>
            </w:tcBorders>
            <w:vMerge w:val="continue"/>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warrants</w:t>
            </w:r>
          </w:p>
        </w:tc>
        <w:tc>
          <w:tcPr>
            <w:tcW w:w="5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1,831</w:t>
            </w:r>
          </w:p>
        </w:tc>
        <w:tc>
          <w:tcPr>
            <w:tcW w:w="56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Forgiveness of PPP loan</w:t>
            </w: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(2,599)</w:t>
            </w:r>
          </w:p>
        </w:tc>
        <w:tc>
          <w:tcPr>
            <w:tcW w:w="5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 in CyborgOps acquisition</w:t>
            </w:r>
          </w:p>
        </w:tc>
        <w:tc>
          <w:tcPr>
            <w:tcW w:w="5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1,104</w:t>
            </w:r>
          </w:p>
        </w:tc>
        <w:tc>
          <w:tcPr>
            <w:tcW w:w="56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consideration – CyborgOps acquisition</w:t>
            </w: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950</w:t>
            </w:r>
          </w:p>
        </w:tc>
        <w:tc>
          <w:tcPr>
            <w:tcW w:w="5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Deferred transaction costs recorded in accounts payable and accrued liabilities</w:t>
            </w:r>
          </w:p>
        </w:tc>
        <w:tc>
          <w:tcPr>
            <w:tcW w:w="5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4,188</w:t>
            </w:r>
          </w:p>
        </w:tc>
        <w:tc>
          <w:tcPr>
            <w:tcW w:w="560" w:type="dxa"/>
            <w:vAlign w:val="bottom"/>
          </w:tcPr>
          <w:p>
            <w:pPr>
              <w:spacing w:after="0"/>
              <w:rPr>
                <w:sz w:val="22"/>
                <w:szCs w:val="22"/>
                <w:color w:val="auto"/>
              </w:rPr>
            </w:pPr>
          </w:p>
        </w:tc>
        <w:tc>
          <w:tcPr>
            <w:tcW w:w="7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3"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Summary of Business and Significant Accounting Policies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 la Carte, Inc.(formerly, KHR Technologies, Inc.) was incorporated in the State of Delaware in October 2008. In 2018, E la Carte, Inc. together with its subsidiary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adopted “Presto” as its trade name or doing business as (“</w:t>
      </w:r>
      <w:r>
        <w:rPr>
          <w:rFonts w:ascii="Times New Roman" w:cs="Times New Roman" w:eastAsia="Times New Roman" w:hAnsi="Times New Roman"/>
          <w:sz w:val="18"/>
          <w:szCs w:val="18"/>
          <w:b w:val="1"/>
          <w:bCs w:val="1"/>
          <w:color w:val="auto"/>
        </w:rPr>
        <w:t>dba</w:t>
      </w:r>
      <w:r>
        <w:rPr>
          <w:rFonts w:ascii="Times New Roman" w:cs="Times New Roman" w:eastAsia="Times New Roman" w:hAnsi="Times New Roman"/>
          <w:sz w:val="18"/>
          <w:szCs w:val="18"/>
          <w:color w:val="auto"/>
        </w:rPr>
        <w:t>”) name. In February 2019, the Company formed Presto Technology, Inc. as a wholly owned subsidiary located in Ontario, Canada. The Company is headquartered in Redwood City, California.</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is the developer of the Presto Smart Dining system (“Presto Touch”), which offers operations efficiency, guest self-service and marketing benefits for casual dining operators. The solution includes a portfolio of tabletop, handheld and wearable devices supported by a suite of powerful, cloud-based services to enable guest ordering, payment and surveys as well as cloud-based operations metrics, security and support monitoring in real time. The Company’s voice products (“Presto Voice”) use speech recognition technology in the customer order process and connects Presto’s cloud-based solution with restaurant point of sale (“POS”) systems to maximize efficiency and minimize costs by automatically transmitting orders to the restaurant’s POS system. The Company’s vision product consists of a platform-based artificial intelligence powered computer vision software application that delivers unique and real-time insights to operators (“Presto Vision”). The Presto solution improves operations efficiency and serves as the restaurant operating system, connecting front of house and back of house operations across dine-in, takeout, and delivery channels, with access to data that was previously inaccessible, allowing restaurant operators to make the smart decisions required to thrive in the highly competitive casual dining market.</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June 30. References to fiscal 2022, for example, refer to the fiscal year ended June 30, 2022.</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and the rules and regulations of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as the source of authoritative U.S. GAAP.</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November 10, 2021, Ventoux CCM Acquisition Corp. (“Ventoux”) and its subsidiaries, and E La Carte, Inc. (“Presto”) entered into an Agreement and Plan of Merger, as amended on April 1, 2022 and July 25, 2022 (the “Merger Agreement”), which, among other transactions, was consummated on September 21, 2022. Refer to Note 18 for further details.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are not aware of any specific events or circumstances that required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on the restaurant industry.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was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Over the course of fiscal 2022 and 2021,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Times New Roman" w:cs="Times New Roman" w:eastAsia="Times New Roman" w:hAnsi="Times New Roman"/>
          <w:sz w:val="18"/>
          <w:szCs w:val="18"/>
          <w:b w:val="1"/>
          <w:bCs w:val="1"/>
          <w:color w:val="auto"/>
        </w:rPr>
        <w:t>PPP</w:t>
      </w:r>
      <w:r>
        <w:rPr>
          <w:rFonts w:ascii="Times New Roman" w:cs="Times New Roman" w:eastAsia="Times New Roman" w:hAnsi="Times New Roman"/>
          <w:sz w:val="18"/>
          <w:szCs w:val="18"/>
          <w:color w:val="auto"/>
        </w:rPr>
        <w:t>”), to assist with the economic hardships caused by the pandemic. In March 2021, the Company received a second loan of approximately $2,000 under the PPP. In August 2021, the Company was granted forgiveness of the first loan of approximately $2,599. Refer to Note 7 for further details.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fiscal years 2022 and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has incurred $582 and $3,342 of loss on infrequent customer repairs related to this issue, which is presented as a separate line item on the Company’s consolidated statement of operations and comprehensive loss. The Company has claimed to recover the costs from its third-party subcontractor who manufactures the hardware, for which the Company received a favorable arbitrator ruling. Refer to Note 8 for further details.</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 and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liquidity, or results of operations remains highly uncertain.</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and 2021, the Company’s principal sources of liquidity were cash and cash equivalents of $3,017 and $36,909, respectively, which were held for working capital purposes.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Since inception, the Company has financed its operations primarily through financing transactions such as the issuance of convertible promissory notes and loans, and sales of convertible preferred stock. The Company has incurred recurring losses since its inception, including net losses of $56,314 and $49,802 for the years ended June 30, 2022 and 2021, respectively. As of June 30, 2022 and 2021, respectively, the Company had an accumulated deficit of $200,783 and $144,469 and the Company expects to generate operating losses for the near term. Cash from operations could also be affected by various risks and uncertainties, including, but not limited to, the effects of the COVID-19 pandemic, including timing of cash collections from customers. Additional capital infusion is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may, in the future, enter into arrangements to acquire or invest in complementary businesses, services, and technologies, including intellectual property rights. As of the date of this report, the Company has completed a deSPAC transaction (“</w:t>
      </w:r>
      <w:r>
        <w:rPr>
          <w:rFonts w:ascii="Times New Roman" w:cs="Times New Roman" w:eastAsia="Times New Roman" w:hAnsi="Times New Roman"/>
          <w:sz w:val="18"/>
          <w:szCs w:val="18"/>
          <w:b w:val="1"/>
          <w:bCs w:val="1"/>
          <w:color w:val="auto"/>
        </w:rPr>
        <w:t>deSPA</w:t>
      </w:r>
      <w:r>
        <w:rPr>
          <w:rFonts w:ascii="Times New Roman" w:cs="Times New Roman" w:eastAsia="Times New Roman" w:hAnsi="Times New Roman"/>
          <w:sz w:val="18"/>
          <w:szCs w:val="18"/>
          <w:color w:val="auto"/>
        </w:rPr>
        <w:t>C”). Subsequent to the deSPAC transaction, the Company may need to raise additional capital through equity or debt financing.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financial statements have been prepared on a going concern basis, which contemplates the realization of assets and satisfaction of liabilities in the normal course of business.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Risks, Significant Customers and Investments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customers accounted for more than 10% of revenues during the years ended June 30:</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00" w:type="dxa"/>
            <w:vAlign w:val="bottom"/>
          </w:tcPr>
          <w:p>
            <w:pPr>
              <w:spacing w:after="0"/>
              <w:rPr>
                <w:sz w:val="18"/>
                <w:szCs w:val="18"/>
                <w:color w:val="auto"/>
              </w:rPr>
            </w:pPr>
          </w:p>
        </w:tc>
        <w:tc>
          <w:tcPr>
            <w:tcW w:w="416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400" w:type="dxa"/>
            <w:vAlign w:val="bottom"/>
            <w:tcBorders>
              <w:bottom w:val="single" w:sz="8" w:color="CCEEFF"/>
            </w:tcBorders>
          </w:tcPr>
          <w:p>
            <w:pPr>
              <w:spacing w:after="0"/>
              <w:rPr>
                <w:sz w:val="4"/>
                <w:szCs w:val="4"/>
                <w:color w:val="auto"/>
              </w:rPr>
            </w:pPr>
          </w:p>
        </w:tc>
        <w:tc>
          <w:tcPr>
            <w:tcW w:w="31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3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4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
        </w:trPr>
        <w:tc>
          <w:tcPr>
            <w:tcW w:w="2400" w:type="dxa"/>
            <w:vAlign w:val="bottom"/>
          </w:tcPr>
          <w:p>
            <w:pPr>
              <w:spacing w:after="0"/>
              <w:rPr>
                <w:sz w:val="3"/>
                <w:szCs w:val="3"/>
                <w:color w:val="auto"/>
              </w:rPr>
            </w:pPr>
          </w:p>
        </w:tc>
        <w:tc>
          <w:tcPr>
            <w:tcW w:w="3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3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31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400" w:type="dxa"/>
            <w:vAlign w:val="bottom"/>
          </w:tcPr>
          <w:p>
            <w:pPr>
              <w:spacing w:after="0"/>
              <w:rPr>
                <w:sz w:val="19"/>
                <w:szCs w:val="19"/>
                <w:color w:val="auto"/>
              </w:rPr>
            </w:pPr>
          </w:p>
        </w:tc>
        <w:tc>
          <w:tcPr>
            <w:tcW w:w="3160" w:type="dxa"/>
            <w:vAlign w:val="bottom"/>
            <w:vMerge w:val="continue"/>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41"/>
        </w:trPr>
        <w:tc>
          <w:tcPr>
            <w:tcW w:w="24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ind w:left="1520"/>
              <w:spacing w:after="0"/>
              <w:rPr>
                <w:sz w:val="20"/>
                <w:szCs w:val="20"/>
                <w:color w:val="auto"/>
              </w:rPr>
            </w:pPr>
            <w:r>
              <w:rPr>
                <w:rFonts w:ascii="Times New Roman" w:cs="Times New Roman" w:eastAsia="Times New Roman" w:hAnsi="Times New Roman"/>
                <w:sz w:val="18"/>
                <w:szCs w:val="18"/>
                <w:color w:val="auto"/>
              </w:rPr>
              <w:t>F-9</w:t>
            </w: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customers accounted for more than 10% of accounts receivable during the years ended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30:</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41"/>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28"/>
        </w:trPr>
        <w:tc>
          <w:tcPr>
            <w:tcW w:w="5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r>
        <w:trPr>
          <w:trHeight w:val="36"/>
        </w:trPr>
        <w:tc>
          <w:tcPr>
            <w:tcW w:w="55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Customers with a dash accounted for less than 10% of accounts receivable at period end.</w:t>
      </w:r>
    </w:p>
    <w:p>
      <w:pPr>
        <w:spacing w:after="0" w:line="14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is exposed to vendor concentration risk as it supplies tablets from one vendor. The Company’s operating results could be adversely affected should the vendor increase prices or incur disruptions in its tablet supply. As of June 30, 2022 and 2021, the Company had $0 and $6,792, respectively, due to the vendor as part of its vendor financing facility.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income (loss). The Company has no components of other comprehensive loss. Therefore, net loss equals comprehensive loss for all periods presented.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08" w:lineRule="exact"/>
        <w:rPr>
          <w:sz w:val="20"/>
          <w:szCs w:val="20"/>
          <w:color w:val="auto"/>
        </w:rPr>
      </w:pPr>
    </w:p>
    <w:p>
      <w:pPr>
        <w:ind w:left="1320" w:hanging="434"/>
        <w:spacing w:after="0"/>
        <w:tabs>
          <w:tab w:leader="none" w:pos="1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as of the reporting date.</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equivalents, accounts receivable, accounts payable, convertible promissory notes and warrant liabilities. Accounts receivable and accounts payable are stated at their carrying value, which approximates fair value due to the short time to the expected receipt or payment date.</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financial instruments purchased with original maturities of three months or less to be cash equivalents. As of June 30, 2022 and 2021, cash and cash equivalents consists solely of cash held in financial institutions.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Allowance for Doubtful Accounts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2022 and 2021 was $353 and $902, respectively.</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2022 and 2021.</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Intangible assets consist of the Company’s capitalized software costs, developed technology as part of the Company’s acquisition of CyborgOps and domain name rights acquired for “Presto.com”. The Company’s domain name is being amortized on a straight-line basis over 15 years. The capitalized software and developed technology is amortized on a straight-line basis over the estimated useful lives of the software, which is generally 4 years. Software development costs include costs to develop software to be used to meet internal needs and applications used to deliver its services. Refer to Note 15 for further details of the developed technology. The Company accounts for its internal use software in accordance with the guidance in Accounting Standard Codification (“</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xml:space="preserve">”)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The costs incurred in the preliminary stages of development are expensed as incurred. The 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$1,783 and $540, respectively, for the years ended June 30, 2022, and 2021.</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Property and equipment, net, are stated at cost, less accumulated depreciation. Substantially all of the Company’s property and equipment is comprised of tablets which are leased to customers. Property and equipment, net also includes equipment and software for general employee use. Depreciation is recognized using the straight-line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method over the estimated useful lives of the respective assets, which is four years for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For tablets classified as property and equipment, net, the Company has historically entered into equipment financing facilities with financing partners, whereby the Company legally sells the tablets to such financing partners. The Company accounts for these as property and equipment with a corresponding financing obligation, as the Company retains substantially all of the benefits and risks of ownership of the property sold.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2022, and 2021, the Company recorded $579 and $2,965, respectively, in write offs related to the impairment of tablets. Refer to Note 4 for further details.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revenue in accordance with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Revenue is recognized when promised goods or services are transferred to the customer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that reflects the consideration to which the Company expects to be entitled in exchange for those goods or services, net of any taxes collected from customers (e.g., sales and other indirect taxes), which are subsequently remitted to government authorities.</w:t>
      </w:r>
    </w:p>
    <w:p>
      <w:pPr>
        <w:spacing w:after="0" w:line="11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years ended June 30, 2022 and 2021, the Company derived its revenues from two revenue streams: (1) sales and leases of the Presto Touch product (“</w:t>
      </w:r>
      <w:r>
        <w:rPr>
          <w:rFonts w:ascii="Times New Roman" w:cs="Times New Roman" w:eastAsia="Times New Roman" w:hAnsi="Times New Roman"/>
          <w:sz w:val="18"/>
          <w:szCs w:val="18"/>
          <w:b w:val="1"/>
          <w:bCs w:val="1"/>
          <w:color w:val="auto"/>
        </w:rPr>
        <w:t>Platform revenue</w:t>
      </w:r>
      <w:r>
        <w:rPr>
          <w:rFonts w:ascii="Times New Roman" w:cs="Times New Roman" w:eastAsia="Times New Roman" w:hAnsi="Times New Roman"/>
          <w:sz w:val="18"/>
          <w:szCs w:val="18"/>
          <w:color w:val="auto"/>
        </w:rPr>
        <w:t>”), which includes hardware, hardware accessories, software and customer support and maintenance, and (2) Premium Content (gaming) and other revenue, which includes professional services (“</w:t>
      </w:r>
      <w:r>
        <w:rPr>
          <w:rFonts w:ascii="Times New Roman" w:cs="Times New Roman" w:eastAsia="Times New Roman" w:hAnsi="Times New Roman"/>
          <w:sz w:val="18"/>
          <w:szCs w:val="18"/>
          <w:b w:val="1"/>
          <w:bCs w:val="1"/>
          <w:color w:val="auto"/>
        </w:rPr>
        <w:t>Transaction revenue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Platform Revenue</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platform revenue stream is generated from fees charged to customers for access to the Company’s Presto Touch, which is recognized ratably. Revenue generated by Presto Voice and Presto Vision products are not material for the fiscal years ended June 30, 2022 and 2021. Part of the total contract value is due upon execution of the contract, and the remainder is due upon installation of the Presto Touch. Certain contracts allow the total contract value to be paid monthly over the term of the contract. The Company’s contracts with customers are generally for a term ranging from 12 to 48 months. Amounts invoiced in excess of revenue recognized are recorded as deferred revenue.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also maintains arrangements with certain customers whereby the Company leases the Presto Touch to its customer, which are accounted for in accordance with ASC 840. Revenue associated with the lease is recognized on a straight-line basis as platform revenue over the lease term in the consolidated statements of operations and comprehensive loss.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Transaction Revenue</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the Company controls the gaming license and its accessibility and has influence in establishing the price charged to the diner. The portion of gaming service collections withheld by the restaurant for sales commission are recorded to transaction cost of revenues.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58" w:lineRule="exact"/>
        <w:rPr>
          <w:sz w:val="20"/>
          <w:szCs w:val="20"/>
          <w:color w:val="auto"/>
        </w:rPr>
      </w:pPr>
    </w:p>
    <w:p>
      <w:pPr>
        <w:jc w:val="both"/>
        <w:ind w:left="1320" w:right="459" w:hanging="434"/>
        <w:spacing w:after="0" w:line="254" w:lineRule="auto"/>
        <w:tabs>
          <w:tab w:leader="none" w:pos="12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 — the Company enters into a master sales agreement (“</w:t>
      </w:r>
      <w:r>
        <w:rPr>
          <w:rFonts w:ascii="Times New Roman" w:cs="Times New Roman" w:eastAsia="Times New Roman" w:hAnsi="Times New Roman"/>
          <w:sz w:val="18"/>
          <w:szCs w:val="18"/>
          <w:b w:val="1"/>
          <w:bCs w:val="1"/>
          <w:color w:val="auto"/>
        </w:rPr>
        <w:t>MSA</w:t>
      </w:r>
      <w:r>
        <w:rPr>
          <w:rFonts w:ascii="Times New Roman" w:cs="Times New Roman" w:eastAsia="Times New Roman" w:hAnsi="Times New Roman"/>
          <w:sz w:val="18"/>
          <w:szCs w:val="18"/>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also enters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24"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performance obligations: for the MSAs and license agreements, 1) sales or leases of hardware, software-as-a-service (“</w:t>
      </w:r>
      <w:r>
        <w:rPr>
          <w:rFonts w:ascii="Times New Roman" w:cs="Times New Roman" w:eastAsia="Times New Roman" w:hAnsi="Times New Roman"/>
          <w:sz w:val="18"/>
          <w:szCs w:val="18"/>
          <w:b w:val="1"/>
          <w:bCs w:val="1"/>
          <w:color w:val="auto"/>
        </w:rPr>
        <w:t>Saas</w:t>
      </w:r>
      <w:r>
        <w:rPr>
          <w:rFonts w:ascii="Times New Roman" w:cs="Times New Roman" w:eastAsia="Times New Roman" w:hAnsi="Times New Roman"/>
          <w:sz w:val="18"/>
          <w:szCs w:val="18"/>
          <w:color w:val="auto"/>
        </w:rPr>
        <w:t>”) and maintenance as one combined performance obligation (“</w:t>
      </w:r>
      <w:r>
        <w:rPr>
          <w:rFonts w:ascii="Times New Roman" w:cs="Times New Roman" w:eastAsia="Times New Roman" w:hAnsi="Times New Roman"/>
          <w:sz w:val="18"/>
          <w:szCs w:val="18"/>
          <w:b w:val="1"/>
          <w:bCs w:val="1"/>
          <w:color w:val="auto"/>
        </w:rPr>
        <w:t>Presto Touch</w:t>
      </w:r>
      <w:r>
        <w:rPr>
          <w:rFonts w:ascii="Times New Roman" w:cs="Times New Roman" w:eastAsia="Times New Roman" w:hAnsi="Times New Roman"/>
          <w:sz w:val="18"/>
          <w:szCs w:val="18"/>
          <w:color w:val="auto"/>
        </w:rPr>
        <w:t>”) and for gaming agreements, 2) premium content, or gaming. Professional services were insignificant during fiscal years 2022 and 2021.</w:t>
      </w:r>
    </w:p>
    <w:p>
      <w:pPr>
        <w:spacing w:after="0" w:line="112" w:lineRule="exact"/>
        <w:rPr>
          <w:sz w:val="20"/>
          <w:szCs w:val="20"/>
          <w:color w:val="auto"/>
        </w:rPr>
      </w:pPr>
    </w:p>
    <w:p>
      <w:pPr>
        <w:jc w:val="both"/>
        <w:ind w:left="1320" w:right="479"/>
        <w:spacing w:after="0" w:line="289" w:lineRule="auto"/>
        <w:rPr>
          <w:sz w:val="20"/>
          <w:szCs w:val="20"/>
          <w:color w:val="auto"/>
        </w:rPr>
      </w:pPr>
      <w:r>
        <w:rPr>
          <w:rFonts w:ascii="Times New Roman" w:cs="Times New Roman" w:eastAsia="Times New Roman" w:hAnsi="Times New Roman"/>
          <w:sz w:val="17"/>
          <w:szCs w:val="17"/>
          <w:color w:val="auto"/>
        </w:rPr>
        <w:t>The Presto Touch is considered a single performance obligation because each element of the Presto Touch is interdependent and cannot function independently. The software and hardware represent one combined output and the customer cannot benefit from the use of one element without the other.</w:t>
      </w:r>
    </w:p>
    <w:p>
      <w:pPr>
        <w:spacing w:after="0" w:line="77" w:lineRule="exact"/>
        <w:rPr>
          <w:sz w:val="20"/>
          <w:szCs w:val="20"/>
          <w:color w:val="auto"/>
        </w:rPr>
      </w:pPr>
    </w:p>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spacing w:after="0" w:line="99" w:lineRule="exact"/>
        <w:rPr>
          <w:sz w:val="20"/>
          <w:szCs w:val="20"/>
          <w:color w:val="auto"/>
        </w:rPr>
      </w:pPr>
    </w:p>
    <w:p>
      <w:pPr>
        <w:jc w:val="both"/>
        <w:ind w:left="1320" w:right="479" w:hanging="434"/>
        <w:spacing w:after="0" w:line="254" w:lineRule="auto"/>
        <w:tabs>
          <w:tab w:leader="none" w:pos="12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 the Company’s MSAs stipulate the terms and conditions, and separate license agreements dictate the transaction price, and typically outlines as a price per store location or number of Presto Touch.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Costs Capitalized to Obtain Revenue Contracts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Sales commissions and associated payroll taxes paid to internal sales personnel that are incremental costs resulting from obtaining a non-cancelable contract with a customer are capitalized and recognized over the estimated customer life, if material.</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Incremental costs incurred to obtain a contract were immaterial during the years ended June 30, 2022,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2021.</w:t>
      </w: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Deferred Costs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Platform Cost of Revenue</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Platform cost of revenue consists of four categories: product costs, shipping/freight costs, installation costs, and other costs. Product costs consist primarily of the cost to purchase the hardware and hardware accessories for the Presto Touch. Shipping/freight costs consist of all costs to transport the Presto Touch to the customers. Installation costs include the labor cost to install the hardware in each restaurant. Other costs include the amortization of capitalized software and product support costs.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also incurs costs to refurbish and repair its tablets. These costs are expensed in the period they are incurred, as the costs are expected to be linear and therefore, will match with the timing of revenue recognition over time. In connection with these costs, the Company also accrues a liability at each reporting period for expected repair costs for customer tablets currently in the Company’s return merchandise authorization process as of the reporting period, which get charged to platform cost of revenue. Refer to Note 9 for further details.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Transaction Cost of Revenue</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Transaction cost of revenue consists primarily of the portion of the fees collected from diners that are then paid to the restaurant as part of the revenue share agreement with each restaurant. As the Company bears the primary responsibility of the product, the Company is the principal in the premium content transactions and restaurants act as the agent, whereby the Company collect all of the fees paid as revenue and remit the revenue share to the restaurants as cost of revenue. The commissions paid to restaurants under the Company’s revenue share agreement range on average between 70% and 90% of premium content revenue by customer logo.</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Depreciation and Impairment Cost of Revenue</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Depreciation and impairment cost of revenue consists primarily of the costs of assets that are included in property and equipment, net in the balance sheet that are amortized to cost of revenue and related impairment charges.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 Operating expenses for the year ended June 30, 2022 and 2021 include $582 and $3,342, respectively, in losses on infrequent product repairs (refer to “</w:t>
      </w:r>
      <w:r>
        <w:rPr>
          <w:rFonts w:ascii="Times New Roman" w:cs="Times New Roman" w:eastAsia="Times New Roman" w:hAnsi="Times New Roman"/>
          <w:sz w:val="18"/>
          <w:szCs w:val="18"/>
          <w:i w:val="1"/>
          <w:iCs w:val="1"/>
          <w:color w:val="auto"/>
        </w:rPr>
        <w:t>Impact of COVID-19</w:t>
      </w:r>
      <w:r>
        <w:rPr>
          <w:rFonts w:ascii="Times New Roman" w:cs="Times New Roman" w:eastAsia="Times New Roman" w:hAnsi="Times New Roman"/>
          <w:sz w:val="18"/>
          <w:szCs w:val="18"/>
          <w:color w:val="auto"/>
        </w:rPr>
        <w:t>”). These damages were caused by customers’ use of commercial disinfectant solutions as a precautionary protocol in response to COVID-19, which caused damage to the devices and required significant repairs or replacement.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associated with maintenance of the Company’s platform and the evaluation and preliminary development of new product offerings, as well as allocated overhead and expenses associated with the use of third-party software directly related to preliminary development and maintenance of the Company’s products and services. These costs are expensed as incurred as they do not meet the requirements for capitalization.</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costs incurred to acquire new customers and increase product adoption across the Company’s existing customer base. Marketing expenses also include fees incurred to generate demand through various advertising channels and allocated overhead costs.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expenses related to facilities, finance, human resources and administrative personnel. General and administrative expenses also include costs related to fees paid for certain professional services, including legal, tax and accounting services and bad debt expenses.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Company’s advertising and promotional costs are expensed as incurred. Advertising costs were $36 and $10 for the years ended June 30, 2022 and 2021, respectively and are included in sales and marketing expense.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840). The Company categorizes leases at their inception as either operating or capital leases, with the Company’s current lease portfolio consisting of operating leases for office spaces, and tablets leased to customers. In certain lease agreements, the Company may receive rent holidays and other incentives. For operating leases, the Company recognizes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has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the Company’s common stock underlying the awards has historically been determined by the board of directors with input from management and third-party valuation specialists, as there was no public market for the Company’s common stock. The board of directors determines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 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The Company accounts for forfeitures as they occur.</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 and sales tax</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Shipping and handling costs are classified as a component of cost of revenue. Fees charged to customers for shipping and handling are recorded as revenue.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Sales tax collected from customers and remitted to taxing authorities is excluded from revenue and is included in accrued liabilities on the Company’s consolidated balance sheets.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is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records interest and penalties related to income tax matters in income tax expense. As of June 30, 2022 and 2021, the Company has no accrued interest and penalties related to uncertain tax positions.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net loss attributable to common stockholders by the weighted-average number of ordinary shares outstanding during the period. Net loss attributable to common stockholders is net loss minus convertible preferred stock dividends declared, of which there were none during the periods presented. The Company applies the two-class method to calculate basic net loss per share for the Company’s common stock and non-voting common stock. The net loss attributable to common stockholders is allocated to common stock and non-voting common stock on a pro rata portion of the total common stock outstanding. The Company’s preferred stockholders are not included in the basic net loss per share calculation because they are not contractually obligated to share in the Company’s losses.</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stock options and RSUs, convertible notes, convertible preferred stock and warrants, have been excluded from the computation of diluted net loss per share as the effect would be anti-dilutive and reduce the net loss per share. Therefore, the weighted average number of common shares outstanding used to calculate both basic and diluted net loss per share attributable to common stockholders is the same for the years presented.</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that is evaluated regularly by the chief operating decision maker (“</w:t>
      </w:r>
      <w:r>
        <w:rPr>
          <w:rFonts w:ascii="Times New Roman" w:cs="Times New Roman" w:eastAsia="Times New Roman" w:hAnsi="Times New Roman"/>
          <w:sz w:val="18"/>
          <w:szCs w:val="18"/>
          <w:b w:val="1"/>
          <w:bCs w:val="1"/>
          <w:color w:val="auto"/>
        </w:rPr>
        <w:t>CODM</w:t>
      </w:r>
      <w:r>
        <w:rPr>
          <w:rFonts w:ascii="Times New Roman" w:cs="Times New Roman" w:eastAsia="Times New Roman" w:hAnsi="Times New Roman"/>
          <w:sz w:val="18"/>
          <w:szCs w:val="18"/>
          <w:color w:val="auto"/>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has operations in the United States and Canada. The Company earns primarily all of its revenue in the United States and all of its long-lived assets are held in the United States.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w:t>
      </w:r>
    </w:p>
    <w:p>
      <w:pPr>
        <w:spacing w:after="0" w:line="3" w:lineRule="exact"/>
        <w:rPr>
          <w:sz w:val="20"/>
          <w:szCs w:val="20"/>
          <w:color w:val="auto"/>
        </w:rPr>
      </w:pPr>
    </w:p>
    <w:p>
      <w:pPr>
        <w:jc w:val="both"/>
        <w:ind w:left="460" w:right="459" w:hanging="6"/>
        <w:spacing w:after="0" w:line="251" w:lineRule="auto"/>
        <w:tabs>
          <w:tab w:leader="none" w:pos="68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elects to “opt out” of such extended transition period or (ii) no longer qualifies as an emerging growth company. The Company may choose to early adopt any new or revised accounting standards whenever such early adoption is permitted for nonpublic companies. In August 2018, the FASB issued ASU No. 2018-15, </w:t>
      </w:r>
      <w:r>
        <w:rPr>
          <w:rFonts w:ascii="Times New Roman" w:cs="Times New Roman" w:eastAsia="Times New Roman" w:hAnsi="Times New Roman"/>
          <w:sz w:val="18"/>
          <w:szCs w:val="18"/>
          <w:i w:val="1"/>
          <w:iCs w:val="1"/>
          <w:color w:val="auto"/>
        </w:rPr>
        <w:t>Intangibles — Goodwill and Other — 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 Costs Incurred in a Cloud Computing Arrangement that is a Service Contract</w:t>
      </w:r>
      <w:r>
        <w:rPr>
          <w:rFonts w:ascii="Times New Roman" w:cs="Times New Roman" w:eastAsia="Times New Roman" w:hAnsi="Times New Roman"/>
          <w:sz w:val="18"/>
          <w:szCs w:val="18"/>
          <w:color w:val="auto"/>
        </w:rPr>
        <w:t>, which aligns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new guidance. The Company adopted the standard prospectively on July 1, 2021. The adoption of this standard resulted in an increase to capitalized software of $45 as of the adoption date and did not have an impact on the consolidated statement of operations and comprehensive loss and consolidated statement of cash flows.</w:t>
      </w:r>
    </w:p>
    <w:p>
      <w:pPr>
        <w:spacing w:after="0" w:line="12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March 2020, the FASB issued ASU 2020-03, </w:t>
      </w:r>
      <w:r>
        <w:rPr>
          <w:rFonts w:ascii="Times New Roman" w:cs="Times New Roman" w:eastAsia="Times New Roman" w:hAnsi="Times New Roman"/>
          <w:sz w:val="18"/>
          <w:szCs w:val="18"/>
          <w:i w:val="1"/>
          <w:iCs w:val="1"/>
          <w:color w:val="auto"/>
        </w:rPr>
        <w:t>Codification Improvements to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which amended the disclosure requirements for debt for which the fair value option was 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adopted the standard on July 1, 2021. The adoption of this standard did not have an impact on the consolidated financial statements other than the required disclosures.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Topic 326: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 Instruments (Topic 326)</w:t>
      </w:r>
      <w:r>
        <w:rPr>
          <w:rFonts w:ascii="Times New Roman" w:cs="Times New Roman" w:eastAsia="Times New Roman" w:hAnsi="Times New Roman"/>
          <w:sz w:val="18"/>
          <w:szCs w:val="18"/>
          <w:color w:val="auto"/>
        </w:rPr>
        <w:t>, which requires an entity to utilize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Topic 842: Leases (Topic 842)</w:t>
      </w:r>
      <w:r>
        <w:rPr>
          <w:rFonts w:ascii="Times New Roman" w:cs="Times New Roman" w:eastAsia="Times New Roman" w:hAnsi="Times New Roman"/>
          <w:sz w:val="18"/>
          <w:szCs w:val="18"/>
          <w:color w:val="auto"/>
        </w:rPr>
        <w:t xml:space="preserve">, which supersedes the guidance in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This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similarly to existing guidance for operating leases today. The Company will be required to recognize and measure leases existing at, or entered into after, the beginning of the period of adoption using a modified retrospective approach, with certain practical expedients available. Under the standard, disclosures are required to meet the objective of enabling users of financial statements to assess the amount, timing, and uncertainty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of cash flows arising from leases. The FASB subsequently issued ASU 2018-10, ASU 2018-11, ASU 2019-01, ASU 2019-10, ASU 2020-05, and ASU 2021-05, which clarified the implementation guidance and effective date of Topic 842. The standard is effective for the Company beginning in fiscal year 2023 and early adoption is permitted. The Company is currently evaluating the impact of the adoption of this standard on the Company’s consolidated financial statements.</w:t>
      </w:r>
    </w:p>
    <w:p>
      <w:pPr>
        <w:spacing w:after="0" w:line="10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which simplifies the accounting for income taxes by eliminating some exceptions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The Company is currently evaluating the impact of the adoption of this standard on the Company’s consolidated financial statements.</w:t>
      </w:r>
    </w:p>
    <w:p>
      <w:pPr>
        <w:spacing w:after="0" w:line="33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470-20) and Derivatives and Hedging — Contracts in Entity’s Own Equity, </w:t>
      </w:r>
      <w:r>
        <w:rPr>
          <w:rFonts w:ascii="Times New Roman" w:cs="Times New Roman" w:eastAsia="Times New Roman" w:hAnsi="Times New Roman"/>
          <w:sz w:val="18"/>
          <w:szCs w:val="18"/>
          <w:color w:val="auto"/>
        </w:rPr>
        <w:t>which simplifies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spacing w:after="0" w:line="11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March 2020 with an update in January 2021, the FASB issued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848): Facilitation of the Effects of Reference Rate Reform on Financial Reporting, </w:t>
      </w:r>
      <w:r>
        <w:rPr>
          <w:rFonts w:ascii="Times New Roman" w:cs="Times New Roman" w:eastAsia="Times New Roman" w:hAnsi="Times New Roman"/>
          <w:sz w:val="18"/>
          <w:szCs w:val="18"/>
          <w:color w:val="auto"/>
        </w:rPr>
        <w:t>and ASU 2021-01,</w:t>
      </w:r>
      <w:r>
        <w:rPr>
          <w:rFonts w:ascii="Times New Roman" w:cs="Times New Roman" w:eastAsia="Times New Roman" w:hAnsi="Times New Roman"/>
          <w:sz w:val="18"/>
          <w:szCs w:val="18"/>
          <w:i w:val="1"/>
          <w:iCs w:val="1"/>
          <w:color w:val="auto"/>
        </w:rPr>
        <w:t xml:space="preserve"> Reference Rate Reform (Topic 848), </w:t>
      </w:r>
      <w:r>
        <w:rPr>
          <w:rFonts w:ascii="Times New Roman" w:cs="Times New Roman" w:eastAsia="Times New Roman" w:hAnsi="Times New Roman"/>
          <w:sz w:val="18"/>
          <w:szCs w:val="18"/>
          <w:color w:val="auto"/>
        </w:rPr>
        <w:t>which provides optional expedients and exceptions for applying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GAAP to contracts, hedging relationships, and other transactions affected by the discontinuation of the London Interbank Offered Rate (“</w:t>
      </w:r>
      <w:r>
        <w:rPr>
          <w:rFonts w:ascii="Times New Roman" w:cs="Times New Roman" w:eastAsia="Times New Roman" w:hAnsi="Times New Roman"/>
          <w:sz w:val="18"/>
          <w:szCs w:val="18"/>
          <w:b w:val="1"/>
          <w:bCs w:val="1"/>
          <w:color w:val="auto"/>
        </w:rPr>
        <w:t>LIBOR</w:t>
      </w:r>
      <w:r>
        <w:rPr>
          <w:rFonts w:ascii="Times New Roman" w:cs="Times New Roman" w:eastAsia="Times New Roman" w:hAnsi="Times New Roman"/>
          <w:sz w:val="18"/>
          <w:szCs w:val="18"/>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107"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Assets and Contract Liabilities from Contracts with Customers, </w:t>
      </w:r>
      <w:r>
        <w:rPr>
          <w:rFonts w:ascii="Times New Roman" w:cs="Times New Roman" w:eastAsia="Times New Roman" w:hAnsi="Times New Roman"/>
          <w:sz w:val="18"/>
          <w:szCs w:val="18"/>
          <w:color w:val="auto"/>
        </w:rPr>
        <w:t>which requires an acquirer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and measure contract assets and contract liabilities acquired in a business combination in accordance with ASC 606. The standard is effective for the Company beginning in fiscal year 2023 and interim periods within that year. The Company is currently evaluating the impact of the adoption of this standard on the Company’s consolidated financial statements.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$516 and $446 as of June 30, 2022, and 2021, respectively.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Revenue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activity in deferred revenue: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12"/>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47"/>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beginning of year – June 30, 2020</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38,013</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2,999</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(15,389)</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end of period – June 30, 2021</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25,623</w:t>
            </w:r>
          </w:p>
        </w:tc>
        <w:tc>
          <w:tcPr>
            <w:tcW w:w="14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4,481</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2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(19,335)</w:t>
            </w:r>
          </w:p>
        </w:tc>
      </w:tr>
      <w:tr>
        <w:trPr>
          <w:trHeight w:val="27"/>
        </w:trPr>
        <w:tc>
          <w:tcPr>
            <w:tcW w:w="6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end of period – June 30, 2022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10,769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June 30, 2022, approximately $12,309 of revenue is expected to be recognized from remaining performance obligations for customer contracts. The Company expects to recognize revenue on approximately $12,072 of these remaining performance obligations over the next 12 months, with the balance recognized thereafter.</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For the years ended June 30, 2022 and June 30, 2021 the Company had incurred $170 and $634 of interest expense, respectively.</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September 29, 2021, the Company entered into an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 due to COVID-19. 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$170 interest expense was recognized against the prepaid interest balance, $3,200 was recognized as a reduction to accounts payable for the payment of the outstanding marketing development amount in October 2021 and $1,227 was recognized as revenue relating to the installation and replacement services provided as part of the contract modification as of and for the fiscal year ended June 30, 2022. The Company will continue to offset revenue recognized based on the original $5,000 marketing development fund.</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October 29, 2021, the Company entered into an arrangement with a customer whereby it issued a warrant to purchase 500,000 shares of non-voting common stock. Refer to Note 11 for further details. The fair value of the warrant is treated as a reduction to the transaction price of the customer contract and will be recorded as contra-revenue. Contra-revenue recognized related to the warrant was not material for the fiscal year 2022.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Revenue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revenue during the years ended June 30, 2022 and 2021.</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years ended June 30, 2022 and 2021, $2,316 and $3,540 of revenue were from leasing arrangements.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Fair value accounting is applied for all financial assets and liabilities that are recognized or disclosed at fair value in the financial statements on a recurring basis.</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all financial instruments measured at fair value on a recurring basis as of June 30, 2022 and 2021:</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ind w:left="8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20"/>
                <w:szCs w:val="20"/>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28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promissory notes and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embedded warrants</w:t>
            </w:r>
          </w:p>
        </w:tc>
        <w:tc>
          <w:tcPr>
            <w:tcW w:w="114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89,663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4,149</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60" w:type="dxa"/>
            <w:vAlign w:val="bottom"/>
            <w:vMerge w:val="continue"/>
          </w:tcPr>
          <w:p>
            <w:pPr>
              <w:spacing w:after="0"/>
              <w:rPr>
                <w:sz w:val="21"/>
                <w:szCs w:val="21"/>
                <w:color w:val="auto"/>
              </w:rPr>
            </w:pPr>
          </w:p>
        </w:tc>
        <w:tc>
          <w:tcPr>
            <w:tcW w:w="114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93,812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ind w:left="80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20"/>
                <w:szCs w:val="20"/>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6"/>
        </w:trPr>
        <w:tc>
          <w:tcPr>
            <w:tcW w:w="28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promissory notes and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embedded warrants</w:t>
            </w:r>
          </w:p>
        </w:tc>
        <w:tc>
          <w:tcPr>
            <w:tcW w:w="114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62,581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62,581</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gridSpan w:val="3"/>
          </w:tcPr>
          <w:p>
            <w:pPr>
              <w:spacing w:after="0"/>
              <w:rPr>
                <w:sz w:val="3"/>
                <w:szCs w:val="3"/>
                <w:color w:val="auto"/>
              </w:rPr>
            </w:pPr>
          </w:p>
        </w:tc>
        <w:tc>
          <w:tcPr>
            <w:tcW w:w="560" w:type="dxa"/>
            <w:vAlign w:val="bottom"/>
            <w:gridSpan w:val="3"/>
          </w:tcPr>
          <w:p>
            <w:pPr>
              <w:spacing w:after="0"/>
              <w:rPr>
                <w:sz w:val="3"/>
                <w:szCs w:val="3"/>
                <w:color w:val="auto"/>
              </w:rPr>
            </w:pPr>
          </w:p>
        </w:tc>
        <w:tc>
          <w:tcPr>
            <w:tcW w:w="102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1,434</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60" w:type="dxa"/>
            <w:vAlign w:val="bottom"/>
            <w:vMerge w:val="continue"/>
          </w:tcPr>
          <w:p>
            <w:pPr>
              <w:spacing w:after="0"/>
              <w:rPr>
                <w:sz w:val="21"/>
                <w:szCs w:val="21"/>
                <w:color w:val="auto"/>
              </w:rPr>
            </w:pPr>
          </w:p>
        </w:tc>
        <w:tc>
          <w:tcPr>
            <w:tcW w:w="114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64,015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64,015</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fair value of the convertible notes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convertible promissory notes, embedded warrants and accrued interest using the following weighted average assumptions: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7"/>
        </w:trPr>
        <w:tc>
          <w:tcPr>
            <w:tcW w:w="20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180"/>
        </w:trPr>
        <w:tc>
          <w:tcPr>
            <w:tcW w:w="2040" w:type="dxa"/>
            <w:vAlign w:val="bottom"/>
          </w:tcPr>
          <w:p>
            <w:pPr>
              <w:spacing w:after="0"/>
              <w:rPr>
                <w:sz w:val="15"/>
                <w:szCs w:val="15"/>
                <w:color w:val="auto"/>
              </w:rPr>
            </w:pPr>
          </w:p>
        </w:tc>
        <w:tc>
          <w:tcPr>
            <w:tcW w:w="112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Next</w:t>
            </w:r>
          </w:p>
        </w:tc>
        <w:tc>
          <w:tcPr>
            <w:tcW w:w="80" w:type="dxa"/>
            <w:vAlign w:val="bottom"/>
          </w:tcPr>
          <w:p>
            <w:pPr>
              <w:spacing w:after="0"/>
              <w:rPr>
                <w:sz w:val="15"/>
                <w:szCs w:val="15"/>
                <w:color w:val="auto"/>
              </w:rPr>
            </w:pPr>
          </w:p>
        </w:tc>
        <w:tc>
          <w:tcPr>
            <w:tcW w:w="112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Next</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2040" w:type="dxa"/>
            <w:vAlign w:val="bottom"/>
          </w:tcPr>
          <w:p>
            <w:pPr>
              <w:spacing w:after="0"/>
              <w:rPr>
                <w:sz w:val="17"/>
                <w:szCs w:val="17"/>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Financing –</w:t>
            </w:r>
          </w:p>
        </w:tc>
        <w:tc>
          <w:tcPr>
            <w:tcW w:w="80" w:type="dxa"/>
            <w:vAlign w:val="bottom"/>
          </w:tcPr>
          <w:p>
            <w:pPr>
              <w:spacing w:after="0"/>
              <w:rPr>
                <w:sz w:val="17"/>
                <w:szCs w:val="17"/>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Financing –</w:t>
            </w:r>
          </w:p>
        </w:tc>
        <w:tc>
          <w:tcPr>
            <w:tcW w:w="100" w:type="dxa"/>
            <w:vAlign w:val="bottom"/>
          </w:tcPr>
          <w:p>
            <w:pPr>
              <w:spacing w:after="0"/>
              <w:rPr>
                <w:sz w:val="17"/>
                <w:szCs w:val="17"/>
                <w:color w:val="auto"/>
              </w:rPr>
            </w:pPr>
          </w:p>
        </w:tc>
        <w:tc>
          <w:tcPr>
            <w:tcW w:w="132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200" w:type="dxa"/>
            <w:vAlign w:val="bottom"/>
          </w:tcPr>
          <w:p>
            <w:pPr>
              <w:spacing w:after="0"/>
              <w:rPr>
                <w:sz w:val="17"/>
                <w:szCs w:val="17"/>
                <w:color w:val="auto"/>
              </w:rPr>
            </w:pPr>
          </w:p>
        </w:tc>
      </w:tr>
      <w:tr>
        <w:trPr>
          <w:trHeight w:val="212"/>
        </w:trPr>
        <w:tc>
          <w:tcPr>
            <w:tcW w:w="2040" w:type="dxa"/>
            <w:vAlign w:val="bottom"/>
          </w:tcPr>
          <w:p>
            <w:pPr>
              <w:spacing w:after="0"/>
              <w:rPr>
                <w:sz w:val="18"/>
                <w:szCs w:val="18"/>
                <w:color w:val="auto"/>
              </w:rPr>
            </w:pP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8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100" w:type="dxa"/>
            <w:vAlign w:val="bottom"/>
          </w:tcPr>
          <w:p>
            <w:pPr>
              <w:spacing w:after="0"/>
              <w:rPr>
                <w:sz w:val="18"/>
                <w:szCs w:val="18"/>
                <w:color w:val="auto"/>
              </w:rPr>
            </w:pPr>
          </w:p>
        </w:tc>
        <w:tc>
          <w:tcPr>
            <w:tcW w:w="132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2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Default</w:t>
            </w:r>
          </w:p>
        </w:tc>
      </w:tr>
      <w:tr>
        <w:trPr>
          <w:trHeight w:val="46"/>
        </w:trPr>
        <w:tc>
          <w:tcPr>
            <w:tcW w:w="20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9"/>
          </w:tcPr>
          <w:p>
            <w:pPr>
              <w:ind w:left="440"/>
              <w:spacing w:after="0"/>
              <w:rPr>
                <w:sz w:val="20"/>
                <w:szCs w:val="20"/>
                <w:color w:val="auto"/>
              </w:rPr>
            </w:pPr>
            <w:r>
              <w:rPr>
                <w:rFonts w:ascii="Times New Roman" w:cs="Times New Roman" w:eastAsia="Times New Roman" w:hAnsi="Times New Roman"/>
                <w:sz w:val="16"/>
                <w:szCs w:val="16"/>
                <w:b w:val="1"/>
                <w:bCs w:val="1"/>
                <w:color w:val="auto"/>
              </w:rPr>
              <w:t>As of June 30, 2021</w:t>
            </w:r>
          </w:p>
        </w:tc>
        <w:tc>
          <w:tcPr>
            <w:tcW w:w="1200" w:type="dxa"/>
            <w:vAlign w:val="bottom"/>
          </w:tcPr>
          <w:p>
            <w:pPr>
              <w:spacing w:after="0"/>
              <w:rPr>
                <w:sz w:val="24"/>
                <w:szCs w:val="24"/>
                <w:color w:val="auto"/>
              </w:rPr>
            </w:pPr>
          </w:p>
        </w:tc>
      </w:tr>
      <w:tr>
        <w:trPr>
          <w:trHeight w:val="47"/>
        </w:trPr>
        <w:tc>
          <w:tcPr>
            <w:tcW w:w="2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5"/>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180"/>
        </w:trPr>
        <w:tc>
          <w:tcPr>
            <w:tcW w:w="2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Next</w:t>
            </w:r>
          </w:p>
        </w:tc>
        <w:tc>
          <w:tcPr>
            <w:tcW w:w="100" w:type="dxa"/>
            <w:vAlign w:val="bottom"/>
          </w:tcPr>
          <w:p>
            <w:pPr>
              <w:spacing w:after="0"/>
              <w:rPr>
                <w:sz w:val="15"/>
                <w:szCs w:val="15"/>
                <w:color w:val="auto"/>
              </w:rPr>
            </w:pPr>
          </w:p>
        </w:tc>
        <w:tc>
          <w:tcPr>
            <w:tcW w:w="1320" w:type="dxa"/>
            <w:vAlign w:val="bottom"/>
            <w:gridSpan w:val="5"/>
          </w:tcPr>
          <w:p>
            <w:pPr>
              <w:jc w:val="center"/>
              <w:ind w:right="4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Next</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2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Financing –</w:t>
            </w:r>
          </w:p>
        </w:tc>
        <w:tc>
          <w:tcPr>
            <w:tcW w:w="100" w:type="dxa"/>
            <w:vAlign w:val="bottom"/>
          </w:tcPr>
          <w:p>
            <w:pPr>
              <w:spacing w:after="0"/>
              <w:rPr>
                <w:sz w:val="17"/>
                <w:szCs w:val="17"/>
                <w:color w:val="auto"/>
              </w:rPr>
            </w:pPr>
          </w:p>
        </w:tc>
        <w:tc>
          <w:tcPr>
            <w:tcW w:w="132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Financing –</w:t>
            </w:r>
          </w:p>
        </w:tc>
        <w:tc>
          <w:tcPr>
            <w:tcW w:w="1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200" w:type="dxa"/>
            <w:vAlign w:val="bottom"/>
          </w:tcPr>
          <w:p>
            <w:pPr>
              <w:spacing w:after="0"/>
              <w:rPr>
                <w:sz w:val="17"/>
                <w:szCs w:val="17"/>
                <w:color w:val="auto"/>
              </w:rPr>
            </w:pPr>
          </w:p>
        </w:tc>
      </w:tr>
      <w:tr>
        <w:trPr>
          <w:trHeight w:val="212"/>
        </w:trPr>
        <w:tc>
          <w:tcPr>
            <w:tcW w:w="2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132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1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Default</w:t>
            </w:r>
          </w:p>
        </w:tc>
      </w:tr>
      <w:tr>
        <w:trPr>
          <w:trHeight w:val="46"/>
        </w:trPr>
        <w:tc>
          <w:tcPr>
            <w:tcW w:w="204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0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the warrants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47"/>
        </w:trPr>
        <w:tc>
          <w:tcPr>
            <w:tcW w:w="55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0"/>
        </w:trPr>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5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6.75</w:t>
            </w:r>
          </w:p>
        </w:tc>
      </w:tr>
      <w:tr>
        <w:trPr>
          <w:trHeight w:val="40"/>
        </w:trPr>
        <w:tc>
          <w:tcPr>
            <w:tcW w:w="5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6.06</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5.96</w:t>
            </w:r>
          </w:p>
        </w:tc>
      </w:tr>
      <w:tr>
        <w:trPr>
          <w:trHeight w:val="40"/>
        </w:trPr>
        <w:tc>
          <w:tcPr>
            <w:tcW w:w="55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difference between the carrying amount and the fair value of Level 3 convertible promissory notes and embedded warrants for which the fair value option was elected:</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260" w:type="dxa"/>
            <w:vAlign w:val="bottom"/>
          </w:tcPr>
          <w:p>
            <w:pPr>
              <w:spacing w:after="0"/>
              <w:rPr>
                <w:sz w:val="17"/>
                <w:szCs w:val="17"/>
                <w:color w:val="auto"/>
              </w:rPr>
            </w:pPr>
          </w:p>
        </w:tc>
        <w:tc>
          <w:tcPr>
            <w:tcW w:w="102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60" w:type="dxa"/>
            <w:vAlign w:val="bottom"/>
          </w:tcPr>
          <w:p>
            <w:pPr>
              <w:spacing w:after="0"/>
              <w:rPr>
                <w:sz w:val="18"/>
                <w:szCs w:val="18"/>
                <w:color w:val="auto"/>
              </w:rPr>
            </w:pPr>
          </w:p>
        </w:tc>
        <w:tc>
          <w:tcPr>
            <w:tcW w:w="102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 and embedded warrants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51,816</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37,847</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51,816</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37,847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260" w:type="dxa"/>
            <w:vAlign w:val="bottom"/>
          </w:tcPr>
          <w:p>
            <w:pPr>
              <w:spacing w:after="0"/>
              <w:rPr>
                <w:sz w:val="17"/>
                <w:szCs w:val="17"/>
                <w:color w:val="auto"/>
              </w:rPr>
            </w:pPr>
          </w:p>
        </w:tc>
        <w:tc>
          <w:tcPr>
            <w:tcW w:w="102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60" w:type="dxa"/>
            <w:vAlign w:val="bottom"/>
          </w:tcPr>
          <w:p>
            <w:pPr>
              <w:spacing w:after="0"/>
              <w:rPr>
                <w:sz w:val="18"/>
                <w:szCs w:val="18"/>
                <w:color w:val="auto"/>
              </w:rPr>
            </w:pPr>
          </w:p>
        </w:tc>
        <w:tc>
          <w:tcPr>
            <w:tcW w:w="102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 and embedded warrants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43,666</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18,915</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62,581</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43,666</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18,915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Level 3 warrant liabilities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convertible promissory notes and embedded warrants for the years ended June 30, 2022 and 2021:</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Promissory</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Notes and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Embedded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2020</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promissory notes</w:t>
            </w: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43,666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 and convertible promissory notes</w:t>
            </w:r>
          </w:p>
        </w:tc>
        <w:tc>
          <w:tcPr>
            <w:tcW w:w="14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18,915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promissory notes</w:t>
            </w:r>
          </w:p>
        </w:tc>
        <w:tc>
          <w:tcPr>
            <w:tcW w:w="1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 and convertible promissory notes</w:t>
            </w:r>
          </w:p>
        </w:tc>
        <w:tc>
          <w:tcPr>
            <w:tcW w:w="14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18,932</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89,663</w:t>
            </w:r>
          </w:p>
        </w:tc>
        <w:tc>
          <w:tcPr>
            <w:tcW w:w="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The Company determined that impairment indicators exist for its property and equipment, so the fair value of the property and equipment was compared to its carrying value (refer to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The fair value was calculated using a discounted cash flow model determined using “Level 3” inputs, due to the lack of relevant observable market data over fair value inputs.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fiscal year 2022, the Company acquired in-process technology that was measured at fair value as part of an acquisition. The Company used the replacement cost method which leverages Level 3 inputs such as estimated time spent to recreate the technology plus a developer’s margin. Refer to Note 5 and Note 15 for further details.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Consolidated Balance Sheet Components</w:t>
            </w: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Company’s allowance for doubtful accounts is as follows:</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beginning of year – June 30, 2020</w:t>
            </w:r>
          </w:p>
        </w:tc>
        <w:tc>
          <w:tcPr>
            <w:tcW w:w="42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4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end of period – June 30, 2021</w:t>
            </w: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4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end of period – June 30, 2022</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3880"/>
              <w:spacing w:after="0"/>
              <w:rPr>
                <w:sz w:val="20"/>
                <w:szCs w:val="20"/>
                <w:color w:val="auto"/>
              </w:rPr>
            </w:pPr>
            <w:r>
              <w:rPr>
                <w:rFonts w:ascii="Times New Roman" w:cs="Times New Roman" w:eastAsia="Times New Roman" w:hAnsi="Times New Roman"/>
                <w:sz w:val="18"/>
                <w:szCs w:val="18"/>
                <w:color w:val="auto"/>
              </w:rPr>
              <w:t>F-23</w:t>
            </w: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86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4. Consolidated Balance Sheet Components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869</w:t>
            </w:r>
          </w:p>
        </w:tc>
        <w:tc>
          <w:tcPr>
            <w:tcW w:w="32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869</w:t>
            </w: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7"/>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2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7"/>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Tablets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8,031</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2"/>
                <w:szCs w:val="22"/>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1,975</w:t>
            </w:r>
          </w:p>
        </w:tc>
        <w:tc>
          <w:tcPr>
            <w:tcW w:w="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Depreciation expense was $1,612 and $2,907 for the years ended June 30, 2022 and 2021, respectively, of which $1,454 and $2,589, respectively, was related to capital leased equipment and was recorded in cost of revenue in the Company’s consolidated statement of operations and comprehensive loss. The remainder of depreciation expense was recorded in operating expenses for the years ended June 30, 2022 and 2021.</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the years ended June 30, 2022 and 2021, respectively, the Company recognized a loss on impairment of $579 and $2,965 in cost of revenue in the Company’s consolidated statement of operations and comprehensive loss. The impairment charge was primarily related to specific assets under lease with customers that terminated their contracts. Accordingly, the Company experienced a significant adverse change in the extent the property and equipment were being used. The Company evaluated the recoverability of the assets and concluded they were not recoverable.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4. Consolidated Balance Sheet Components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useful life of property and equipment, net consisted of the following:</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Tablets</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392"/>
              <w:spacing w:after="0"/>
              <w:rPr>
                <w:sz w:val="20"/>
                <w:szCs w:val="20"/>
                <w:color w:val="auto"/>
              </w:rPr>
            </w:pPr>
            <w:r>
              <w:rPr>
                <w:rFonts w:ascii="Times New Roman" w:cs="Times New Roman" w:eastAsia="Times New Roman" w:hAnsi="Times New Roman"/>
                <w:sz w:val="18"/>
                <w:szCs w:val="18"/>
                <w:color w:val="auto"/>
                <w:w w:val="88"/>
              </w:rPr>
              <w:t>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392"/>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40" w:type="dxa"/>
            <w:vAlign w:val="bottom"/>
            <w:gridSpan w:val="7"/>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Shorter of estimated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color w:val="auto"/>
              </w:rPr>
              <w:t>useful life or remaining</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color w:val="auto"/>
              </w:rPr>
              <w:t>lease term</w:t>
            </w:r>
          </w:p>
        </w:tc>
        <w:tc>
          <w:tcPr>
            <w:tcW w:w="0" w:type="dxa"/>
            <w:vAlign w:val="bottom"/>
          </w:tcPr>
          <w:p>
            <w:pPr>
              <w:spacing w:after="0"/>
              <w:rPr>
                <w:sz w:val="1"/>
                <w:szCs w:val="1"/>
                <w:color w:val="auto"/>
              </w:rPr>
            </w:pPr>
          </w:p>
        </w:tc>
      </w:tr>
      <w:tr>
        <w:trPr>
          <w:trHeight w:val="473"/>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Repair cost reserve (Refer to Note 8)</w:t>
            </w:r>
          </w:p>
        </w:tc>
        <w:tc>
          <w:tcPr>
            <w:tcW w:w="260" w:type="dxa"/>
            <w:vAlign w:val="bottom"/>
          </w:tcPr>
          <w:p>
            <w:pPr>
              <w:spacing w:after="0"/>
              <w:rPr>
                <w:sz w:val="21"/>
                <w:szCs w:val="21"/>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724</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 deferred compensation and deferred payroll tax</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tax</w:t>
            </w:r>
          </w:p>
        </w:tc>
        <w:tc>
          <w:tcPr>
            <w:tcW w:w="260" w:type="dxa"/>
            <w:vAlign w:val="bottom"/>
          </w:tcPr>
          <w:p>
            <w:pPr>
              <w:spacing w:after="0"/>
              <w:rPr>
                <w:sz w:val="21"/>
                <w:szCs w:val="21"/>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874</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21"/>
                <w:szCs w:val="21"/>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402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1,749</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7,256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8"/>
          </w:tcPr>
          <w:p>
            <w:pPr>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3,135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gross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4,226</w:t>
            </w:r>
          </w:p>
        </w:tc>
        <w:tc>
          <w:tcPr>
            <w:tcW w:w="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Intangible assets have weighted-average amortization periods as follows: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w:t>
            </w: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Amortization expense of intangible assets was $73 and $95 for the years ended June 30, 2022 and 2021, respectively. During the year ended June 30, 2022, the Company recognized a loss on impairment of $133 related to its capitalized software in cost of revenue in the Company’s consolidated statement of operations and comprehensive loss. Within capitalized software on June 30, 2022 and 2021, $2,786 and $1,033, respectively, are in process capitalized software costs and accordingly, the amortization of such costs are excluded from the table below.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5. Intangible Assets, Net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Total future amortization expense for intangible assets was estimated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Financing Obligations</w:t>
            </w: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Company’s financing obligations consist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financing facility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Receivable financing facility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5,630</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financing obligations, current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financing obligations, noncurrent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Vendor financing facility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entered into an interest-bearing vendor financing arrangement used to finance certain inventory purchases. The arrangement extends the repayment terms of normal invoices beyond the original due date and as such is classified outside of accounts payable on the Company’s consolidated balance sheet. Through the agreement, payments are made over the course of an 18-month term, with the unpaid balance bearing interest at a rate of 18% – 26%. As of June 30, 2022 and 2021, the Company had an outstanding principal balance of $0 and $6,792, respectively.</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Receivable financing facility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15, 2021, November 16, 2021, February 22, 2022 and May 31,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expects to continue rolling forward the receivable financing facility.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6. Financing Obligations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Equipment financing facility</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Beginning in 2019, the Company entered into arrangements with third party financiers to secure payments of certain tablet purchases. Such arrangements generally have terms ranging from 3 – 5 years and interest rates ranging from 8% – 14%. The Company then leases the tablets monetized by the financiers to one of its customers through operating leases that have 4-year terms.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fiscal year 2022, the Company defaulted on certain arrangements with third party financiers due to non-payment of rent. As of September 27, 2022, the Company was in default related to required monthly payments from April 2022 through September 2022. Default under the arrangements permits the financiers to declare the amounts owed under the arrangement due and payable and exercise its right to secure the tablets under lease. Although the Company intends to cure the lease default, the Company cannot provide assurance that it will be successful. As a result, the Company reclassified all of its obligations under these arrangements that are in default as short-term within financing obligations, current as of June 30, 2022.</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Debt Arrangements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outstanding debt, net of debt discounts,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89,663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62,581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4,599</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2"/>
              </w:rPr>
              <w:t>117,106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current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(115,106)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debt, noncurrent</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Fiscal Year 2021 Notes</w:t>
      </w:r>
    </w:p>
    <w:p>
      <w:pPr>
        <w:spacing w:after="0" w:line="142" w:lineRule="exact"/>
        <w:rPr>
          <w:sz w:val="20"/>
          <w:szCs w:val="20"/>
          <w:color w:val="auto"/>
        </w:rPr>
      </w:pPr>
    </w:p>
    <w:p>
      <w:pPr>
        <w:jc w:val="both"/>
        <w:ind w:left="460" w:right="459" w:firstLine="432"/>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July 2020 Notes — </w:t>
      </w:r>
      <w:r>
        <w:rPr>
          <w:rFonts w:ascii="Times New Roman" w:cs="Times New Roman" w:eastAsia="Times New Roman" w:hAnsi="Times New Roman"/>
          <w:sz w:val="18"/>
          <w:szCs w:val="18"/>
          <w:color w:val="auto"/>
        </w:rPr>
        <w:t>In July 2020 the Company issued convertible promissory notes (the “July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 the amount of $5,500 with an annual interest rate of 5%. The July 2020 Notes mature at the earlier of</w:t>
      </w:r>
    </w:p>
    <w:p>
      <w:pPr>
        <w:spacing w:after="0" w:line="1" w:lineRule="exact"/>
        <w:rPr>
          <w:sz w:val="20"/>
          <w:szCs w:val="20"/>
          <w:color w:val="auto"/>
        </w:rPr>
      </w:pPr>
    </w:p>
    <w:p>
      <w:pPr>
        <w:jc w:val="both"/>
        <w:ind w:left="460" w:right="459" w:hanging="6"/>
        <w:spacing w:after="0" w:line="251" w:lineRule="auto"/>
        <w:tabs>
          <w:tab w:leader="none" w:pos="72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from the note issuance date or (b) an event of default. If the notes have not converted prior to maturity, then at maturity the outstanding principal and accrued interest shall be automatically converted into shares of common stock based on a per-share conversion price equal to (a) $310,000 divided by (b) the Fully Diluted Capitalization as of immediately prior to the closing of the Maturity Date or upon election of the holder, be repaid in cash. Prior to maturity and upon the closing of the next private financing of preferred stock or public liquidity event, the entire outstanding principal and accrued interest shall automatically be cancelled and converted into that number of shares of private preferred stock sold in such next financing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Next Financing.</w:t>
      </w:r>
    </w:p>
    <w:p>
      <w:pPr>
        <w:spacing w:after="0" w:line="12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a public liquidity event, the holder has the option to convert the entire outstanding principal and accrued interest into that number of shares of preferred stock as obtained by dividing (a) the entire principal and accrued interest balance by the lower of (i) 85% of the per-share selling price at which the Company issues shares of Conversion Stock in the Next Financing or (ii) the quotient obtained by dividing (a) $310,000 by</w:t>
      </w:r>
    </w:p>
    <w:p>
      <w:pPr>
        <w:spacing w:after="0" w:line="3" w:lineRule="exact"/>
        <w:rPr>
          <w:sz w:val="20"/>
          <w:szCs w:val="20"/>
          <w:color w:val="auto"/>
        </w:rPr>
      </w:pPr>
    </w:p>
    <w:p>
      <w:pPr>
        <w:ind w:left="460" w:right="479" w:hanging="6"/>
        <w:spacing w:after="0" w:line="260" w:lineRule="auto"/>
        <w:tabs>
          <w:tab w:leader="none" w:pos="7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Fully Diluted Capitalization as of immediately prior to the closing of the public liquidity event. In November 2021, the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Company amended its July 2020 Notes to remove the note holders option to elect repayment in cash at maturity. In January 2022, the Company amended its July 2020 Notes to extend the maturity date to the earlier of (a) March 31, 2022 or (b) an event of default.</w:t>
      </w:r>
    </w:p>
    <w:p>
      <w:pPr>
        <w:spacing w:after="0" w:line="9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Concurrent with the issuance of the July 2020 Notes, the Company issued warrants to purchase common stock at an exercise price of $0.01 and expire in July 2025. The warrants were determined to not be freestanding financial instruments and are embedded in the convertible notes.</w:t>
      </w:r>
    </w:p>
    <w:p>
      <w:pPr>
        <w:spacing w:after="0" w:line="10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Q3 2021 Notes </w:t>
      </w:r>
      <w:r>
        <w:rPr>
          <w:rFonts w:ascii="Times New Roman" w:cs="Times New Roman" w:eastAsia="Times New Roman" w:hAnsi="Times New Roman"/>
          <w:sz w:val="18"/>
          <w:szCs w:val="18"/>
          <w:color w:val="auto"/>
        </w:rPr>
        <w:t>— During January 2021 through March 2021 the Company issued convertible promissory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(the “Q3 2021 Notes”) in the amount of $18,166 with an annual interest rate of 5%. The Q3 2021 Notes mature at the earlier of (a) 20 months from the note issuance date or (b) an event of default. If the notes have not converted prior to maturity, then at maturity the outstanding principal and accrued interest shall be automatically converted into shares of a new series of preferred stock of the Company (with terms substantially similar to the Company’s Series C Preferred Stock, including a pari passu liquidation preference with the Company’s Series C Preferred Stock and a liquidation preference equal to the applicable conversion price of the Note) based on a per share conversion price equal to the quotient obtained by dividing (a) the then-applicable Valuation Cap (as defined in the Warrant) by (b) the Fully Diluted Capitalization as of immediately prior to the closing of the Maturity Date. Prior to maturity and upon the closing of the next private financing of preferred stock, the entire outstanding principal and accrued interest shall automatically be cancelled and converted into that number of shares of preferred stock sold in such next private financing as obtained by dividing (a) the entire principal and accrued interest balance by the conversion price. The conversion price being 85% of the lowest per-share selling price at which the Company issues shares of preferred stock to new-money investors in the next private financing. Upon a public liquidity event, the holder has the option to convert the entire outstanding principal and accrued interest into that number of shares of preferred stock as obtained by dividing (a) the entire principal and accrued interest balance by the conversion price, a conversion price 85% of the lowest per-share selling price at which the Company issues shares of Conversion Stock to new-money investors in the Next Financing.</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Concurrent with the issuance of the Q3 2021 Notes, the Company issued warrants to purchase a variable number of shares of common stock at an exercise price of $0.01. Such warrants expire between January 2026 and March 2026. The warrants were determined to not be freestanding financial instruments and are embedded in the convertible notes.</w:t>
      </w:r>
    </w:p>
    <w:p>
      <w:pPr>
        <w:spacing w:after="0" w:line="9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June 2021 Notes </w:t>
      </w:r>
      <w:r>
        <w:rPr>
          <w:rFonts w:ascii="Times New Roman" w:cs="Times New Roman" w:eastAsia="Times New Roman" w:hAnsi="Times New Roman"/>
          <w:sz w:val="18"/>
          <w:szCs w:val="18"/>
          <w:color w:val="auto"/>
        </w:rPr>
        <w:t>— In June 2021, the Company issued convertible promissory notes (the “June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 the total amount of $20,000 with an annual interest rate of 5%. The June 2021 Notes mature at the earlier of (a) 20 months from the note issuance date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 and upon the closing of a qualified next private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$600,000 by (b) the Fully Diluted Capitalization as of immediately prior to the closing of the next financing or public liquidity event The June 2021 Notes were settled with the issuance of the February 2022 Note.</w:t>
      </w:r>
    </w:p>
    <w:p>
      <w:pPr>
        <w:spacing w:after="0" w:line="127"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July 2021 Notes </w:t>
      </w:r>
      <w:r>
        <w:rPr>
          <w:rFonts w:ascii="Times New Roman" w:cs="Times New Roman" w:eastAsia="Times New Roman" w:hAnsi="Times New Roman"/>
          <w:sz w:val="18"/>
          <w:szCs w:val="18"/>
          <w:color w:val="auto"/>
        </w:rPr>
        <w:t>— In July 2021, the Company issued convertible promissory notes (the “July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 the total amount of $500 with an annual interest rate of 5%. The July 2021 Notes mature at the earlier of (a) December 20, 2022 or (b) an event of default. If the notes have not converted prior to maturity, then at maturity the outstanding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w:t>
      </w:r>
    </w:p>
    <w:p>
      <w:pPr>
        <w:spacing w:after="0" w:line="5" w:lineRule="exact"/>
        <w:rPr>
          <w:sz w:val="20"/>
          <w:szCs w:val="20"/>
          <w:color w:val="auto"/>
        </w:rPr>
      </w:pPr>
    </w:p>
    <w:p>
      <w:pPr>
        <w:ind w:left="460" w:right="459" w:hanging="6"/>
        <w:spacing w:after="0" w:line="260" w:lineRule="auto"/>
        <w:tabs>
          <w:tab w:leader="none" w:pos="7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(a) $600,000 by (b) the Fully Diluted Capitalization as of immediately prior to the closing of the next financing or public liquidity event.</w:t>
      </w:r>
    </w:p>
    <w:p>
      <w:pPr>
        <w:spacing w:after="0" w:line="9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February 2022 Note </w:t>
      </w:r>
      <w:r>
        <w:rPr>
          <w:rFonts w:ascii="Times New Roman" w:cs="Times New Roman" w:eastAsia="Times New Roman" w:hAnsi="Times New Roman"/>
          <w:sz w:val="18"/>
          <w:szCs w:val="18"/>
          <w:color w:val="auto"/>
        </w:rPr>
        <w:t>— In February 2022, the Company issued a convertible promissory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2022 Note”) in the amount of $25,663 with an annual interest rate of 5%. The February 2022 Notes settled indebtedness of $20,663, which includes accrued interest, related to the June 2021 Note and included $5,000 of cash proceeds. The February 2022 Note matures at the earlier of (a) December 20, 2022 or (b) an event of default. If the note has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w:t>
      </w:r>
    </w:p>
    <w:p>
      <w:pPr>
        <w:spacing w:after="0" w:line="4" w:lineRule="exact"/>
        <w:rPr>
          <w:sz w:val="20"/>
          <w:szCs w:val="20"/>
          <w:color w:val="auto"/>
        </w:rPr>
      </w:pPr>
    </w:p>
    <w:p>
      <w:pPr>
        <w:ind w:left="460" w:right="459" w:hanging="6"/>
        <w:spacing w:after="0" w:line="260" w:lineRule="auto"/>
        <w:tabs>
          <w:tab w:leader="none" w:pos="7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(a) $535,000 by (b) the Fully Diluted Capitalization as of immediately prior to the closing of the next financing or public liquidity event.</w:t>
      </w:r>
    </w:p>
    <w:p>
      <w:pPr>
        <w:spacing w:after="0" w:line="110" w:lineRule="exact"/>
        <w:rPr>
          <w:sz w:val="20"/>
          <w:szCs w:val="20"/>
          <w:color w:val="auto"/>
        </w:rPr>
      </w:pPr>
    </w:p>
    <w:p>
      <w:pPr>
        <w:ind w:left="460" w:right="479" w:firstLine="432"/>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May 2022 Notes </w:t>
      </w:r>
      <w:r>
        <w:rPr>
          <w:rFonts w:ascii="Times New Roman" w:cs="Times New Roman" w:eastAsia="Times New Roman" w:hAnsi="Times New Roman"/>
          <w:sz w:val="18"/>
          <w:szCs w:val="18"/>
          <w:color w:val="auto"/>
        </w:rPr>
        <w:t>— In May 2022, the Company issued convertible promissory notes (“May 2022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amount of $2,650 with an annual interest rate of 5%. The May 2022 Notes mature at the earlier of</w:t>
      </w:r>
    </w:p>
    <w:p>
      <w:pPr>
        <w:spacing w:after="0" w:line="1" w:lineRule="exact"/>
        <w:rPr>
          <w:sz w:val="20"/>
          <w:szCs w:val="20"/>
          <w:color w:val="auto"/>
        </w:rPr>
      </w:pPr>
    </w:p>
    <w:p>
      <w:pPr>
        <w:jc w:val="both"/>
        <w:ind w:left="460" w:right="479" w:hanging="6"/>
        <w:spacing w:after="0" w:line="250" w:lineRule="auto"/>
        <w:tabs>
          <w:tab w:leader="none" w:pos="72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0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2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$535,000 by (b) the Fully Diluted Capitalization as of immediately prior to the closing of the next financing or public liquidity event.</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concluded that the convertible promissory notes were eligible to apply the fair value option under ASC 825, accordingly the Company elected to account for the convertible notes at fair value and to report interest costs as a component of the fair value measurement during each reporting period. At June 30, 2022 and June 30, 2021, the remeasured value of the convertible promissory notes was $89,663, and $62,581, respectively with the Company recording a loss on remeasurement of $18,932 during the year ended June 30, 2022. The Company recorded a loss on remeasurement of $18,915 during the year ended June 30, 2021.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May 6, 2020, the Company entered into a loan agreement (the “PFI Loan”) with Point Financial Inc., which provided the Company with $6,000. The PFI Loan bore interest at 18.5% and matured on May 6, 2024. The PFI Loan required repayment of accrued interest only on the outstanding principal amount over the first 18 payment dates and an equal payment of principal plus accrued interest on the next 30 payment dates. The PFI Loan required a prepayment fee of 3% of the principal balance owed if the Company pre-paid within the first 18 months of the loan agreement term. The Company pre-paid the principal balance of $6,000 on March 5, 2021 and recorded a loss on extinguishment of $616.</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4, 2021, the Company entered into a loan agreement (the “Horizon Loan”) with Horizon Technology Finance Corporation (“Horizon”),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April 1, 2022, the Company entered into a second amendment with Horizon. Under the amended agreement, the Company experienced a default event, whereby the Company failed to achieve the agreed upon enterprise platform bookings target for the six months ended March 31, 2022. Horizon agreed to waive its right to repayment pursuant to the default event. However, as a consequence of the default, the Company will pay a 5% default rate for the periods commencing April 1, 2022 through the date of repayment of all obligations. In addition, pursuant to the amendments, the covenant related to enterprise platform bookings were also waived for the June 30, 2022 quarterly measurement period. The Company does not believe non-compliance with this covenant impacted the Company or its operations, other than the increased interest cost associated with the default rate. As of June 30, 2022, the Company was in compliance with the loan covenants. As of June 30, 2022 and June 30, 2021, the Company had an outstanding gross balance of $15,000 on the Horizon loan, and an unamortized debt discount of $570 and $989, respectively.</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As of June 30, 2022, the Company was in compliance with its covenants. The Company issued 253,855 warrants to purchase Series C convertible preferred stock with the Lago Loan. Refer to Note 11 for further details. As of June 30, 2022, the Company had an outstanding gross balance of $12,679 on the Lago Loan and an unamortized debt discount of $1,665.</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April 2020, the Company obtained a PPP loan for $2,599 through the SBA. In March 2021, a second</w:t>
      </w:r>
    </w:p>
    <w:p>
      <w:pPr>
        <w:spacing w:after="0" w:line="27" w:lineRule="exact"/>
        <w:rPr>
          <w:sz w:val="20"/>
          <w:szCs w:val="20"/>
          <w:color w:val="auto"/>
        </w:rPr>
      </w:pPr>
    </w:p>
    <w:p>
      <w:pPr>
        <w:jc w:val="both"/>
        <w:ind w:left="460" w:right="459" w:hanging="6"/>
        <w:spacing w:after="0" w:line="252" w:lineRule="auto"/>
        <w:tabs>
          <w:tab w:leader="none" w:pos="82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was obtained in the amount of $2,000, for a total of $4,599. The loans will be fully forgiven if the funds are used for payroll costs, interest on mortgages, rent, and utilities, with at least 60% being used for payroll. The Company used the funds for these expenses and applied for loan forgiveness of the PPP funds. Should the loans be forgiven, the forgiven loan balance will be recognized as income at that time. During the twelve months ended June 30, 2022, the Company received forgiveness for the first PPP loan of $2,599, which was recorded in Other income (expense),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net in the Company’s consolidated statement of operations and comprehensive loss. The second PPP loan has not been forgiven as of June 30, 2022. The second PPP loan was forgiven after June 30, 2022; refer to Note 19 for further details. No collateral or personal guarantees were required for the loan. These PPP loans would bear an interest rate of 1%, with two-year maturity for the first and five-year maturity for the second loan, respectively. The Company accounts for the loans as debt subject to the accounting guidance in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2022, future principal payments on debt were as follows: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Year Ended June 30,</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740" w:type="dxa"/>
            <w:vAlign w:val="bottom"/>
            <w:tcBorders>
              <w:top w:val="single" w:sz="8" w:color="auto"/>
              <w:bottom w:val="single" w:sz="8" w:color="CCEEFF"/>
            </w:tcBorders>
            <w:shd w:val="clear" w:color="auto" w:fill="CCEEFF"/>
          </w:tcPr>
          <w:p>
            <w:pPr>
              <w:jc w:val="right"/>
              <w:ind w:right="6290"/>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CCEEFF"/>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80,079</w:t>
            </w:r>
          </w:p>
        </w:tc>
      </w:tr>
      <w:tr>
        <w:trPr>
          <w:trHeight w:val="243"/>
        </w:trPr>
        <w:tc>
          <w:tcPr>
            <w:tcW w:w="6740" w:type="dxa"/>
            <w:vAlign w:val="bottom"/>
          </w:tcPr>
          <w:p>
            <w:pPr>
              <w:jc w:val="right"/>
              <w:ind w:right="6290"/>
              <w:spacing w:after="0"/>
              <w:rPr>
                <w:sz w:val="20"/>
                <w:szCs w:val="20"/>
                <w:color w:val="auto"/>
              </w:rPr>
            </w:pPr>
            <w:r>
              <w:rPr>
                <w:rFonts w:ascii="Times New Roman" w:cs="Times New Roman" w:eastAsia="Times New Roman" w:hAnsi="Times New Roman"/>
                <w:sz w:val="18"/>
                <w:szCs w:val="18"/>
                <w:color w:val="auto"/>
                <w:w w:val="94"/>
              </w:rPr>
              <w:t>2024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6740" w:type="dxa"/>
            <w:vAlign w:val="bottom"/>
            <w:tcBorders>
              <w:bottom w:val="single" w:sz="8" w:color="CCEEFF"/>
            </w:tcBorders>
            <w:shd w:val="clear" w:color="auto" w:fill="CCEEFF"/>
          </w:tcPr>
          <w:p>
            <w:pPr>
              <w:jc w:val="right"/>
              <w:ind w:right="6290"/>
              <w:spacing w:after="0"/>
              <w:rPr>
                <w:sz w:val="20"/>
                <w:szCs w:val="20"/>
                <w:color w:val="auto"/>
              </w:rPr>
            </w:pPr>
            <w:r>
              <w:rPr>
                <w:rFonts w:ascii="Times New Roman" w:cs="Times New Roman" w:eastAsia="Times New Roman" w:hAnsi="Times New Roman"/>
                <w:sz w:val="18"/>
                <w:szCs w:val="18"/>
                <w:color w:val="auto"/>
                <w:w w:val="94"/>
              </w:rPr>
              <w:t>2025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40" w:type="dxa"/>
            <w:vAlign w:val="bottom"/>
          </w:tcPr>
          <w:p>
            <w:pPr>
              <w:jc w:val="right"/>
              <w:ind w:right="6290"/>
              <w:spacing w:after="0"/>
              <w:rPr>
                <w:sz w:val="20"/>
                <w:szCs w:val="20"/>
                <w:color w:val="auto"/>
              </w:rPr>
            </w:pPr>
            <w:r>
              <w:rPr>
                <w:rFonts w:ascii="Times New Roman" w:cs="Times New Roman" w:eastAsia="Times New Roman" w:hAnsi="Times New Roman"/>
                <w:sz w:val="18"/>
                <w:szCs w:val="18"/>
                <w:color w:val="auto"/>
                <w:w w:val="94"/>
              </w:rPr>
              <w:t>2026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payments on debt obligations</w:t>
            </w: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82,079</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operating lease portfolio currently consists of office space leases. The Company leases its office headquarters under a non-cancellable operating lease expiring in January 2025.</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Future minimum payments related to operating leases as of June 30, 2022, are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60" w:type="dxa"/>
            <w:vAlign w:val="bottom"/>
          </w:tcPr>
          <w:p>
            <w:pPr>
              <w:spacing w:after="0"/>
              <w:rPr>
                <w:sz w:val="18"/>
                <w:szCs w:val="18"/>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4"/>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Total rent expense in the statements of operations, totaled $413 and $208 for the years ended June 30, 2022, and 2021, respectively.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Warranties, Indemnification, and Contingencies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years ended June 30, 2022 and 2021, the Company has incurred costs to refurbish customer tablets of $2,970 and $2,241, respectively, recorded in cost of revenue in the Company’s consolidated statement of operations and comprehensive loss. In connection with the service level agreements, the Company has recorded $724 and $1,166 in accrued liabilities in the consolidated financial statements for expected repair costs for customer tablets currently in the Company’s return merchandise authorization process as of June 30, 2022 and 2021, respectively.</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Commitments and Contingencies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12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June 30, 2022. As a result, the Company has not recognized any gain related to this settlement in its consolidated statement of operations and comprehensive loss.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Loss on Infrequent Product Repairs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fiscal years 2022 and 2021, the Company experienced an increase in hardware returned for repair or replacement using a Return Merchandise Authorization (“</w:t>
      </w:r>
      <w:r>
        <w:rPr>
          <w:rFonts w:ascii="Times New Roman" w:cs="Times New Roman" w:eastAsia="Times New Roman" w:hAnsi="Times New Roman"/>
          <w:sz w:val="18"/>
          <w:szCs w:val="18"/>
          <w:b w:val="1"/>
          <w:bCs w:val="1"/>
          <w:color w:val="auto"/>
        </w:rPr>
        <w:t>RMA</w:t>
      </w:r>
      <w:r>
        <w:rPr>
          <w:rFonts w:ascii="Times New Roman" w:cs="Times New Roman" w:eastAsia="Times New Roman" w:hAnsi="Times New Roman"/>
          <w:sz w:val="18"/>
          <w:szCs w:val="18"/>
          <w:color w:val="auto"/>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24"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standard warranty the Company provides covers regular wear and tear and does not cover any damage caused by mishandling of the product. However, given the nature of issues, the Company, in order to prevent disruption to the Company’s customers’ businesses, has incurred approximately $582 and $3,342 of repair and replacement expenses related to this issue during fiscal years 2022 and 2021, respectively. The Company provided repair and replacement of its hardware devices to all of its customers as a one-time only offer due to COVID-19. The Company has also made a claim to recover the costs from its third-party subcontractor who manufactures the hardware. Refer to Note 8 for further details.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880" w:right="6059" w:hanging="426"/>
        <w:spacing w:after="0" w:line="424" w:lineRule="auto"/>
        <w:tabs>
          <w:tab w:leader="none" w:pos="718"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Deficit </w:t>
      </w:r>
      <w:r>
        <w:rPr>
          <w:rFonts w:ascii="Times New Roman" w:cs="Times New Roman" w:eastAsia="Times New Roman" w:hAnsi="Times New Roman"/>
          <w:sz w:val="18"/>
          <w:szCs w:val="18"/>
          <w:b w:val="1"/>
          <w:bCs w:val="1"/>
          <w:i w:val="1"/>
          <w:iCs w:val="1"/>
          <w:color w:val="auto"/>
        </w:rPr>
        <w:t>Convertible Preferred Stock</w:t>
      </w:r>
    </w:p>
    <w:p>
      <w:pPr>
        <w:spacing w:after="0" w:line="1" w:lineRule="exact"/>
        <w:rPr>
          <w:rFonts w:ascii="Times New Roman" w:cs="Times New Roman" w:eastAsia="Times New Roman" w:hAnsi="Times New Roman"/>
          <w:sz w:val="18"/>
          <w:szCs w:val="18"/>
          <w:b w:val="1"/>
          <w:bCs w:val="1"/>
          <w:color w:val="auto"/>
        </w:rPr>
      </w:pPr>
    </w:p>
    <w:p>
      <w:pPr>
        <w:ind w:left="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the preferred stock outstanding and other related information is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8"/>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June 30, 2022 and 2021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0" w:type="dxa"/>
            <w:vAlign w:val="bottom"/>
          </w:tcPr>
          <w:p>
            <w:pPr>
              <w:spacing w:after="0"/>
              <w:rPr>
                <w:sz w:val="1"/>
                <w:szCs w:val="1"/>
                <w:color w:val="auto"/>
              </w:rPr>
            </w:pPr>
          </w:p>
        </w:tc>
      </w:tr>
      <w:tr>
        <w:trPr>
          <w:trHeight w:val="205"/>
        </w:trPr>
        <w:tc>
          <w:tcPr>
            <w:tcW w:w="20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8"/>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0" w:type="dxa"/>
            <w:vAlign w:val="bottom"/>
          </w:tcPr>
          <w:p>
            <w:pPr>
              <w:spacing w:after="0"/>
              <w:rPr>
                <w:sz w:val="1"/>
                <w:szCs w:val="1"/>
                <w:color w:val="auto"/>
              </w:rPr>
            </w:pPr>
          </w:p>
        </w:tc>
      </w:tr>
      <w:tr>
        <w:trPr>
          <w:trHeight w:val="180"/>
        </w:trPr>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Original</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Net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Issuable</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Issue</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7"/>
                <w:szCs w:val="17"/>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Upon</w:t>
            </w:r>
          </w:p>
        </w:tc>
        <w:tc>
          <w:tcPr>
            <w:tcW w:w="0" w:type="dxa"/>
            <w:vAlign w:val="bottom"/>
          </w:tcPr>
          <w:p>
            <w:pPr>
              <w:spacing w:after="0"/>
              <w:rPr>
                <w:sz w:val="1"/>
                <w:szCs w:val="1"/>
                <w:color w:val="auto"/>
              </w:rPr>
            </w:pPr>
          </w:p>
        </w:tc>
      </w:tr>
      <w:tr>
        <w:trPr>
          <w:trHeight w:val="212"/>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Conversion</w:t>
            </w:r>
          </w:p>
        </w:tc>
        <w:tc>
          <w:tcPr>
            <w:tcW w:w="0" w:type="dxa"/>
            <w:vAlign w:val="bottom"/>
          </w:tcPr>
          <w:p>
            <w:pPr>
              <w:spacing w:after="0"/>
              <w:rPr>
                <w:sz w:val="1"/>
                <w:szCs w:val="1"/>
                <w:color w:val="auto"/>
              </w:rPr>
            </w:pPr>
          </w:p>
        </w:tc>
      </w:tr>
      <w:tr>
        <w:trPr>
          <w:trHeight w:val="47"/>
        </w:trPr>
        <w:tc>
          <w:tcPr>
            <w:tcW w:w="20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0.3017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9,410,799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8,621,800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8,621,800</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Series AA-1</w:t>
            </w:r>
          </w:p>
        </w:tc>
        <w:tc>
          <w:tcPr>
            <w:tcW w:w="1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9.3597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1,131,190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1,024,349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9,520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1,024,349</w:t>
            </w:r>
          </w:p>
        </w:tc>
        <w:tc>
          <w:tcPr>
            <w:tcW w:w="0" w:type="dxa"/>
            <w:vAlign w:val="bottom"/>
          </w:tcPr>
          <w:p>
            <w:pPr>
              <w:spacing w:after="0"/>
              <w:rPr>
                <w:sz w:val="1"/>
                <w:szCs w:val="1"/>
                <w:color w:val="auto"/>
              </w:rPr>
            </w:pPr>
          </w:p>
        </w:tc>
      </w:tr>
      <w:tr>
        <w:trPr>
          <w:trHeight w:val="40"/>
        </w:trPr>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AA-2</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3.3215</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169,083</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169,083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169,083</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0.9959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10,364,829</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10,364,829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10,364,829</w:t>
            </w:r>
          </w:p>
        </w:tc>
        <w:tc>
          <w:tcPr>
            <w:tcW w:w="0" w:type="dxa"/>
            <w:vAlign w:val="bottom"/>
          </w:tcPr>
          <w:p>
            <w:pPr>
              <w:spacing w:after="0"/>
              <w:rPr>
                <w:sz w:val="1"/>
                <w:szCs w:val="1"/>
                <w:color w:val="auto"/>
              </w:rPr>
            </w:pPr>
          </w:p>
        </w:tc>
      </w:tr>
      <w:tr>
        <w:trPr>
          <w:trHeight w:val="40"/>
        </w:trPr>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0.6711</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4,619,282</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4,619,282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3,100</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4,619,282</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Series C</w:t>
            </w:r>
          </w:p>
        </w:tc>
        <w:tc>
          <w:tcPr>
            <w:tcW w:w="1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6.6080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3,026,634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1,513,316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1,513,316</w:t>
            </w:r>
          </w:p>
        </w:tc>
        <w:tc>
          <w:tcPr>
            <w:tcW w:w="0" w:type="dxa"/>
            <w:vAlign w:val="bottom"/>
          </w:tcPr>
          <w:p>
            <w:pPr>
              <w:spacing w:after="0"/>
              <w:rPr>
                <w:sz w:val="1"/>
                <w:szCs w:val="1"/>
                <w:color w:val="auto"/>
              </w:rPr>
            </w:pPr>
          </w:p>
        </w:tc>
      </w:tr>
      <w:tr>
        <w:trPr>
          <w:trHeight w:val="41"/>
        </w:trPr>
        <w:tc>
          <w:tcPr>
            <w:tcW w:w="2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5.2864</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2,030,761</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2,030,761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10,735</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10,735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2,030,761</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30,752,578</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28,343,420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46,564</w:t>
            </w:r>
          </w:p>
        </w:tc>
        <w:tc>
          <w:tcPr>
            <w:tcW w:w="3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46,908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28,343,420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any liquidation event must first be approved by the Board, which is controlled by the Company and its common stockholders, the convertible preferred stock is classified as permanent equity in the Company’s consolidated balance sheets as of June 30, 2022 and 2021. The rights, preferences, privileges, restrictions, and other matters relating to the preferred stock are set forth in the Company’s Amended and Restated Certificate of Incorporation dated May 24, 2022, as amended, and are summarized as follows:</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 Holders of Series A convertible preferred stock, Series B convertible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B-1 convertible preferred stock, Series C convertible preferred stock, and Series C-1 convertible preferred stock (collectively, the “Senior Preferred Stock”), are entitled to receive dividends prior and in preference to dividends declared on the Series AA-1 convertible preferred stock, the Series AA-2 convertible preferred stock, and the voting common stock and non-voting common stock (collectively, the “ELC common stock”) at a rate of $0.0241, $0.0797, $0.0537, $0.5286, and $0.4229 per share per annum, respectively.</w:t>
      </w:r>
    </w:p>
    <w:p>
      <w:pPr>
        <w:spacing w:after="0" w:line="11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After the holders of the Senior Preferred Stock have received full dividend preference, dividends may be declared and paid to all holders of Series AA-1 convertible preferred stock, in preference to the holders of Series AA-2 convertible preferred stock, common stock and non-voting common stock, at a rate of $0.7488 per share per annum. After the holders of Senior Preferred Stock and Series AA-1 convertible preferred stock have received full dividend preference, dividends may be declared and paid to all holders of Series AA-2 convertible preferred stock, in preference to the holders of the Company’s common stock, at a rate of $0.2657 per share per annum.</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after dividends in the full preferential amount are paid to the holders of Senior Preferred Stock, Series AA-1 convertible preferred stock, and Series AA-2 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spacing w:after="0" w:line="116" w:lineRule="exact"/>
        <w:rPr>
          <w:sz w:val="20"/>
          <w:szCs w:val="20"/>
          <w:color w:val="auto"/>
        </w:rPr>
      </w:pPr>
    </w:p>
    <w:p>
      <w:pPr>
        <w:jc w:val="center"/>
        <w:ind w:left="1940" w:right="380"/>
        <w:spacing w:after="0" w:line="485" w:lineRule="auto"/>
        <w:rPr>
          <w:sz w:val="20"/>
          <w:szCs w:val="20"/>
          <w:color w:val="auto"/>
        </w:rPr>
      </w:pPr>
      <w:r>
        <w:rPr>
          <w:rFonts w:ascii="Times New Roman" w:cs="Times New Roman" w:eastAsia="Times New Roman" w:hAnsi="Times New Roman"/>
          <w:sz w:val="18"/>
          <w:szCs w:val="18"/>
          <w:color w:val="auto"/>
        </w:rPr>
        <w:t>Dividends are payable only when, and if, declared by the Board of Directors and are non-cumulative.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Stockholders’ Deficit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2022 and 2021, no dividends have been declared or paid by the Company.</w:t>
      </w:r>
    </w:p>
    <w:p>
      <w:pPr>
        <w:spacing w:after="0" w:line="14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 In the event of any liquidation event (as defined in the restated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incorporation), whether voluntary or involuntary, before any payment shall be made to the holders of Series A convertible preferred stock, Series B convertible preferred stock, or Series B-1 convertible preferred stock (collectively, the “Other Senior Preferred Stock”), and before any payment shall be made to the holders of Series AA-1 convertible preferred stock, Series AA-2 convertible preferred stock, or ELC common stock, the holders of Series C convertible preferred stock and Series C-1 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completion of the payments to holders of Series C Senior Preferred Stock, before any payment shall be made to the holders of Series AA-1 convertible preferred stock, Series AA-2 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completion of the payments to holders of Senior Preferred Stock, before any payment shall be made to the holders of Series AA-2 convertible preferred stock and ELC common stock, the holders of Series AA-1 convertible preferred stock shall be entitled to receive out of the funds and assets available for distribution, an amount per share equal to the greater of a) the original issue price for such series of Series AA-1 convertible preferred stock plus all declared but unpaid dividends, or b) such amount per share as would have been payable had all shares of Series AA-1 convertible preferred stock been converted into common stock prior to the liquidation event. If the assets and funds distributed among the holders of the Series AA-1 convertible preferred stock are insufficient to permit payment to such holders of the full preferential amount, then the entire assets and funds of are legally available for distribution shall be distributed ratably among the holders of the Series AA-1 convertible preferred stock in proportion to the preferential amount each such holder is otherwise entitled to receive.</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completion of the payments to holders of Senior Preferred Stock and Series AA-1 convertible preferred stock, before any payment shall be made to the holders of ELC common stock, the holders of Series AA-2 convertible preferred stock shall be entitled to receive out of the funds and assets available for distribution, an amount per share equal to the greater of a) the original issue price for such series of Series AA-2 convertible preferred stock plus all declared but unpaid dividends, or b) such amount per share as would have been payable had all shares of Series AA-2 convertible preferred stock been converted into common stock prior to the liquidation event. If the assets and funds distributed among the holders of the Series AA-2 convertible preferred stock are insufficient to permit payment to such</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Stockholders’ Deficit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the full preferential amount, then the entire assets and funds of are legally available for distribution shall be distributed ratably among the holders of the Series AA-2 convertible preferred stock in proportion to the preferential amount each such holder is otherwise entitled to receive.</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After the payment of all preferential amounts required to be paid to the holders of Senior Preferred Stock, Series AA-1 convertible preferred stock, and Series AA-2 convertible preferred stock, the remaining assets and funds available for distribution to the stockholders shall be distributed among the holders of shares of ELC common stock.</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original issue price is $6.6080, $5.2864, $0.9959, $0.6711, $0.3017, $9.3597, and $3.3215 per share on Series C convertible preferred stock, Series C-1 convertible preferred stock, Series B convertible preferred stock, Series B-1 convertible preferred stock, Series A convertible preferred stock, Series AA-1 convertible preferred stock and Series AA-2 convertible preferred stock, respectively.</w:t>
      </w:r>
    </w:p>
    <w:p>
      <w:pPr>
        <w:spacing w:after="0" w:line="11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 Each share of a series of convertible preferred stock are convertible, into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the option of the holder, at any 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Each share of convertible preferred stock will automatically be converted into shares of common stock</w:t>
      </w:r>
    </w:p>
    <w:p>
      <w:pPr>
        <w:spacing w:after="0" w:line="27" w:lineRule="exact"/>
        <w:rPr>
          <w:sz w:val="20"/>
          <w:szCs w:val="20"/>
          <w:color w:val="auto"/>
        </w:rPr>
      </w:pPr>
    </w:p>
    <w:p>
      <w:pPr>
        <w:jc w:val="both"/>
        <w:ind w:left="460" w:right="459" w:hanging="6"/>
        <w:spacing w:after="0" w:line="251" w:lineRule="auto"/>
        <w:tabs>
          <w:tab w:leader="none" w:pos="7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closing of an underwritten public offering, pursuant to an effective registration statement file with the United States Securities and Exchange Commission resulting in aggregate gross proceeds to the Company of at least $75,000 and at a per share offering price to the public of no less than one times the original issue price of the Series C convertible preferred stock or (b) (i) in the case of the Series C convertible preferred stock and Series C-1 convertible preferred stock, the date and time in which a majority of the holders of Series C convertible preferred stock and Series C-1 convertible preferred stock, including the Series C lead investor, then outstanding specify by vote or written consent (ii) in the case of the Series B convertible preferred stock and Series B-1 convertible preferred stock, the date and time in which a majority of the holders of Series B convertible preferred stock and Series B-1 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 convertible preferred stock, the date and time in which a majority of the holders of Series AA-1 convertible preferred stock then outstanding specify by vote or written consent and (v) in the case of the Series AA-2 convertible preferred stock, the date and time in which a majority of the holders of Series AA-2 convertible preferred stock then outstanding specify by vote or written consent.</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Holders of convertible preferred stock are entitled to vote equal to the number of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into which the shares of convertible preferred stock are convertible. Holders of convertible preferred stock vote together with the holders of common stock as a single class on an as-converted basis.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is authorized to issue two classes of common stock: 52,000,000 shares of common stock and 665,368 shares of non-voting common stock as of June 30, 2022, and 50,674,000 shares of common stock and 165,368 shares of non-voting common stock as of June 30, 2021, each with a par value of $0.001 per share. As of June 30, 2022, the Company has 6,030,889 shares of common stock outstanding and 165,368 shares of non-voting common stock outstanding. As of June 30, 2021, the Company has 4,966,986 shares of common stock, and 165,368 shares of non-voting common stock outstanding. The holders of common stock shall have the right to one vote for each share of common stock held. The holders of non-voting common stock do not have the right to vote on any matter. The Company’s common stock and non-voting common stock share all characteristics with the exception of voting rights.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Stockholders’ Deficit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has the following shares of common stock reserved for future issuance:</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3"/>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preferred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28,343,420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28,343,420</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3,479,687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3,845,428</w:t>
            </w:r>
          </w:p>
        </w:tc>
      </w:tr>
      <w:tr>
        <w:trPr>
          <w:trHeight w:val="41"/>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non-voting common stock</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convertible preferred stock</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1,772,548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1,518,693</w:t>
            </w:r>
          </w:p>
        </w:tc>
      </w:tr>
      <w:tr>
        <w:trPr>
          <w:trHeight w:val="41"/>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7,195,737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4,259,508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 and RSUs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14,282,957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14,920,447</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 available for future grants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1,083,594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767,017</w:t>
            </w:r>
          </w:p>
        </w:tc>
      </w:tr>
      <w:tr>
        <w:trPr>
          <w:trHeight w:val="20"/>
        </w:trPr>
        <w:tc>
          <w:tcPr>
            <w:tcW w:w="56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44"/>
        </w:trPr>
        <w:tc>
          <w:tcPr>
            <w:tcW w:w="56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56,657,943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53,654,513</w:t>
            </w:r>
          </w:p>
        </w:tc>
      </w:tr>
      <w:tr>
        <w:trPr>
          <w:trHeight w:val="20"/>
        </w:trPr>
        <w:tc>
          <w:tcPr>
            <w:tcW w:w="5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6" w:lineRule="auto"/>
        <w:tabs>
          <w:tab w:leader="none" w:pos="88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reserved for common stock upon settlement of convertible notes into preferred shares and conversion of such preferred shares into common shares assumes that the notes are settled into preferred shares under the next financing scenario and are converted into common shares on a one for one basis. The ultimate number of shares to be issued is dependent on the Company’s fully diluted capitalization at the time of conversion and the occurrence of a next financing event or a change in control prior to maturity.</w:t>
      </w:r>
    </w:p>
    <w:p>
      <w:pPr>
        <w:jc w:val="both"/>
        <w:ind w:left="880" w:right="459" w:hanging="426"/>
        <w:spacing w:after="0" w:line="272" w:lineRule="auto"/>
        <w:tabs>
          <w:tab w:leader="none" w:pos="88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reserved for common stock upon settlement of warrants to purchase common stock that are embedded with the convertible notes assumes the warrants are settled into common shares under the next financing scenario. The ultimate number of shares to be issued is dependent on the Company’s fully diluted capitalization at the time of conversion and the occurrence of a next financing event or a change in control prior to maturity.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Warrants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Since inception, the Company has issued warrants to purchase convertible preferred and common stock in conjunction with various debt financings.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statement of operations and comprehensive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Warrants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Preferred Stock Warrants</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tables represents the warrants on convertible preferred stock outstanding:</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7"/>
        </w:trPr>
        <w:tc>
          <w:tcPr>
            <w:tcW w:w="186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1860" w:type="dxa"/>
            <w:vAlign w:val="bottom"/>
          </w:tcPr>
          <w:p>
            <w:pPr>
              <w:spacing w:after="0"/>
              <w:rPr>
                <w:sz w:val="15"/>
                <w:szCs w:val="15"/>
                <w:color w:val="auto"/>
              </w:rPr>
            </w:pPr>
          </w:p>
        </w:tc>
        <w:tc>
          <w:tcPr>
            <w:tcW w:w="12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80" w:type="dxa"/>
            <w:vAlign w:val="bottom"/>
          </w:tcPr>
          <w:p>
            <w:pPr>
              <w:spacing w:after="0"/>
              <w:rPr>
                <w:sz w:val="15"/>
                <w:szCs w:val="15"/>
                <w:color w:val="auto"/>
              </w:rPr>
            </w:pPr>
          </w:p>
        </w:tc>
        <w:tc>
          <w:tcPr>
            <w:tcW w:w="1200" w:type="dxa"/>
            <w:vAlign w:val="bottom"/>
            <w:gridSpan w:val="3"/>
          </w:tcPr>
          <w:p>
            <w:pPr>
              <w:jc w:val="center"/>
              <w:ind w:right="330"/>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gridSpan w:val="4"/>
          </w:tcPr>
          <w:p>
            <w:pPr>
              <w:jc w:val="center"/>
              <w:ind w:right="42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r>
      <w:tr>
        <w:trPr>
          <w:trHeight w:val="212"/>
        </w:trPr>
        <w:tc>
          <w:tcPr>
            <w:tcW w:w="18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 w:type="dxa"/>
            <w:vAlign w:val="bottom"/>
          </w:tcPr>
          <w:p>
            <w:pPr>
              <w:spacing w:after="0"/>
              <w:rPr>
                <w:sz w:val="18"/>
                <w:szCs w:val="18"/>
                <w:color w:val="auto"/>
              </w:rPr>
            </w:pPr>
          </w:p>
        </w:tc>
        <w:tc>
          <w:tcPr>
            <w:tcW w:w="1200" w:type="dxa"/>
            <w:vAlign w:val="bottom"/>
            <w:gridSpan w:val="3"/>
          </w:tcPr>
          <w:p>
            <w:pPr>
              <w:jc w:val="center"/>
              <w:ind w:right="31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Classification</w:t>
            </w:r>
          </w:p>
        </w:tc>
      </w:tr>
      <w:tr>
        <w:trPr>
          <w:trHeight w:val="46"/>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1"/>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AA-1</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106,841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497,183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224,909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5"/>
              </w:rPr>
              <w:t>[A]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Series C</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2031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2031</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363,894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Series C</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2032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253,855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7"/>
        </w:trPr>
        <w:tc>
          <w:tcPr>
            <w:tcW w:w="18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3"/>
        </w:trPr>
        <w:tc>
          <w:tcPr>
            <w:tcW w:w="1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3"/>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As of June 30, 2021</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
        </w:trPr>
        <w:tc>
          <w:tcPr>
            <w:tcW w:w="186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1300" w:type="dxa"/>
            <w:vAlign w:val="bottom"/>
            <w:tcBorders>
              <w:bottom w:val="single" w:sz="8" w:color="auto"/>
            </w:tcBorders>
            <w:gridSpan w:val="4"/>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1860" w:type="dxa"/>
            <w:vAlign w:val="bottom"/>
          </w:tcPr>
          <w:p>
            <w:pPr>
              <w:spacing w:after="0"/>
              <w:rPr>
                <w:sz w:val="15"/>
                <w:szCs w:val="15"/>
                <w:color w:val="auto"/>
              </w:rPr>
            </w:pPr>
          </w:p>
        </w:tc>
        <w:tc>
          <w:tcPr>
            <w:tcW w:w="12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80" w:type="dxa"/>
            <w:vAlign w:val="bottom"/>
          </w:tcPr>
          <w:p>
            <w:pPr>
              <w:spacing w:after="0"/>
              <w:rPr>
                <w:sz w:val="15"/>
                <w:szCs w:val="15"/>
                <w:color w:val="auto"/>
              </w:rPr>
            </w:pPr>
          </w:p>
        </w:tc>
        <w:tc>
          <w:tcPr>
            <w:tcW w:w="1200" w:type="dxa"/>
            <w:vAlign w:val="bottom"/>
            <w:gridSpan w:val="3"/>
          </w:tcPr>
          <w:p>
            <w:pPr>
              <w:jc w:val="center"/>
              <w:ind w:right="330"/>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00" w:type="dxa"/>
            <w:vAlign w:val="bottom"/>
            <w:gridSpan w:val="4"/>
          </w:tcPr>
          <w:p>
            <w:pPr>
              <w:jc w:val="center"/>
              <w:ind w:right="42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r>
      <w:tr>
        <w:trPr>
          <w:trHeight w:val="212"/>
        </w:trPr>
        <w:tc>
          <w:tcPr>
            <w:tcW w:w="18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 w:type="dxa"/>
            <w:vAlign w:val="bottom"/>
          </w:tcPr>
          <w:p>
            <w:pPr>
              <w:spacing w:after="0"/>
              <w:rPr>
                <w:sz w:val="18"/>
                <w:szCs w:val="18"/>
                <w:color w:val="auto"/>
              </w:rPr>
            </w:pPr>
          </w:p>
        </w:tc>
        <w:tc>
          <w:tcPr>
            <w:tcW w:w="1200" w:type="dxa"/>
            <w:vAlign w:val="bottom"/>
            <w:gridSpan w:val="3"/>
          </w:tcPr>
          <w:p>
            <w:pPr>
              <w:jc w:val="center"/>
              <w:ind w:right="31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00" w:type="dxa"/>
            <w:vAlign w:val="bottom"/>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Classification</w:t>
            </w:r>
          </w:p>
        </w:tc>
      </w:tr>
      <w:tr>
        <w:trPr>
          <w:trHeight w:val="47"/>
        </w:trPr>
        <w:tc>
          <w:tcPr>
            <w:tcW w:w="186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43"/>
        </w:trPr>
        <w:tc>
          <w:tcPr>
            <w:tcW w:w="1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186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AA-1</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106,841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497,183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186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224,909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5"/>
              </w:rPr>
              <w:t>[A]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Series C</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2031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186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2031</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363,894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43"/>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1,518,693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875"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Warrants will expire at the earliest of a consummation of an acquisition and one year after the effective date of a registration statement for an initial public offering.</w:t>
      </w:r>
    </w:p>
    <w:p>
      <w:pPr>
        <w:jc w:val="both"/>
        <w:ind w:left="880" w:right="459" w:hanging="426"/>
        <w:spacing w:after="0" w:line="272" w:lineRule="auto"/>
        <w:tabs>
          <w:tab w:leader="none" w:pos="866"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Warrant has the option of being converted into a variable number of shares based on the class of shares that the warrant is exercised at the discretion of the warrant holder. The Company notes the most likely conversion is to Series C-1 Preferred Stock and have calculated the number of shares as the quotient of the aggregate warrant intrinsic value of $1,925 over the exercise price of $5.29.</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Warrants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Common Stock and Non-Voting Common Stock Warrants</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tables represents the warrants on common stock outstanding:</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7"/>
        </w:trPr>
        <w:tc>
          <w:tcPr>
            <w:tcW w:w="186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4"/>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1860" w:type="dxa"/>
            <w:vAlign w:val="bottom"/>
          </w:tcPr>
          <w:p>
            <w:pPr>
              <w:spacing w:after="0"/>
              <w:rPr>
                <w:sz w:val="15"/>
                <w:szCs w:val="15"/>
                <w:color w:val="auto"/>
              </w:rPr>
            </w:pPr>
          </w:p>
        </w:tc>
        <w:tc>
          <w:tcPr>
            <w:tcW w:w="12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80" w:type="dxa"/>
            <w:vAlign w:val="bottom"/>
          </w:tcPr>
          <w:p>
            <w:pPr>
              <w:spacing w:after="0"/>
              <w:rPr>
                <w:sz w:val="15"/>
                <w:szCs w:val="15"/>
                <w:color w:val="auto"/>
              </w:rPr>
            </w:pPr>
          </w:p>
        </w:tc>
        <w:tc>
          <w:tcPr>
            <w:tcW w:w="100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60" w:type="dxa"/>
            <w:vAlign w:val="bottom"/>
          </w:tcPr>
          <w:p>
            <w:pPr>
              <w:spacing w:after="0"/>
              <w:rPr>
                <w:sz w:val="15"/>
                <w:szCs w:val="15"/>
                <w:color w:val="auto"/>
              </w:rPr>
            </w:pPr>
          </w:p>
        </w:tc>
        <w:tc>
          <w:tcPr>
            <w:tcW w:w="1440" w:type="dxa"/>
            <w:vAlign w:val="bottom"/>
            <w:gridSpan w:val="4"/>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r>
      <w:tr>
        <w:trPr>
          <w:trHeight w:val="212"/>
        </w:trPr>
        <w:tc>
          <w:tcPr>
            <w:tcW w:w="18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60" w:type="dxa"/>
            <w:vAlign w:val="bottom"/>
          </w:tcPr>
          <w:p>
            <w:pPr>
              <w:spacing w:after="0"/>
              <w:rPr>
                <w:sz w:val="18"/>
                <w:szCs w:val="18"/>
                <w:color w:val="auto"/>
              </w:rPr>
            </w:pPr>
          </w:p>
        </w:tc>
        <w:tc>
          <w:tcPr>
            <w:tcW w:w="14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Classification</w:t>
            </w:r>
          </w:p>
        </w:tc>
      </w:tr>
      <w:tr>
        <w:trPr>
          <w:trHeight w:val="46"/>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51,407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41"/>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20,563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104,284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175,288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3,179,551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4"/>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Non-voting 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2028</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7"/>
              </w:rPr>
              <w:t>6.7</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4"/>
              </w:rPr>
              <w:t>Total</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4,046,911</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3"/>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2021</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6"/>
        </w:trPr>
        <w:tc>
          <w:tcPr>
            <w:tcW w:w="186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4"/>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1860" w:type="dxa"/>
            <w:vAlign w:val="bottom"/>
          </w:tcPr>
          <w:p>
            <w:pPr>
              <w:spacing w:after="0"/>
              <w:rPr>
                <w:sz w:val="15"/>
                <w:szCs w:val="15"/>
                <w:color w:val="auto"/>
              </w:rPr>
            </w:pPr>
          </w:p>
        </w:tc>
        <w:tc>
          <w:tcPr>
            <w:tcW w:w="12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80" w:type="dxa"/>
            <w:vAlign w:val="bottom"/>
          </w:tcPr>
          <w:p>
            <w:pPr>
              <w:spacing w:after="0"/>
              <w:rPr>
                <w:sz w:val="15"/>
                <w:szCs w:val="15"/>
                <w:color w:val="auto"/>
              </w:rPr>
            </w:pPr>
          </w:p>
        </w:tc>
        <w:tc>
          <w:tcPr>
            <w:tcW w:w="100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60" w:type="dxa"/>
            <w:vAlign w:val="bottom"/>
          </w:tcPr>
          <w:p>
            <w:pPr>
              <w:spacing w:after="0"/>
              <w:rPr>
                <w:sz w:val="15"/>
                <w:szCs w:val="15"/>
                <w:color w:val="auto"/>
              </w:rPr>
            </w:pPr>
          </w:p>
        </w:tc>
        <w:tc>
          <w:tcPr>
            <w:tcW w:w="1440" w:type="dxa"/>
            <w:vAlign w:val="bottom"/>
            <w:gridSpan w:val="4"/>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r>
      <w:tr>
        <w:trPr>
          <w:trHeight w:val="212"/>
        </w:trPr>
        <w:tc>
          <w:tcPr>
            <w:tcW w:w="18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60" w:type="dxa"/>
            <w:vAlign w:val="bottom"/>
          </w:tcPr>
          <w:p>
            <w:pPr>
              <w:spacing w:after="0"/>
              <w:rPr>
                <w:sz w:val="18"/>
                <w:szCs w:val="18"/>
                <w:color w:val="auto"/>
              </w:rPr>
            </w:pPr>
          </w:p>
        </w:tc>
        <w:tc>
          <w:tcPr>
            <w:tcW w:w="14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Classification</w:t>
            </w:r>
          </w:p>
        </w:tc>
      </w:tr>
      <w:tr>
        <w:trPr>
          <w:trHeight w:val="47"/>
        </w:trPr>
        <w:tc>
          <w:tcPr>
            <w:tcW w:w="186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2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43"/>
        </w:trPr>
        <w:tc>
          <w:tcPr>
            <w:tcW w:w="1860" w:type="dxa"/>
            <w:vAlign w:val="bottom"/>
            <w:tcBorders>
              <w:top w:val="single" w:sz="8" w:color="CCEEFF"/>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51,407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40"/>
        </w:trPr>
        <w:tc>
          <w:tcPr>
            <w:tcW w:w="186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22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6.32</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20,563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7.49</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104,284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186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22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175,288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56"/>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3,478,068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7"/>
        </w:trPr>
        <w:tc>
          <w:tcPr>
            <w:tcW w:w="18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3"/>
        </w:trPr>
        <w:tc>
          <w:tcPr>
            <w:tcW w:w="1860" w:type="dxa"/>
            <w:vAlign w:val="bottom"/>
            <w:shd w:val="clear" w:color="auto" w:fill="CCEEFF"/>
          </w:tcPr>
          <w:p>
            <w:pPr>
              <w:jc w:val="center"/>
              <w:ind w:right="1050"/>
              <w:spacing w:after="0"/>
              <w:rPr>
                <w:sz w:val="20"/>
                <w:szCs w:val="20"/>
                <w:color w:val="auto"/>
              </w:rPr>
            </w:pPr>
            <w:r>
              <w:rPr>
                <w:rFonts w:ascii="Times New Roman" w:cs="Times New Roman" w:eastAsia="Times New Roman" w:hAnsi="Times New Roman"/>
                <w:sz w:val="18"/>
                <w:szCs w:val="18"/>
                <w:color w:val="auto"/>
                <w:w w:val="94"/>
              </w:rPr>
              <w:t>Total</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3,845,428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866"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Warrants expire at the greater of 7 years from the issuance date or 5 years from the effective date of a registration statement for an initial public offering.</w:t>
      </w:r>
    </w:p>
    <w:p>
      <w:pPr>
        <w:jc w:val="both"/>
        <w:ind w:left="880" w:right="479" w:hanging="426"/>
        <w:spacing w:after="0" w:line="264" w:lineRule="auto"/>
        <w:tabs>
          <w:tab w:leader="none" w:pos="875"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Warrants are exercisable after the conversion of the related convertible notes and will expire, if not exercised, at the earliest of a change in control event, the effective date of a registration statement for an initial public offering and 5 years from the issuance date.</w:t>
      </w:r>
    </w:p>
    <w:p>
      <w:pPr>
        <w:jc w:val="both"/>
        <w:ind w:left="880" w:right="459" w:hanging="426"/>
        <w:spacing w:after="0" w:line="266" w:lineRule="auto"/>
        <w:tabs>
          <w:tab w:leader="none" w:pos="857"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Warrants were issued in October 2021 and are exercisable contingent on rollouts of the Company’s products and services to the warrant holder. Number of shares represents the maximum number of shares to be issued to the warrant holder of 500,000, of which 397,500 remained contingent as of June 30, 2022. Expense related to these warrants will be recognized as a reduction to the transaction price of the customer contract and recorded as contra-revenue in the Company’s consolidated statements of operations and comprehensive loss. At initial recognition the Company measured the warrants at fair value, and through June 30, 2022 the Company has recognized $712 increase to additional paid-in capital associated with the vesting of such warrants and has recorded a corresponding reduction to revenue during such period of $129. The difference between the amount vested and contra-revenue recorded being the remaining consideration associated with vested warrants of $583, which is being deferred and will be amortized as contra-revenue as the related services are rendered.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color w:val="auto"/>
        </w:rPr>
        <w:t>On November 7, 2018, the Company adopted a new equity incentive plan (“</w:t>
      </w:r>
      <w:r>
        <w:rPr>
          <w:rFonts w:ascii="Times New Roman" w:cs="Times New Roman" w:eastAsia="Times New Roman" w:hAnsi="Times New Roman"/>
          <w:sz w:val="18"/>
          <w:szCs w:val="18"/>
          <w:b w:val="1"/>
          <w:bCs w:val="1"/>
          <w:color w:val="auto"/>
        </w:rPr>
        <w:t>2018 Plan</w:t>
      </w:r>
      <w:r>
        <w:rPr>
          <w:rFonts w:ascii="Times New Roman" w:cs="Times New Roman" w:eastAsia="Times New Roman" w:hAnsi="Times New Roman"/>
          <w:sz w:val="18"/>
          <w:szCs w:val="18"/>
          <w:color w:val="auto"/>
        </w:rPr>
        <w:t>”) which replaced the 2008 Stock Incentive Plan (“</w:t>
      </w:r>
      <w:r>
        <w:rPr>
          <w:rFonts w:ascii="Times New Roman" w:cs="Times New Roman" w:eastAsia="Times New Roman" w:hAnsi="Times New Roman"/>
          <w:sz w:val="18"/>
          <w:szCs w:val="18"/>
          <w:b w:val="1"/>
          <w:bCs w:val="1"/>
          <w:color w:val="auto"/>
        </w:rPr>
        <w:t>2008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color w:val="auto"/>
        </w:rPr>
        <w:t>”). As of June 30, 2022 and 2021, the number of shares of common stock reserved for issuance under the 2018 Plan includes 1,083,594 and 767,017, respectively.</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Board of Directors may grant incentive and non-statutory stock options and RSUs to employees, outside directors, investors and consultants at an exercise price of not less than 100% of the fair market value, as determined by the Board of Directors, at the date of grant. Stock options and RSUs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fiscal year 2022, the Company granted 445,000 RSUs to its employees and consultants that contain a service-based vesting condition and a performance-based vesting condition, with a weighted average grant date fair value of $6.46 per RSU.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for the fiscal year 2022 related to these RSUs as achievement of the performance-based vesting condition was not deemed probable of occurring. As of June 30, 2022, $2,876 of stock-based compensation related to these RSUs remains unrecognized, which is expected to be recognized over a remaining weighted-average period of 4.69 years, subject to the performance-based vesting condition being satisfied or deemed probable at which point the Company will recognize a cumulative adjustment for the service condition satisfied at such point.</w:t>
      </w:r>
    </w:p>
    <w:p>
      <w:pPr>
        <w:spacing w:after="0" w:line="12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During the fiscal year 2021, the Company granted 741,740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370,870 of the options and in connection with a public liquidity event for 370,870 of the options. A financing event occurred as of June 30, 2021 that satisfied the performance-based vesting condition for 370,870 of the options. As a result, these options are now subject to the service-based vesting condition and the Company recorded $97 and $0 of compensation stock-based compensation expense during the year ended June 30, 2022 and 2021, respectively. As of June 30, 2022, $291 remains subject to service-based vesting, which is expected to be recognized over a weighted-average period of 3 years.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 During the years ended June 30, 2022 and 2021, the Company did not record compensation expense related to these options as achievement of the performance-based vesting conditions was not deemed probable of occurring. As of June 30, 2022, $388 of stock-based compensation related to these options for which the performance-based vesting condition has not been met remains unrecognized, which is expected to be recognized over a weighted-average period of 4 years beginning from when the performance-based vesting condition is satisfied or deemed probable.</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the event of voluntary or involuntary termination of employment with the Company for any reason, with or without cause, all unvested options and RSUs are forfeited and all vested options must be exercised within a 90-day period the 2018 Plan and within a 30-day period under the 2008 Plan or they are forfeited.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Stock-Based Compensation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summary of the equity incentive plan option activity for the year ended June 30, 2022 is shown collectively for the 2018 Plan and the 2008 Plan:</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2280" w:type="dxa"/>
            <w:vAlign w:val="bottom"/>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Available for</w:t>
            </w: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Life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12"/>
        </w:trPr>
        <w:tc>
          <w:tcPr>
            <w:tcW w:w="228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46"/>
        </w:trPr>
        <w:tc>
          <w:tcPr>
            <w:tcW w:w="22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2021</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767,017</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14,920,447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0.52</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(396,939)</w:t>
            </w:r>
          </w:p>
        </w:tc>
        <w:tc>
          <w:tcPr>
            <w:tcW w:w="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396,939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2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(320,913)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0.35</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and expired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1,151,182</w:t>
            </w:r>
          </w:p>
        </w:tc>
        <w:tc>
          <w:tcPr>
            <w:tcW w:w="8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(1,151,182)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1,521,260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w w:val="98"/>
              </w:rPr>
              <w:t>13,845,291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0.59</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6.66</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Vested and expected to vest at</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2022</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13,479,421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0.59</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94,561</w:t>
            </w:r>
          </w:p>
        </w:tc>
      </w:tr>
      <w:tr>
        <w:trPr>
          <w:trHeight w:val="40"/>
        </w:trPr>
        <w:tc>
          <w:tcPr>
            <w:tcW w:w="2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10,044,314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0.30</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5.97</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73,459</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options vested and expected to vest excludes 370,870 performance-based awards, for which the performance conditions were not probable of being achieved at June 30, 2022. The aggregate intrinsic value of options exercised during fiscal years 2022 and 2021 was $1,902 and $361, respectively. The weighted average grant date fair value of granted options during fiscal years 2022 and 2021 were $3.32 and $0.96, respectively.</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equity incentive plan RSU activity for the year ended June 30, 2022 for the 2018 Plan:</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56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 June 30, 2021</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 June 30, 2022</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432,666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Significant Assumptions used in Estimating Option Fair Value and Stock-Based Compensation Expense</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values of each option awarded on the date of grant using the Black-Scholes-Merton option pricing model utilizing the assumptions noted below.</w:t>
      </w:r>
    </w:p>
    <w:p>
      <w:pPr>
        <w:spacing w:after="0" w:line="90" w:lineRule="exact"/>
        <w:rPr>
          <w:sz w:val="20"/>
          <w:szCs w:val="20"/>
          <w:color w:val="auto"/>
        </w:rPr>
      </w:pPr>
    </w:p>
    <w:p>
      <w:pPr>
        <w:jc w:val="both"/>
        <w:ind w:left="1320" w:right="459" w:hanging="434"/>
        <w:spacing w:after="0" w:line="262"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 </w:t>
      </w:r>
      <w:r>
        <w:rPr>
          <w:rFonts w:ascii="Times New Roman" w:cs="Times New Roman" w:eastAsia="Times New Roman" w:hAnsi="Times New Roman"/>
          <w:sz w:val="18"/>
          <w:szCs w:val="18"/>
          <w:color w:val="auto"/>
        </w:rPr>
        <w:t>The risk-free interest rate was calculated using the average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published interest rates of U.S. Treasury zero-coupon issues with maturities that approximate the expected term. The dividend yield assumption is zero as the Company has no history of, nor plans to distribute, dividend payments.</w:t>
      </w:r>
    </w:p>
    <w:p>
      <w:pPr>
        <w:spacing w:after="0" w:line="95" w:lineRule="exact"/>
        <w:rPr>
          <w:rFonts w:ascii="Times New Roman" w:cs="Times New Roman" w:eastAsia="Times New Roman" w:hAnsi="Times New Roman"/>
          <w:sz w:val="18"/>
          <w:szCs w:val="18"/>
          <w:color w:val="auto"/>
        </w:rPr>
      </w:pPr>
    </w:p>
    <w:p>
      <w:pPr>
        <w:jc w:val="both"/>
        <w:ind w:left="1320" w:right="459" w:hanging="434"/>
        <w:spacing w:after="0" w:line="259" w:lineRule="auto"/>
        <w:tabs>
          <w:tab w:leader="none" w:pos="1315" w:val="left"/>
        </w:tabs>
        <w:numPr>
          <w:ilvl w:val="0"/>
          <w:numId w:val="1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Expected term — </w:t>
      </w:r>
      <w:r>
        <w:rPr>
          <w:rFonts w:ascii="Times New Roman" w:cs="Times New Roman" w:eastAsia="Times New Roman" w:hAnsi="Times New Roman"/>
          <w:sz w:val="18"/>
          <w:szCs w:val="18"/>
          <w:color w:val="auto"/>
        </w:rPr>
        <w:t>The expected term of the options is based on the average period the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expected to remain outstanding, 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720" w:hanging="266"/>
        <w:spacing w:after="0"/>
        <w:tabs>
          <w:tab w:leader="none" w:pos="72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(cont.)</w:t>
      </w:r>
    </w:p>
    <w:p>
      <w:pPr>
        <w:spacing w:after="0" w:line="198"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315" w:val="left"/>
        </w:tabs>
        <w:numPr>
          <w:ilvl w:val="1"/>
          <w:numId w:val="1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Expected volatility — </w:t>
      </w:r>
      <w:r>
        <w:rPr>
          <w:rFonts w:ascii="Times New Roman" w:cs="Times New Roman" w:eastAsia="Times New Roman" w:hAnsi="Times New Roman"/>
          <w:sz w:val="18"/>
          <w:szCs w:val="18"/>
          <w:color w:val="auto"/>
        </w:rPr>
        <w:t>The expected stock price volatility for the Company’s stock was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examining the historical volatilities of the Company’s industry peers as the Company did not have any trading history of its common stock.</w:t>
      </w:r>
    </w:p>
    <w:p>
      <w:pPr>
        <w:spacing w:after="0" w:line="89" w:lineRule="exact"/>
        <w:rPr>
          <w:rFonts w:ascii="Times New Roman" w:cs="Times New Roman" w:eastAsia="Times New Roman" w:hAnsi="Times New Roman"/>
          <w:sz w:val="18"/>
          <w:szCs w:val="18"/>
          <w:b w:val="1"/>
          <w:bCs w:val="1"/>
          <w:i w:val="1"/>
          <w:iCs w:val="1"/>
          <w:color w:val="auto"/>
        </w:rPr>
      </w:pPr>
    </w:p>
    <w:p>
      <w:pPr>
        <w:ind w:left="1320" w:right="479" w:hanging="434"/>
        <w:spacing w:after="0" w:line="286" w:lineRule="auto"/>
        <w:tabs>
          <w:tab w:leader="none" w:pos="131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dividend yield — </w:t>
      </w:r>
      <w:r>
        <w:rPr>
          <w:rFonts w:ascii="Times New Roman" w:cs="Times New Roman" w:eastAsia="Times New Roman" w:hAnsi="Times New Roman"/>
          <w:sz w:val="18"/>
          <w:szCs w:val="18"/>
          <w:color w:val="auto"/>
        </w:rPr>
        <w:t>The dividend yield assumption is zero as the Company has no history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nor plans to distribute, dividend payments.</w:t>
      </w:r>
    </w:p>
    <w:p>
      <w:pPr>
        <w:spacing w:after="0" w:line="9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assumptions used under the Black-Scholes-Merton option pricing model and the weighted average calculated value of the options granted to employees are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0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46"/>
        </w:trPr>
        <w:tc>
          <w:tcPr>
            <w:tcW w:w="5200" w:type="dxa"/>
            <w:vAlign w:val="bottom"/>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r>
      <w:tr>
        <w:trPr>
          <w:trHeight w:val="231"/>
        </w:trPr>
        <w:tc>
          <w:tcPr>
            <w:tcW w:w="520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20"/>
                <w:szCs w:val="20"/>
                <w:color w:val="auto"/>
              </w:rPr>
            </w:pPr>
          </w:p>
        </w:tc>
        <w:tc>
          <w:tcPr>
            <w:tcW w:w="1460" w:type="dxa"/>
            <w:vAlign w:val="bottom"/>
            <w:gridSpan w:val="2"/>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2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1.25%</w:t>
            </w: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6.51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6.51</w:t>
            </w:r>
          </w:p>
        </w:tc>
      </w:tr>
      <w:tr>
        <w:trPr>
          <w:trHeight w:val="40"/>
        </w:trPr>
        <w:tc>
          <w:tcPr>
            <w:tcW w:w="5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46.15%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47.74%</w:t>
            </w: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r>
    </w:tbl>
    <w:p>
      <w:pPr>
        <w:spacing w:after="0" w:line="2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Stock-based compensation expense, excluding stock-based compensation in capitalized software, by function is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120" w:type="dxa"/>
            <w:vAlign w:val="bottom"/>
            <w:gridSpan w:val="5"/>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380" w:type="dxa"/>
            <w:vAlign w:val="bottom"/>
          </w:tcPr>
          <w:p>
            <w:pPr>
              <w:spacing w:after="0"/>
              <w:rPr>
                <w:sz w:val="18"/>
                <w:szCs w:val="18"/>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Pr>
          <w:p>
            <w:pPr>
              <w:spacing w:after="0"/>
              <w:rPr>
                <w:sz w:val="20"/>
                <w:szCs w:val="20"/>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5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44"/>
        </w:trPr>
        <w:tc>
          <w:tcPr>
            <w:tcW w:w="5600" w:type="dxa"/>
            <w:vAlign w:val="bottom"/>
          </w:tcPr>
          <w:p>
            <w:pPr>
              <w:spacing w:after="0"/>
              <w:rPr>
                <w:sz w:val="21"/>
                <w:szCs w:val="21"/>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1,909</w:t>
            </w:r>
          </w:p>
        </w:tc>
        <w:tc>
          <w:tcPr>
            <w:tcW w:w="880" w:type="dxa"/>
            <w:vAlign w:val="bottom"/>
            <w:gridSpan w:val="2"/>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Stock-based compensation allocated to cost of goods sold was not material for the fiscal years ended June 30, 2022 and 2021. The weighted-average grant date fair value of options vested during the years ended June 30, 2022 and 2021 was $0.85 and $0.38, respectively. As of June 30, 2022, the unrecognized stock-based compensation expense related to outstanding unvested stock options, excluding those with performance-based service conditions that are either unvested or not deemed probable of occurring at June 30, 2022, was $3,756, which is expected to be recognized over a weighted-average period of 3.02 years.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Stock-based Compensation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CyborgOps (see Note 15), the Company issued 587,264 shares of common stock to former employees of CyborOps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7.09 per share based on the acquisition date fair value. During the fiscal year ended June 30, 2022, the Company recognized $101 of stock-based compensation expense related to these awards. As of June 30, 2022, unrecognized stock-based compensation expense was $4,063, which is expected to be recognized over a weighted-average period of 3.87 years.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is subject to U.S. federal, state, and local corporate income taxes.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components of loss before taxes are as follows: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4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(56,644)</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(49,819)</w:t>
            </w:r>
          </w:p>
        </w:tc>
        <w:tc>
          <w:tcPr>
            <w:tcW w:w="0" w:type="dxa"/>
            <w:vAlign w:val="bottom"/>
          </w:tcPr>
          <w:p>
            <w:pPr>
              <w:spacing w:after="0"/>
              <w:rPr>
                <w:sz w:val="1"/>
                <w:szCs w:val="1"/>
                <w:color w:val="auto"/>
              </w:rPr>
            </w:pP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 before taxes</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(49,779</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Income tax (benefit) provision was comprised of the following:</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5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4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4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center"/>
              <w:ind w:right="1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tax provision</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(benefit) provision</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tax (benefit) provision</w:t>
            </w: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gridSpan w:val="2"/>
          </w:tcPr>
          <w:p>
            <w:pPr>
              <w:jc w:val="center"/>
              <w:ind w:right="2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Effective tax rate</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0.41%</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373"/>
        </w:trPr>
        <w:tc>
          <w:tcPr>
            <w:tcW w:w="8100" w:type="dxa"/>
            <w:vAlign w:val="bottom"/>
            <w:gridSpan w:val="16"/>
          </w:tcPr>
          <w:p>
            <w:pPr>
              <w:ind w:left="420"/>
              <w:spacing w:after="0"/>
              <w:rPr>
                <w:sz w:val="20"/>
                <w:szCs w:val="20"/>
                <w:color w:val="auto"/>
              </w:rPr>
            </w:pPr>
            <w:r>
              <w:rPr>
                <w:rFonts w:ascii="Times New Roman" w:cs="Times New Roman" w:eastAsia="Times New Roman" w:hAnsi="Times New Roman"/>
                <w:sz w:val="18"/>
                <w:szCs w:val="18"/>
                <w:color w:val="auto"/>
              </w:rPr>
              <w:t>The Company’s effective income tax rate reconciliation is composed of the following for the periods</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5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gridSpan w:val="8"/>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4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4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40"/>
        </w:trPr>
        <w:tc>
          <w:tcPr>
            <w:tcW w:w="5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40"/>
        </w:trPr>
        <w:tc>
          <w:tcPr>
            <w:tcW w:w="5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notes</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41"/>
        </w:trPr>
        <w:tc>
          <w:tcPr>
            <w:tcW w:w="54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4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520" w:type="dxa"/>
            <w:vAlign w:val="bottom"/>
            <w:tcBorders>
              <w:bottom w:val="single" w:sz="8" w:color="auto"/>
            </w:tcBorders>
            <w:gridSpan w:val="2"/>
          </w:tcPr>
          <w:p>
            <w:pPr>
              <w:ind w:left="3880"/>
              <w:spacing w:after="0"/>
              <w:rPr>
                <w:sz w:val="20"/>
                <w:szCs w:val="20"/>
                <w:color w:val="auto"/>
              </w:rPr>
            </w:pPr>
            <w:r>
              <w:rPr>
                <w:rFonts w:ascii="Times New Roman" w:cs="Times New Roman" w:eastAsia="Times New Roman" w:hAnsi="Times New Roman"/>
                <w:sz w:val="18"/>
                <w:szCs w:val="18"/>
                <w:color w:val="auto"/>
              </w:rPr>
              <w:t>F-42</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Income Taxes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components of net deferred tax assets are as follows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31,038</w:t>
            </w:r>
          </w:p>
        </w:tc>
        <w:tc>
          <w:tcPr>
            <w:tcW w:w="100" w:type="dxa"/>
            <w:vAlign w:val="bottom"/>
          </w:tcPr>
          <w:p>
            <w:pPr>
              <w:spacing w:after="0"/>
              <w:rPr>
                <w:sz w:val="21"/>
                <w:szCs w:val="21"/>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19,659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2"/>
                <w:szCs w:val="22"/>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29,555</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(38,750)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(29,555)</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2"/>
                <w:szCs w:val="22"/>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Deferred tax assets are reduced by valuation allowances if, based on the consideration of all available evidence, it is more likely than not that some portion of the deferred tax asset will not be realized.</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and tax credits carryforwards, the Company will need to generate sufficient future taxable income in each respective jurisdiction.</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summarizes the activity related to valuation allowances on deferred tax assets: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as of beginning of year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22,272</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 established</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to existing valuation allowances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9,195</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38,750</w:t>
            </w: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June 30, 2022, the Company had federal and state NOLs for approximately $134,670 and $41,581, respectively. The federal and state NOLs begin to expire in 2029 if not utilized. The use of the NOLs may be subject to certain limitations under Section 382 of the Internal Revenue Code of 1986 (the “Code”) and similar state tax law. As of June 30, 2022, the Company had research and development tax credit carryforwards of approximately $5,024 and $4,809 for federal and state tax purposes, respectively. The federal credits begin to expire in 2029 and the state tax credits do not expire.</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Income Taxes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total amount of gross unrecognized tax benefits was $4,916 as of June 30, 2022, of which none would affect the effective tax rate if recognized because it would result in an increase in the deferred tax assets with a corresponding increase in the valuation allowance, therefore no impact. The aggregate changes in the balance of gross unrecognized tax benefits are as follows (in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4"/>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4,189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related to prior period tax positions</w:t>
            </w: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7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4,916</w:t>
            </w: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for the periods presented: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Years Ended June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3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4"/>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3"/>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0"/>
        </w:trPr>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7"/>
        </w:trPr>
        <w:tc>
          <w:tcPr>
            <w:tcW w:w="3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4"/>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r>
      <w:tr>
        <w:trPr>
          <w:trHeight w:val="230"/>
        </w:trPr>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Non-Voting</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9"/>
              </w:rPr>
              <w:t>Non-Voting</w:t>
            </w:r>
          </w:p>
        </w:tc>
      </w:tr>
      <w:tr>
        <w:trPr>
          <w:trHeight w:val="47"/>
        </w:trPr>
        <w:tc>
          <w:tcPr>
            <w:tcW w:w="3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(48,179)</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w:t>
            </w:r>
          </w:p>
        </w:tc>
      </w:tr>
      <w:tr>
        <w:trPr>
          <w:trHeight w:val="40"/>
        </w:trPr>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computing net loss per share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8"/>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5,159,754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165,368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4,908,650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165,368</w:t>
            </w:r>
          </w:p>
        </w:tc>
      </w:tr>
      <w:tr>
        <w:trPr>
          <w:trHeight w:val="27"/>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178"/>
        </w:trPr>
        <w:tc>
          <w:tcPr>
            <w:tcW w:w="31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55"/>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(9.82)</w:t>
            </w:r>
          </w:p>
        </w:tc>
        <w:tc>
          <w:tcPr>
            <w:tcW w:w="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are the same for each class of common stock because they are entitled to the same liquidation and dividend rights.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14. Net Loss Per Share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been antidilutive are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3"/>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46"/>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28,343,420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28,343,420</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RSUs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14,282,957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14,920,447</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warrants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1,772,548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1,518,693</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7,195,737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4,259,508</w:t>
            </w:r>
          </w:p>
        </w:tc>
      </w:tr>
      <w:tr>
        <w:trPr>
          <w:trHeight w:val="41"/>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3,479,687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3,845,428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Non-voting common stock warrants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subject to vesting – CyborgOps (see Note 15)</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587,264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5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potential shares of common stock excluded from the computation of</w:t>
            </w: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55"/>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56,161,613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52,887,496</w:t>
            </w:r>
          </w:p>
        </w:tc>
      </w:tr>
      <w:tr>
        <w:trPr>
          <w:trHeight w:val="20"/>
        </w:trPr>
        <w:tc>
          <w:tcPr>
            <w:tcW w:w="5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stock options and RSUs include 803,536 and 370,870 of service-based and performance-based awards as of June 30, 2022 and 2021,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 CyborgOps Acquisition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May 23, 2022, the Company entered into an Asset Purchase Agreement (“Purchase Agreement”) with CyborgOps, Inc. (“CyborgOps”), a provider of artificial intelligence 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Presto technology, including acquiring CyborgOps’ assembled workforce to assist in such development. Pursuant to the Purchase Agreement, the stockholders of CyborgOps may receive up to $6,795 in total consideration, consisting of 742,990 shares of the Company’s common stock valued at $7.09 per share and $1,527 in cash consideration, consisting of $100 in cash paid upon closing and a $1,427 promissory note. The promissory note bears interest at 5% and requires monthly payments of $50, consisting of interest and principal payments, beginning in June 2022. All remaining unpaid principal and accrued interest will become due and payable on May 23, 2024. Should a financing event with aggregate proceeds of over $50,000 occur, the unpaid principal and accrued will immediately become due and payable.</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Of the $6,795 total consideration, $2,209 was accounted for as consideration transferred, consisting of $155 in cash paid upon closing, $950 deferred cash consideration and $1,104 of stock consideration, representing the conveyance to the former stockholders of 155,726 Company shares valued at $7.09 per share. On the acquisition dated, the remaining 587,264 shares are accounted for as stock-based compensation because the shares are subject to forfeiture based on post-acquisition time-based service vesting over four years (see Note 12). The promissory note is accounted for as post-acquisition compensation expense due to certain cancellation and forgiveness provisions based on continuing employment requirements of certain employees, who were also the primary owners of CyborgOps. The continuing employment condition will be met two years after the execution of the Purchase Agreement.</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$1,300 (See Note 5), $247 deferred tax liability and goodwill of $1,156.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15. CyborgOps Acquisition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revenue and earnings of the acquired business have been included in the Company’s results since the acquisition date. The Company incurred approximately $200 in acquisition-related costs, which were expensed as incurred in general and administrative in the Company’s consolidated statement of operations and comprehensive loss. 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16. Employee Benefit Plans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eligible employees who elect to participate. The plan does not provide for any Company contributions.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certain convertible promissory notes and embedded warrants with entities in which a member of the Company’s board of directors is an officer of the entity and has a financial interest in the entity (“</w:t>
      </w:r>
      <w:r>
        <w:rPr>
          <w:rFonts w:ascii="Times New Roman" w:cs="Times New Roman" w:eastAsia="Times New Roman" w:hAnsi="Times New Roman"/>
          <w:sz w:val="18"/>
          <w:szCs w:val="18"/>
          <w:b w:val="1"/>
          <w:bCs w:val="1"/>
          <w:color w:val="auto"/>
        </w:rPr>
        <w:t>affiliated entities</w:t>
      </w:r>
      <w:r>
        <w:rPr>
          <w:rFonts w:ascii="Times New Roman" w:cs="Times New Roman" w:eastAsia="Times New Roman" w:hAnsi="Times New Roman"/>
          <w:sz w:val="18"/>
          <w:szCs w:val="18"/>
          <w:color w:val="auto"/>
        </w:rPr>
        <w:t>”). In fiscal year 2021, the Company issued $4,500 of convertible promissory notes to the affiliated entities as part of the July 2020 Notes and the Q3 2021 Notes. Refer to Note 7 for further details on settlement of the July 2020 Notes and the Q3 2021 Notes.</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June 30, 2022 and 2021, $9,566 and $6,449, respectively, of the Company’s convertible promissory notes and embedded warrants balance is due to a related party, of which $9,566 and $3,583, respectively, are due within 12 months.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18. Subsequent Events pertaining to the Merger Agreement</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July 25, 2022, the Company subsequently amended its agreement and plan of merger (“the Amended Merger Agreement”) among the Company, Ventoux, Ventoux Merger Sub, and Ventoux Merger Sub II. As a result of the Amended Merger Agreement, the Company’s shareholders will receive $525,000 in Aggregate Base Consideration as each outstanding share of the Company’s common stock, including those preferred shares that have converted to common, will be exchanged into the right to receive newly issued shares of Ventoux’s Class A common stock, as calculated pursuant to the terms of the Amended Merger Agreement and based on a price of $10.00 per share. In addition, the Company amended its convertible note subscription agreement (“the Convertible Note Subscription Agreement”), such that the subscription note holder revised its principal amount to $25 million in connection with the closing of the merger transaction and revised its interest rate to 15% cash interest and 5% paid-in-kind interest.</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September 14, 2022, Ventoux held a special meeting of its stockholders and voted to approve the Proposed Business Combination (“the Business Combination”). The Business Combination closed on September 21, 2022. In connection with the closing of the Proposed Business Combination, the Company was renamed Presto Automation, Inc. and is referred to herein as “New Presto” as of the time of such change of name.</w:t>
      </w:r>
    </w:p>
    <w:p>
      <w:pPr>
        <w:spacing w:after="0" w:line="116"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Ventoux issued to the Company’s shareholders 36,760,009 shares of common stock at a price of $10.00 per share and the right to receive up to an aggregate of 15,000,000 shares of New Presto common stock (“Presto Earnout Shares”) if, during the period from and after the Closing until the fifth anniversary of the Closing, the Volume Weighted Average Price (“VWAP” as defined in the Merger Agreement) of New Presto common stock is greater than as follows: (A) 7,500,000 Presto Earnout Shares, if the VWAP is greater than or equal to $12.50 for any 20 trading days within a period of 30 consecutive trading days, and (B) 7,500,000 Presto Earnout Shares if the VWAP is greater than or equal to $15.00 for any 20 trading days within a period of 30 consecutive trading days.</w:t>
      </w:r>
    </w:p>
    <w:p>
      <w:pPr>
        <w:spacing w:after="0" w:line="1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Ventoux issued an aggregate of 7,143,687 shares of New Presto common stock to certain investors for aggregate proceeds of $55,500 to New Presto (the “Equity PIPE Investment”).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18. Subsequent Events pertaining to the Merger Agreement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Upon the consummation of the Business Combination, all existing outstanding options and RSUs of the Company were assumed by New Presto and converted into an option to acquire New Presto common stock and a restricted stock unit to acquire New Presto common stock, respectively. The number of shares was determined by multiplying (i) the number of shares of the Company’s common stock prior to the consummation of the Business Combination, and (ii) the Exchange Ratio, rounded down to the nearest whole number of shares.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Credit Agreement and Convertible Note Subscription Agreement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Business Combination, New Presto entered into a Credit Agreement (the “Credit Agreement”) with the Surviving Corporation, Metropolitan Partners Group Administration, LLC (“Metropolitan”), with extended term loans having an aggregate original principal amount of $55,000 (the “Metropolitan Term Loans”).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Metropolitan Term Loans were borrowed in full at closing.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Metropolitan Term Loans, after which such capitalized interest shall accrue interest at the interest rate and otherwise constitute principal under the Metropolitan Term Loans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Metropolitan Term Loans mature on March 21, 2025.</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Metropolitan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Metropolitan Term Loans (including any interest that could have been capitalized as PIK Interest during such period) from the date of payment through the 18 month anniversary of the closing date. The Company’s obligations under the Credit Agreement are secured by substantially all of the Company’s assets.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Business Combination, Ventoux, the Company, and affiliates of Silver Rock agreed to terminate the Convertible Note Subscription Agreement, pursuant to a Termination Agreement by and among Ventoux, the Company and Silver Rock (the “Termination Agreement”). Pursuant to the Termination Agreement, Silver Rock agreed to terminate the Convertible Note Subscription Agreement in exchange for 400,000 shares of common stock of the Company which were converted into 322,868 shares of New Presto common stock pursuant to the terms of the Merger Agreement and the payment of certain expenses of Silver Rock.</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Subscription Agreement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Metropolitan Term Loans, New Presto also agreed to issue Metropolitan under the Metropolitan Term Loans 1,500,000 non-redeemable New Presto Warrants to purchase New Presto Common Stock that have an exercise price of $11.50 per share and expire 5 years following the consummation of the Business Combination (“Metropolitan Warrants”).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Amended and Restated Warrant Agreement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conjunction with the Business Combination, the Company assumed Ventoux’s warrant agreement with Continental Stock Transfer and Trust Company (“Continental”), which includes 17,250,000 public warrants and 6,675,000 private placement warrants outstanding. On September 21, 2022, in connection with the consummation 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18. Subsequent Events pertaining to the Merger Agreement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Business Combination and as contemplated by the Merger Agreement, the Company entered into an Amended and Restated Warrant Agreement (“</w:t>
      </w:r>
      <w:r>
        <w:rPr>
          <w:rFonts w:ascii="Times New Roman" w:cs="Times New Roman" w:eastAsia="Times New Roman" w:hAnsi="Times New Roman"/>
          <w:sz w:val="18"/>
          <w:szCs w:val="18"/>
          <w:u w:val="single" w:color="auto"/>
          <w:color w:val="auto"/>
        </w:rPr>
        <w:t>Amended and Restated Warrant Agreement</w:t>
      </w:r>
      <w:r>
        <w:rPr>
          <w:rFonts w:ascii="Times New Roman" w:cs="Times New Roman" w:eastAsia="Times New Roman" w:hAnsi="Times New Roman"/>
          <w:sz w:val="18"/>
          <w:szCs w:val="18"/>
          <w:color w:val="auto"/>
        </w:rPr>
        <w:t>”) with Continental, to reflect the issuance of the Metropolitan Warrants, to reflect the transfer of 500,000 Private Warrants (the “</w:t>
      </w:r>
      <w:r>
        <w:rPr>
          <w:rFonts w:ascii="Times New Roman" w:cs="Times New Roman" w:eastAsia="Times New Roman" w:hAnsi="Times New Roman"/>
          <w:sz w:val="18"/>
          <w:szCs w:val="18"/>
          <w:u w:val="single" w:color="auto"/>
          <w:color w:val="auto"/>
        </w:rPr>
        <w:t>Silver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Rock Warrants</w:t>
      </w:r>
      <w:r>
        <w:rPr>
          <w:rFonts w:ascii="Times New Roman" w:cs="Times New Roman" w:eastAsia="Times New Roman" w:hAnsi="Times New Roman"/>
          <w:sz w:val="18"/>
          <w:szCs w:val="18"/>
          <w:color w:val="auto"/>
        </w:rPr>
        <w:t>”) to affiliates of Silver Rock Capital Partners LP (“</w:t>
      </w:r>
      <w:r>
        <w:rPr>
          <w:rFonts w:ascii="Times New Roman" w:cs="Times New Roman" w:eastAsia="Times New Roman" w:hAnsi="Times New Roman"/>
          <w:sz w:val="18"/>
          <w:szCs w:val="18"/>
          <w:u w:val="single" w:color="auto"/>
          <w:color w:val="auto"/>
        </w:rPr>
        <w:t>Silver Rock</w:t>
      </w:r>
      <w:r>
        <w:rPr>
          <w:rFonts w:ascii="Times New Roman" w:cs="Times New Roman" w:eastAsia="Times New Roman" w:hAnsi="Times New Roman"/>
          <w:sz w:val="18"/>
          <w:szCs w:val="18"/>
          <w:color w:val="auto"/>
        </w:rPr>
        <w:t>”) and provide that 550,000 of Ventoux’s Private Warrants were cancelled as of the Closing. Each of the Metropolitan Warrants, the Private Warrants and the Silver Rock Warrants is exercisable for one share of New Presto Common Stock at an exercise price of $11.50 per share. Each of the public warrants is exercisable for $8.21 per share.</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Business Combination Marketing Agreement, Administrative Services Agreement and the Placement Agency Agreement</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21, 2022, in connection with the Closing, Ventoux and Chardan Capital Markets, LLC (“</w:t>
      </w:r>
      <w:r>
        <w:rPr>
          <w:rFonts w:ascii="Times New Roman" w:cs="Times New Roman" w:eastAsia="Times New Roman" w:hAnsi="Times New Roman"/>
          <w:sz w:val="18"/>
          <w:szCs w:val="18"/>
          <w:u w:val="single" w:color="auto"/>
          <w:color w:val="auto"/>
        </w:rPr>
        <w:t>Chardan</w:t>
      </w:r>
      <w:r>
        <w:rPr>
          <w:rFonts w:ascii="Times New Roman" w:cs="Times New Roman" w:eastAsia="Times New Roman" w:hAnsi="Times New Roman"/>
          <w:sz w:val="18"/>
          <w:szCs w:val="18"/>
          <w:color w:val="auto"/>
        </w:rPr>
        <w:t>”) waived certain obligations of New Presto to Chardan in connection with the following agreements:</w:t>
      </w:r>
    </w:p>
    <w:p>
      <w:pPr>
        <w:jc w:val="both"/>
        <w:ind w:left="460" w:right="459" w:hanging="6"/>
        <w:spacing w:after="0" w:line="252" w:lineRule="auto"/>
        <w:tabs>
          <w:tab w:leader="none" w:pos="69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Marketing Agreement, dated December 23, 2020, by and between Ventoux and Chardan, (ii) the Administrative Services Agreement, dated December 23, 2020, by and between Ventoux and Chardan and (iii) the Placement Agency Agreement, dated August 9, 2021, by and between Ventoux and Chardan. In exchange for such waiver, New Presto agreed to pay Chardan approximately $3.2 million, issue an affiliate of Chardan 350,000 shares of New Presto Common Stock and grant Chardan certain rights of first refusal in connection with future financings of New Presto.</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19. Other Subsequent Events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after the balance sheet date through September 27, 2022 the date the financial statements were available to be issued.</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July 2022, the Company amended its July 2020 Notes to extend the maturity date to the earlier of (a) August 31, 2022, or (b) an event of default.</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July 2022, the Company received forgiveness of the second PPP loan of approximately $2,000.</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August 4, 2022, the Company amended the Lago Loan to, among other things, increase the borrowings under the facility by $5,250 and issue approximately 209,044 additional warrants to purchase Series C preferred stock at an exercise price of $6.61 with a maturity date in March 2032. The additional borrowings mature on March 11, 2023 and carry the same interest terms as the original Lago Loan.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September 15, 2022, the Company issued 164,521 shares of common stock to an existing investor for an aggregate purchase price of $1,000, or $6.08 per share. In conjunction with the issuance, the Company provided the investor with the option to sell the shares back to the Company for the purchase price if (i) during the one-month period immediately following the closing of the Business Combination, the shares of New Presto are de-listed, or 1,133,333 shares to be issued in the closing of the Business Combination are not free from transfer restrictions.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September 16, 2022, the Company granted 1,477,870 RSUs to a member of its board of directors, a related party to the Company. The RSUs fully vested upon the closing of the Business Combination.</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August 18, 2022, the Company rolled forward the receivable financing facility, enabling the Company to continue its quarterly borrowings for a minimum of a rolling twelve-months.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19. Other Subsequent Events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September 21, 2022, immediately prior to the closing of the Business Combination, the following occurred:</w:t>
      </w:r>
    </w:p>
    <w:p>
      <w:pPr>
        <w:spacing w:after="0" w:line="81" w:lineRule="exact"/>
        <w:rPr>
          <w:sz w:val="20"/>
          <w:szCs w:val="20"/>
          <w:color w:val="auto"/>
        </w:rPr>
      </w:pPr>
    </w:p>
    <w:p>
      <w:pPr>
        <w:jc w:val="both"/>
        <w:ind w:left="1320" w:right="459" w:hanging="434"/>
        <w:spacing w:after="0" w:line="266"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convertible preferred stock outstanding was automatically converted into 28,343,420 shares of the Company’s common stock immediately prior to the closing of the Business Combination.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convertible promissory notes and embedded warrants, including the July 2020 Notes, the Q3 2021 Notes, the July 2021 Notes, the February 2022 Note, and the May 2022 Notes, were converted into an aggregate of 10,060,158 shares of the Company’s common stock immediately prior to the closing of the Business Combination.</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175,288 shares of common stock were net exercised for 168,758 shares of common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remaining outstanding warrants to purchase shares of the Company were assumed and converted into a newly issued warrants exercisable for common stock of New Presto with share amounts and exercise prices adjusted proportionately using the ratio applicable for exchanging the Company’s common stock to New Presto common stock.</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pre-paid the outstanding balance of its Lago Loan for a total of $22,351, including principal, accrued interest, and an excess make-whole payment based on a multiple of Lago’s invested capital. The Company also amended the warrants issued in conjunction with Lago Loan to remain outstanding upon the closing of the Business Combination, with the number of shares and exercise price adjusted to allow the holder to receive the same number of shares in New Presto that it would have been entitled to receive if the Lago warrants were exercised prior to the Business Combination.</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pre-paid the outstanding balance of its Horizon Loan for a total of $17,005, including principal, accrued interest, an end of term fee, and prepayment fees.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the outstanding balance, including principal and accrued interest, of its promissory note issued as part of the CyborgOps acquisition for a total of $1,451.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shares of common stock and warrants being registered hereby.</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38,204</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68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686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4"/>
              </w:rPr>
              <w:t>Total</w:t>
            </w:r>
          </w:p>
        </w:tc>
        <w:tc>
          <w:tcPr>
            <w:tcW w:w="648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86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Estimates not presently known.</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Current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144" w:lineRule="exact"/>
        <w:rPr>
          <w:sz w:val="20"/>
          <w:szCs w:val="20"/>
          <w:color w:val="auto"/>
        </w:rPr>
      </w:pPr>
    </w:p>
    <w:p>
      <w:pPr>
        <w:jc w:val="both"/>
        <w:ind w:left="1320" w:right="459" w:hanging="434"/>
        <w:spacing w:after="0" w:line="252" w:lineRule="auto"/>
        <w:tabs>
          <w:tab w:leader="none" w:pos="131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27"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27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9"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w:t>
      </w:r>
    </w:p>
    <w:p>
      <w:pPr>
        <w:jc w:val="both"/>
        <w:ind w:left="1320" w:right="459" w:hanging="2"/>
        <w:spacing w:after="0" w:line="255" w:lineRule="auto"/>
        <w:tabs>
          <w:tab w:leader="none" w:pos="16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or in defense of any claim, issue or matter therein, such person shall be indemnified against expenses (including attorneys’ fees) actually and reasonably incurred by such person in connection therewith.</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5" w:lineRule="auto"/>
        <w:tabs>
          <w:tab w:leader="none" w:pos="127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2" w:lineRule="exact"/>
        <w:rPr>
          <w:rFonts w:ascii="Times New Roman" w:cs="Times New Roman" w:eastAsia="Times New Roman" w:hAnsi="Times New Roman"/>
          <w:sz w:val="18"/>
          <w:szCs w:val="18"/>
          <w:color w:val="auto"/>
        </w:rPr>
      </w:pPr>
    </w:p>
    <w:p>
      <w:pPr>
        <w:jc w:val="both"/>
        <w:ind w:left="1320" w:right="479" w:hanging="2"/>
        <w:spacing w:after="0" w:line="250" w:lineRule="auto"/>
        <w:tabs>
          <w:tab w:leader="none" w:pos="158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1" w:lineRule="exact"/>
        <w:rPr>
          <w:rFonts w:ascii="Times New Roman" w:cs="Times New Roman" w:eastAsia="Times New Roman" w:hAnsi="Times New Roman"/>
          <w:sz w:val="18"/>
          <w:szCs w:val="18"/>
          <w:color w:val="auto"/>
        </w:rPr>
      </w:pPr>
    </w:p>
    <w:p>
      <w:pPr>
        <w:ind w:left="132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if there are no such directors, or if such directors so direct, by independent legal counsel in a written opinion, or (4) by the stockholders.</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9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7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7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61" w:lineRule="auto"/>
        <w:tabs>
          <w:tab w:leader="none" w:pos="128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accordance with Section 102(b)(7) of the DGCL, our Current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Current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Current Charter, the liability of our directors to us or our stockholders will be eliminated or limited to the fullest extent authorized by the DGCL, as so amended. Any repeal or amendment of provisions of our Current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Current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1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Notwithstanding the foregoing, a person eligible for indemnification pursuant to our Current Charter will be indemnified by us in connection with a proceeding initiated by such person only if such proceeding was authorized by the Presto Board, except for proceedings to enforce rights to indemnification.</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right to indemnification which will be conferred by our Current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Current Charter or otherwise.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Current Charter may have or hereafter acquire under law, our Current Charter, our bylaws, an agreement, vote of stockholders or disinterested directors, or otherwise.</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Any repeal or amendment of provisions of our Current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Current Charter also permits us, to the extent and in the manner authorized or permitted by law, to indemnify and to advance expenses to persons other that those specifically covered by our Current Charter.</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current bylaws include the provisions relating to advancement of expenses and indemnification rights consistent with those which are set forth in our Current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0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Any repeal or amendment of provisions of our bylaws affecting indemnification rights, whether by the Presto Board,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officers and directors a form that was filed as Exhibit 10.5 of our Registration Statement on Form S-1, filed with the SEC on January 4, 2021.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During the three years preceding the filing of this registration statement, the Registrant sold the following securities of the Registrant which were not registered under the Securities Act of 1933, as amended (the “Securities Act”):</w:t>
      </w:r>
    </w:p>
    <w:p>
      <w:pPr>
        <w:spacing w:after="0" w:line="95" w:lineRule="exact"/>
        <w:rPr>
          <w:sz w:val="20"/>
          <w:szCs w:val="20"/>
          <w:color w:val="auto"/>
        </w:rPr>
      </w:pPr>
    </w:p>
    <w:p>
      <w:pPr>
        <w:jc w:val="both"/>
        <w:ind w:left="1320" w:right="459" w:hanging="434"/>
        <w:spacing w:after="0" w:line="253"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19, 2019, Chardan Investments purchased 5,000,000 shares (the “Founder Shares”) for an aggregate price of $25,000. On July 23, 2020, Chardan Investments sold 3,250,000 Founder Shares back to Presto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resulting in an aggregate of 4,312,500 Founder Shares including up to 562,500 shares subject to forfeiture by the initial stockholders;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25, 2022 VTAQ entered into certain new and amended and restated Equity Subscription Agreements, with certain accredited investors, pursuant to which, among other things, VTAQ agreed to issue and sell, in private placements to close immediately prior to or substantially concurrently with the Closing, an aggregate of 7,143,687 shares of common stock for an aggregate consideration of $55,000,000. Of 14 Equity Subscription Agreements, 11, representing a total investment of $6.9 million, were entered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into by Legacy Presto investors and directors and officers, such as Rajat Suri, the Chief Executive of Officer of Presto, and entities affiliated with Krishna K. Gupta and Ilya Golubovich, each of whom serve as a directors of Presto. The remaining Equity Subscription Agreements representing a total investment of $53.1 million were entered into with investors that are unaffiliated with VTAQ, the Sponsors, Presto or any of their affiliates, which includes a $50 million investment from Cleveland Avenue; and</w:t>
      </w:r>
    </w:p>
    <w:p>
      <w:pPr>
        <w:spacing w:after="0" w:line="120" w:lineRule="exact"/>
        <w:rPr>
          <w:sz w:val="20"/>
          <w:szCs w:val="20"/>
          <w:color w:val="auto"/>
        </w:rPr>
      </w:pPr>
    </w:p>
    <w:p>
      <w:pPr>
        <w:jc w:val="both"/>
        <w:ind w:left="1320" w:right="459" w:hanging="434"/>
        <w:spacing w:after="0" w:line="254"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21, 2022, in connection with the consummation of the Business Combination and as contemplated by the Merger Agreement, the Company entered into an Amended and Restated Warrant Agreement with Continental, to reflect the issuance of the Metropolitan Warrants, to reflect the transfer of 500,000 Private Warrants (the “Silver Rock Warrants”) to affiliates of Silver Rock Capital Partners LP (“Silver Rock”) and provide that 550,000 of the Private Warrants were cancelled as of the Closing. Each of the Metropolitan Warrants, the Private Warrants and the Silver Rock Warrants is exercisable for one share of Presto Common Stock at an exercise price of $11.50 per share. Each of the public warrants is exercisable for $8.21 per share.</w:t>
      </w:r>
    </w:p>
    <w:p>
      <w:pPr>
        <w:spacing w:after="0" w:line="124" w:lineRule="exact"/>
        <w:rPr>
          <w:sz w:val="20"/>
          <w:szCs w:val="20"/>
          <w:color w:val="auto"/>
        </w:rPr>
      </w:pPr>
    </w:p>
    <w:p>
      <w:pPr>
        <w:jc w:val="both"/>
        <w:ind w:left="460" w:right="459" w:firstLine="432"/>
        <w:spacing w:after="0" w:line="289" w:lineRule="auto"/>
        <w:rPr>
          <w:sz w:val="20"/>
          <w:szCs w:val="20"/>
          <w:color w:val="auto"/>
        </w:rPr>
      </w:pPr>
      <w:r>
        <w:rPr>
          <w:rFonts w:ascii="Times New Roman" w:cs="Times New Roman" w:eastAsia="Times New Roman" w:hAnsi="Times New Roman"/>
          <w:sz w:val="17"/>
          <w:szCs w:val="17"/>
          <w:color w:val="auto"/>
        </w:rPr>
        <w:t>The sales of the above securities were exempt from the registration requirements of the Securities Act in reliance on the exemptions afforded by Section 4(a)(2) of the Securities Act. Other than the IPO, no sales involved underwriters, underwriting discounts or commissions or public offerings of securities of the Registrant.</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financial statements filed as part of this registration statement are listed in the index to the financial statements immediately preceding such financial statements, which index to the financial statements is incorporated herein by reference.</w:t>
      </w:r>
    </w:p>
    <w:p>
      <w:pPr>
        <w:spacing w:after="0" w:line="192" w:lineRule="exact"/>
        <w:rPr>
          <w:sz w:val="20"/>
          <w:szCs w:val="20"/>
          <w:color w:val="auto"/>
        </w:rPr>
      </w:pPr>
    </w:p>
    <w:p>
      <w:pPr>
        <w:ind w:left="460"/>
        <w:spacing w:after="0"/>
        <w:tabs>
          <w:tab w:leader="none" w:pos="4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840" w:type="dxa"/>
            <w:vAlign w:val="bottom"/>
            <w:tcBorders>
              <w:top w:val="single" w:sz="8" w:color="auto"/>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180" w:type="dxa"/>
            <w:vAlign w:val="bottom"/>
            <w:tcBorders>
              <w:top w:val="single" w:sz="8" w:color="auto"/>
              <w:bottom w:val="single" w:sz="8" w:color="0000EE"/>
            </w:tcBorders>
            <w:gridSpan w:val="12"/>
            <w:shd w:val="clear" w:color="auto" w:fill="CCEEFF"/>
          </w:tcPr>
          <w:p>
            <w:pPr>
              <w:spacing w:after="0" w:line="189"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Merger Agreement, dated as of November 10, 2021, by and among VTAQ, Ventoux Merger Sub I,</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Ventoux Merger Sub II and Legacy Presto (incorporated by reference to Exhibit 2.1 to the Current</w:t>
              </w:r>
            </w:hyperlink>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Report on Form 8-K filed on November 10, 2021).</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5"/>
                <w:szCs w:val="15"/>
                <w:color w:val="auto"/>
              </w:rPr>
            </w:pPr>
          </w:p>
        </w:tc>
        <w:tc>
          <w:tcPr>
            <w:tcW w:w="7180" w:type="dxa"/>
            <w:vAlign w:val="bottom"/>
            <w:gridSpan w:val="12"/>
          </w:tcPr>
          <w:p>
            <w:pPr>
              <w:spacing w:after="0" w:line="17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Amendment No. 1 to Merger Agreement, dated as of April 1, 2022, by and among VTAQ, Ventoux</w:t>
              </w:r>
            </w:hyperlink>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Merger Sub I, Ventoux Merger Sub II and Presto (incorporated by reference to Exhibit 2.1 to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Current Report on Form 8-K filed on April 4, 2022).</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Amendment No. 2 to Merger Agreement, dated as of July 25, 2022, by and among VTAQ, Ventoux</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Merger Sub I, Ventoux Merger Sub II and Presto (incorporated by reference to Exhibit 2.1 to the</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Current Report on Form 8-K filed on July 26, 2022).</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5"/>
                <w:szCs w:val="15"/>
                <w:color w:val="auto"/>
              </w:rPr>
            </w:pPr>
          </w:p>
        </w:tc>
        <w:tc>
          <w:tcPr>
            <w:tcW w:w="7180" w:type="dxa"/>
            <w:vAlign w:val="bottom"/>
            <w:gridSpan w:val="12"/>
          </w:tcPr>
          <w:p>
            <w:pPr>
              <w:spacing w:after="0" w:line="17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Second Amended &amp; Restated Certificate of Incorporation (incorporated by reference to Exhibit 3.1</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color w:val="0000EE"/>
                </w:rPr>
                <w:t>to the Current Report on Form 8-K filed on September 27, 2022).</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Bylaws of Presto Automation Inc. (incorporated by reference to Exhibit 3.2 to the Current Report</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color w:val="0000EE"/>
                </w:rPr>
                <w:t>on Form 8-K filed on September 27, 2022).</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5"/>
                <w:szCs w:val="15"/>
                <w:color w:val="auto"/>
              </w:rPr>
            </w:pPr>
          </w:p>
        </w:tc>
        <w:tc>
          <w:tcPr>
            <w:tcW w:w="71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Opinion of White &amp; Case LLP.</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tcBorders>
              <w:top w:val="single" w:sz="8" w:color="0000EE"/>
            </w:tcBorders>
          </w:tcPr>
          <w:p>
            <w:pPr>
              <w:spacing w:after="0"/>
              <w:rPr>
                <w:sz w:val="7"/>
                <w:szCs w:val="7"/>
                <w:color w:val="auto"/>
              </w:rPr>
            </w:pPr>
          </w:p>
        </w:tc>
        <w:tc>
          <w:tcPr>
            <w:tcW w:w="680" w:type="dxa"/>
            <w:vAlign w:val="bottom"/>
            <w:tcBorders>
              <w:top w:val="single" w:sz="8" w:color="0000EE"/>
            </w:tcBorders>
          </w:tcPr>
          <w:p>
            <w:pPr>
              <w:spacing w:after="0"/>
              <w:rPr>
                <w:sz w:val="7"/>
                <w:szCs w:val="7"/>
                <w:color w:val="auto"/>
              </w:rPr>
            </w:pPr>
          </w:p>
        </w:tc>
        <w:tc>
          <w:tcPr>
            <w:tcW w:w="9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5"/>
                <w:szCs w:val="15"/>
                <w:color w:val="auto"/>
              </w:rPr>
            </w:pPr>
          </w:p>
        </w:tc>
        <w:tc>
          <w:tcPr>
            <w:tcW w:w="718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Credit Agreement, dated as of September 21, 2022, by and among New Presto, Surviving</w:t>
              </w:r>
            </w:hyperlink>
          </w:p>
        </w:tc>
      </w:tr>
      <w:tr>
        <w:trPr>
          <w:trHeight w:val="20"/>
        </w:trPr>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Corporation, Metropolitan Partners Group Administration, LLC, as administrative, payment and</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collateral agent, and the lenders from time to time party thereto (incorporated by reference to</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Exhibit 10.1 to the Current Report on Form 8-K filed on September 27, 2022).</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5"/>
                <w:szCs w:val="15"/>
                <w:color w:val="auto"/>
              </w:rPr>
            </w:pPr>
          </w:p>
        </w:tc>
        <w:tc>
          <w:tcPr>
            <w:tcW w:w="718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Amended &amp; Restated Registration Rights Agreement dated as of September 21, 2022, by and</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among New Presto, the Sponsors, Cleveland Avenue, VTAQ’s officers and directors, Metropolitan</w:t>
              </w:r>
            </w:hyperlink>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and certain Legacy Presto stockholders (incorporated by reference to Exhibit 10.2 to the Current</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color w:val="0000EE"/>
                </w:rPr>
                <w:t>Report on Form 8-K filed on September 27, 2022).</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Amended &amp; Restated Warrant Agreement dated as of September 21, 2022, by and among, New</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Presto, the Sponsors and Continental Stock Transfer &amp; Trust Company (incorporated by reference</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to Exhibit 10.3 to the Current Report on Form 8-K filed on September 27, 2022).</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5"/>
                <w:szCs w:val="15"/>
                <w:color w:val="auto"/>
              </w:rPr>
            </w:pPr>
          </w:p>
        </w:tc>
        <w:tc>
          <w:tcPr>
            <w:tcW w:w="7180" w:type="dxa"/>
            <w:vAlign w:val="bottom"/>
            <w:tcBorders>
              <w:bottom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Governance Agreement, dated as of September 21, 2022 by and among, New Presto and certain of</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its affiliates (incorporated by reference to Exhibit 10.4 to the Current Report on Form 8-K filed on</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September 27, 2022).</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Borders>
              <w:top w:val="single" w:sz="8" w:color="0000EE"/>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5"/>
                <w:szCs w:val="15"/>
                <w:color w:val="auto"/>
              </w:rPr>
            </w:pPr>
          </w:p>
        </w:tc>
        <w:tc>
          <w:tcPr>
            <w:tcW w:w="718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Form of Indemnification Agreement (incorporated by reference to Exhibit 10.5 to the Current</w:t>
              </w:r>
            </w:hyperlink>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Report on Form 8-K filed on September 27,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56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90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5"/>
                <w:szCs w:val="15"/>
                <w:color w:val="auto"/>
              </w:rPr>
            </w:pPr>
          </w:p>
        </w:tc>
        <w:tc>
          <w:tcPr>
            <w:tcW w:w="71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Presto Automation Inc. 2008 Stock Incentive Plan.</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70" w:lineRule="exact"/>
        <w:rPr>
          <w:sz w:val="20"/>
          <w:szCs w:val="20"/>
          <w:color w:val="auto"/>
        </w:rPr>
      </w:pPr>
    </w:p>
    <w:p>
      <w:pPr>
        <w:ind w:left="460"/>
        <w:spacing w:after="0"/>
        <w:tabs>
          <w:tab w:leader="none" w:pos="13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Presto Automation Inc. 2018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1803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43" w:lineRule="exact"/>
        <w:rPr>
          <w:sz w:val="20"/>
          <w:szCs w:val="20"/>
          <w:color w:val="auto"/>
        </w:rPr>
      </w:pPr>
    </w:p>
    <w:p>
      <w:pPr>
        <w:jc w:val="both"/>
        <w:ind w:left="1380" w:right="479" w:hanging="930"/>
        <w:spacing w:after="0" w:line="273"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225">
        <w:r>
          <w:rPr>
            <w:rFonts w:ascii="Times New Roman" w:cs="Times New Roman" w:eastAsia="Times New Roman" w:hAnsi="Times New Roman"/>
            <w:sz w:val="18"/>
            <w:szCs w:val="18"/>
            <w:u w:val="single" w:color="auto"/>
            <w:color w:val="0000EE"/>
          </w:rPr>
          <w:t>Presto Automation Inc. 2022 Incentive Award Plan (incorporated by reference to Exhibit 10.6 to</w:t>
        </w:r>
      </w:hyperlink>
      <w:r>
        <w:rPr>
          <w:rFonts w:ascii="Times New Roman" w:cs="Times New Roman" w:eastAsia="Times New Roman" w:hAnsi="Times New Roman"/>
          <w:sz w:val="18"/>
          <w:szCs w:val="18"/>
          <w:u w:val="single" w:color="auto"/>
          <w:color w:val="0000EE"/>
        </w:rPr>
        <w:t xml:space="preserve"> </w:t>
      </w:r>
      <w:hyperlink r:id="rId225">
        <w:r>
          <w:rPr>
            <w:rFonts w:ascii="Times New Roman" w:cs="Times New Roman" w:eastAsia="Times New Roman" w:hAnsi="Times New Roman"/>
            <w:sz w:val="18"/>
            <w:szCs w:val="18"/>
            <w:u w:val="single" w:color="auto"/>
            <w:color w:val="0000EE"/>
          </w:rPr>
          <w:t>the Current Report on Form 8-K filed on September 27, 2022).</w:t>
        </w:r>
      </w:hyperlink>
    </w:p>
    <w:p>
      <w:pPr>
        <w:spacing w:after="0" w:line="2" w:lineRule="exact"/>
        <w:rPr>
          <w:sz w:val="20"/>
          <w:szCs w:val="20"/>
          <w:color w:val="auto"/>
        </w:rPr>
      </w:pPr>
    </w:p>
    <w:p>
      <w:pPr>
        <w:ind w:left="460"/>
        <w:spacing w:after="0"/>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226">
        <w:r>
          <w:rPr>
            <w:rFonts w:ascii="Times New Roman" w:cs="Times New Roman" w:eastAsia="Times New Roman" w:hAnsi="Times New Roman"/>
            <w:sz w:val="18"/>
            <w:szCs w:val="18"/>
            <w:u w:val="single" w:color="auto"/>
            <w:color w:val="0000EE"/>
          </w:rPr>
          <w:t>Presto Automation Inc. 2022 Employee Stock Purchase Plan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3003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7" w:lineRule="exact"/>
        <w:rPr>
          <w:sz w:val="20"/>
          <w:szCs w:val="20"/>
          <w:color w:val="auto"/>
        </w:rPr>
      </w:pPr>
    </w:p>
    <w:p>
      <w:pPr>
        <w:ind w:left="1380"/>
        <w:spacing w:after="0"/>
        <w:rPr>
          <w:rFonts w:ascii="Times New Roman" w:cs="Times New Roman" w:eastAsia="Times New Roman" w:hAnsi="Times New Roman"/>
          <w:sz w:val="18"/>
          <w:szCs w:val="18"/>
          <w:u w:val="single" w:color="auto"/>
          <w:color w:val="0000EE"/>
        </w:rPr>
      </w:pPr>
      <w:hyperlink r:id="rId226">
        <w:r>
          <w:rPr>
            <w:rFonts w:ascii="Times New Roman" w:cs="Times New Roman" w:eastAsia="Times New Roman" w:hAnsi="Times New Roman"/>
            <w:sz w:val="18"/>
            <w:szCs w:val="18"/>
            <w:u w:val="single" w:color="auto"/>
            <w:color w:val="0000EE"/>
          </w:rPr>
          <w:t>10.7 to the Current Report on Form 8-K filed on September 27, 2022).</w:t>
        </w:r>
      </w:hyperlink>
    </w:p>
    <w:p>
      <w:pPr>
        <w:spacing w:after="0" w:line="31" w:lineRule="exact"/>
        <w:rPr>
          <w:sz w:val="20"/>
          <w:szCs w:val="20"/>
          <w:color w:val="auto"/>
        </w:rPr>
      </w:pPr>
    </w:p>
    <w:p>
      <w:pPr>
        <w:jc w:val="both"/>
        <w:ind w:left="1380" w:right="479" w:hanging="930"/>
        <w:spacing w:after="0" w:line="266"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228">
        <w:r>
          <w:rPr>
            <w:rFonts w:ascii="Times New Roman" w:cs="Times New Roman" w:eastAsia="Times New Roman" w:hAnsi="Times New Roman"/>
            <w:sz w:val="18"/>
            <w:szCs w:val="18"/>
            <w:u w:val="single" w:color="auto"/>
            <w:color w:val="0000EE"/>
          </w:rPr>
          <w:t>Amended &amp; Restated Cleveland Avenue Subscription Agreement, dated as of July 25, 2022, by</w:t>
        </w:r>
      </w:hyperlink>
      <w:r>
        <w:rPr>
          <w:rFonts w:ascii="Times New Roman" w:cs="Times New Roman" w:eastAsia="Times New Roman" w:hAnsi="Times New Roman"/>
          <w:sz w:val="18"/>
          <w:szCs w:val="18"/>
          <w:u w:val="single" w:color="auto"/>
          <w:color w:val="0000EE"/>
        </w:rPr>
        <w:t xml:space="preserve"> </w:t>
      </w:r>
      <w:hyperlink r:id="rId228">
        <w:r>
          <w:rPr>
            <w:rFonts w:ascii="Times New Roman" w:cs="Times New Roman" w:eastAsia="Times New Roman" w:hAnsi="Times New Roman"/>
            <w:sz w:val="18"/>
            <w:szCs w:val="18"/>
            <w:u w:val="single" w:color="auto"/>
            <w:color w:val="0000EE"/>
          </w:rPr>
          <w:t>and between VTAQ and Presto CA, LLC (incorporated by reference to Exhibit 10.2 to the Current</w:t>
        </w:r>
      </w:hyperlink>
      <w:r>
        <w:rPr>
          <w:rFonts w:ascii="Times New Roman" w:cs="Times New Roman" w:eastAsia="Times New Roman" w:hAnsi="Times New Roman"/>
          <w:sz w:val="18"/>
          <w:szCs w:val="18"/>
          <w:u w:val="single" w:color="auto"/>
          <w:color w:val="0000EE"/>
        </w:rPr>
        <w:t xml:space="preserve"> </w:t>
      </w:r>
      <w:hyperlink r:id="rId228">
        <w:r>
          <w:rPr>
            <w:rFonts w:ascii="Times New Roman" w:cs="Times New Roman" w:eastAsia="Times New Roman" w:hAnsi="Times New Roman"/>
            <w:sz w:val="18"/>
            <w:szCs w:val="18"/>
            <w:u w:val="single" w:color="auto"/>
            <w:color w:val="0000EE"/>
          </w:rPr>
          <w:t>Report on Form 8-K filed on July 26, 2022).</w:t>
        </w:r>
      </w:hyperlink>
    </w:p>
    <w:p>
      <w:pPr>
        <w:jc w:val="both"/>
        <w:ind w:left="1380" w:right="459" w:hanging="930"/>
        <w:spacing w:after="0" w:line="273"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229">
        <w:r>
          <w:rPr>
            <w:rFonts w:ascii="Times New Roman" w:cs="Times New Roman" w:eastAsia="Times New Roman" w:hAnsi="Times New Roman"/>
            <w:sz w:val="18"/>
            <w:szCs w:val="18"/>
            <w:u w:val="single" w:color="auto"/>
            <w:color w:val="0000EE"/>
          </w:rPr>
          <w:t>Form of Amended &amp; Restated Equity Subscription Agreement (incorporated by reference to</w:t>
        </w:r>
      </w:hyperlink>
      <w:r>
        <w:rPr>
          <w:rFonts w:ascii="Times New Roman" w:cs="Times New Roman" w:eastAsia="Times New Roman" w:hAnsi="Times New Roman"/>
          <w:sz w:val="18"/>
          <w:szCs w:val="18"/>
          <w:u w:val="single" w:color="auto"/>
          <w:color w:val="0000EE"/>
        </w:rPr>
        <w:t xml:space="preserve"> </w:t>
      </w:r>
      <w:hyperlink r:id="rId229">
        <w:r>
          <w:rPr>
            <w:rFonts w:ascii="Times New Roman" w:cs="Times New Roman" w:eastAsia="Times New Roman" w:hAnsi="Times New Roman"/>
            <w:sz w:val="18"/>
            <w:szCs w:val="18"/>
            <w:u w:val="single" w:color="auto"/>
            <w:color w:val="0000EE"/>
          </w:rPr>
          <w:t>Exhibit 10.3 to the Current Report on Form 8-K filed on July 26,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jc w:val="both"/>
        <w:ind w:left="1380" w:right="479" w:hanging="930"/>
        <w:spacing w:after="0" w:line="273" w:lineRule="auto"/>
        <w:tabs>
          <w:tab w:leader="none" w:pos="13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u w:val="single" w:color="auto"/>
          <w:color w:val="215E9E"/>
        </w:rPr>
        <w:t>Offer Letter of Employment, dated as of February 23, 2021, by and between Dan Mosher and Presto Automation Inc.</w:t>
      </w:r>
    </w:p>
    <w:p>
      <w:pPr>
        <w:spacing w:after="0" w:line="2" w:lineRule="exact"/>
        <w:rPr>
          <w:sz w:val="20"/>
          <w:szCs w:val="20"/>
          <w:color w:val="auto"/>
        </w:rPr>
      </w:pPr>
    </w:p>
    <w:p>
      <w:pPr>
        <w:jc w:val="both"/>
        <w:ind w:left="1380" w:right="459" w:hanging="930"/>
        <w:spacing w:after="0" w:line="273" w:lineRule="auto"/>
        <w:tabs>
          <w:tab w:leader="none" w:pos="136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u w:val="single" w:color="auto"/>
          <w:color w:val="215E9E"/>
        </w:rPr>
        <w:t>Offer Letter of Employment, dated as of August 19, 2019, by and between Ashish Gupta and Presto Automation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460"/>
        <w:spacing w:after="0"/>
        <w:tabs>
          <w:tab w:leader="none" w:pos="13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0000EE"/>
        </w:rPr>
        <w:t>List of Subsidiaries of Presto Automation Inc.</w:t>
      </w:r>
    </w:p>
    <w:p>
      <w:pPr>
        <w:spacing w:after="0" w:line="77" w:lineRule="exact"/>
        <w:rPr>
          <w:sz w:val="20"/>
          <w:szCs w:val="20"/>
          <w:color w:val="auto"/>
        </w:rPr>
      </w:pPr>
    </w:p>
    <w:p>
      <w:pPr>
        <w:ind w:left="460"/>
        <w:spacing w:after="0"/>
        <w:tabs>
          <w:tab w:leader="none" w:pos="13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215E9E"/>
        </w:rPr>
        <w:t>Consent of Moss Adams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3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u w:val="single" w:color="auto"/>
          <w:color w:val="0000EE"/>
        </w:rPr>
        <w:t>Consent of White &amp; Case LLP (included in Exhibit 5.1 hereto).</w:t>
      </w:r>
    </w:p>
    <w:p>
      <w:pPr>
        <w:spacing w:after="0" w:line="77" w:lineRule="exact"/>
        <w:rPr>
          <w:sz w:val="20"/>
          <w:szCs w:val="20"/>
          <w:color w:val="auto"/>
        </w:rPr>
      </w:pPr>
    </w:p>
    <w:p>
      <w:pPr>
        <w:ind w:left="460"/>
        <w:spacing w:after="0"/>
        <w:tabs>
          <w:tab w:leader="none" w:pos="13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the signature page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36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6" w:lineRule="exact"/>
        <w:rPr>
          <w:sz w:val="20"/>
          <w:szCs w:val="20"/>
          <w:color w:val="auto"/>
        </w:rPr>
      </w:pPr>
    </w:p>
    <w:p>
      <w:pPr>
        <w:ind w:left="860" w:hanging="406"/>
        <w:spacing w:after="0"/>
        <w:tabs>
          <w:tab w:leader="none" w:pos="86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the exhibits and schedules to this Exhibit have been omitted in accordance with Regulation S-K Item 601(a)</w:t>
      </w:r>
    </w:p>
    <w:p>
      <w:pPr>
        <w:spacing w:after="0" w:line="18"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The Registrant agrees to furnish a copy of all omitted exhibits and schedules to the SEC upon its request.</w:t>
      </w:r>
    </w:p>
    <w:p>
      <w:pPr>
        <w:spacing w:after="0" w:line="19" w:lineRule="exact"/>
        <w:rPr>
          <w:sz w:val="20"/>
          <w:szCs w:val="20"/>
          <w:color w:val="auto"/>
        </w:rPr>
      </w:pPr>
    </w:p>
    <w:p>
      <w:pPr>
        <w:ind w:left="860" w:hanging="406"/>
        <w:spacing w:after="0"/>
        <w:tabs>
          <w:tab w:leader="none" w:pos="86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or compensatory plan.</w:t>
      </w:r>
    </w:p>
    <w:p>
      <w:pPr>
        <w:spacing w:after="0" w:line="19" w:lineRule="exact"/>
        <w:rPr>
          <w:sz w:val="20"/>
          <w:szCs w:val="20"/>
          <w:color w:val="auto"/>
        </w:rPr>
      </w:pPr>
    </w:p>
    <w:p>
      <w:pPr>
        <w:jc w:val="both"/>
        <w:ind w:left="880" w:right="479" w:hanging="426"/>
        <w:spacing w:after="0" w:line="272" w:lineRule="auto"/>
        <w:tabs>
          <w:tab w:leader="none" w:pos="848"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identified information has been omitted pursuant to Item 601(b)(10) of Regulation S-K because such information is both (i) not material and (ii) would likely cause competitive harm to the Registrant if publicly disclosed. The Registrant hereby undertakes to furnish supplemental copies of the unredacted exhibit upon request by the Securities and Exchange Commission.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sz w:val="20"/>
          <w:szCs w:val="20"/>
          <w:color w:val="auto"/>
        </w:rPr>
      </w:pPr>
    </w:p>
    <w:p>
      <w:pPr>
        <w:jc w:val="both"/>
        <w:ind w:left="1320" w:right="459" w:hanging="434"/>
        <w:spacing w:after="0" w:line="252" w:lineRule="auto"/>
        <w:tabs>
          <w:tab w:leader="none" w:pos="127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during any period in which offers or sales are being made, a post-effective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27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07" w:lineRule="exact"/>
        <w:rPr>
          <w:sz w:val="20"/>
          <w:szCs w:val="20"/>
          <w:color w:val="auto"/>
        </w:rPr>
      </w:pPr>
    </w:p>
    <w:p>
      <w:pPr>
        <w:jc w:val="both"/>
        <w:ind w:left="1320" w:right="459" w:hanging="434"/>
        <w:spacing w:after="0" w:line="255" w:lineRule="auto"/>
        <w:tabs>
          <w:tab w:leader="none" w:pos="1273"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1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80"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5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108"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713"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New York, State of New York, on October 21, 2022.</w:t>
      </w:r>
    </w:p>
    <w:p>
      <w:pPr>
        <w:spacing w:after="0" w:line="1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189" w:lineRule="exact"/>
        <w:rPr>
          <w:sz w:val="20"/>
          <w:szCs w:val="20"/>
          <w:color w:val="auto"/>
        </w:rPr>
      </w:pPr>
    </w:p>
    <w:p>
      <w:pPr>
        <w:ind w:left="512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51435</wp:posOffset>
            </wp:positionV>
            <wp:extent cx="18173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7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 Rajat Suri</w:t>
      </w:r>
    </w:p>
    <w:p>
      <w:pPr>
        <w:spacing w:after="0" w:line="77" w:lineRule="exact"/>
        <w:rPr>
          <w:sz w:val="20"/>
          <w:szCs w:val="20"/>
          <w:color w:val="auto"/>
        </w:rPr>
      </w:pPr>
    </w:p>
    <w:p>
      <w:pPr>
        <w:ind w:left="512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Ashish Gupta and Rajat Suri,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2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October 21, 2022.</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8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0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0" w:type="dxa"/>
            <w:vAlign w:val="bottom"/>
          </w:tcPr>
          <w:p>
            <w:pPr>
              <w:spacing w:after="0"/>
              <w:rPr>
                <w:sz w:val="1"/>
                <w:szCs w:val="1"/>
                <w:color w:val="auto"/>
              </w:rPr>
            </w:pPr>
          </w:p>
        </w:tc>
      </w:tr>
      <w:tr>
        <w:trPr>
          <w:trHeight w:val="46"/>
        </w:trPr>
        <w:tc>
          <w:tcPr>
            <w:tcW w:w="3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Rajat Suri</w:t>
            </w:r>
          </w:p>
        </w:tc>
        <w:tc>
          <w:tcPr>
            <w:tcW w:w="10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0" w:type="dxa"/>
            <w:vAlign w:val="bottom"/>
          </w:tcPr>
          <w:p>
            <w:pPr>
              <w:spacing w:after="0"/>
              <w:rPr>
                <w:sz w:val="1"/>
                <w:szCs w:val="1"/>
                <w:color w:val="auto"/>
              </w:rPr>
            </w:pPr>
          </w:p>
        </w:tc>
      </w:tr>
      <w:tr>
        <w:trPr>
          <w:trHeight w:val="40"/>
        </w:trPr>
        <w:tc>
          <w:tcPr>
            <w:tcW w:w="31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Rajat Suri</w:t>
            </w:r>
          </w:p>
        </w:tc>
        <w:tc>
          <w:tcPr>
            <w:tcW w:w="100" w:type="dxa"/>
            <w:vAlign w:val="bottom"/>
            <w:vMerge w:val="continue"/>
          </w:tcPr>
          <w:p>
            <w:pPr>
              <w:spacing w:after="0"/>
              <w:rPr>
                <w:sz w:val="19"/>
                <w:szCs w:val="19"/>
                <w:color w:val="auto"/>
              </w:rPr>
            </w:pPr>
          </w:p>
        </w:tc>
        <w:tc>
          <w:tcPr>
            <w:tcW w:w="4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Ashish Gupta</w:t>
            </w:r>
          </w:p>
        </w:tc>
        <w:tc>
          <w:tcPr>
            <w:tcW w:w="10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0" w:type="dxa"/>
            <w:vAlign w:val="bottom"/>
          </w:tcPr>
          <w:p>
            <w:pPr>
              <w:spacing w:after="0"/>
              <w:rPr>
                <w:sz w:val="1"/>
                <w:szCs w:val="1"/>
                <w:color w:val="auto"/>
              </w:rPr>
            </w:pPr>
          </w:p>
        </w:tc>
      </w:tr>
      <w:tr>
        <w:trPr>
          <w:trHeight w:val="40"/>
        </w:trPr>
        <w:tc>
          <w:tcPr>
            <w:tcW w:w="31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Ashish Gupta</w:t>
            </w:r>
          </w:p>
        </w:tc>
        <w:tc>
          <w:tcPr>
            <w:tcW w:w="100" w:type="dxa"/>
            <w:vAlign w:val="bottom"/>
            <w:vMerge w:val="continue"/>
          </w:tcPr>
          <w:p>
            <w:pPr>
              <w:spacing w:after="0"/>
              <w:rPr>
                <w:sz w:val="19"/>
                <w:szCs w:val="19"/>
                <w:color w:val="auto"/>
              </w:rPr>
            </w:pPr>
          </w:p>
        </w:tc>
        <w:tc>
          <w:tcPr>
            <w:tcW w:w="4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Krishna K. Gupta</w:t>
            </w:r>
          </w:p>
        </w:tc>
        <w:tc>
          <w:tcPr>
            <w:tcW w:w="10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0"/>
        </w:trPr>
        <w:tc>
          <w:tcPr>
            <w:tcW w:w="3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Krishna K. Gupta</w:t>
            </w:r>
          </w:p>
        </w:tc>
        <w:tc>
          <w:tcPr>
            <w:tcW w:w="1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Ilya Golubovich</w:t>
            </w:r>
          </w:p>
        </w:tc>
        <w:tc>
          <w:tcPr>
            <w:tcW w:w="10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0"/>
        </w:trPr>
        <w:tc>
          <w:tcPr>
            <w:tcW w:w="3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Ilya Golubovich</w:t>
            </w:r>
          </w:p>
        </w:tc>
        <w:tc>
          <w:tcPr>
            <w:tcW w:w="1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Keith Kravcik</w:t>
            </w:r>
          </w:p>
        </w:tc>
        <w:tc>
          <w:tcPr>
            <w:tcW w:w="10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0"/>
        </w:trPr>
        <w:tc>
          <w:tcPr>
            <w:tcW w:w="3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Keith Kravcik</w:t>
            </w:r>
          </w:p>
        </w:tc>
        <w:tc>
          <w:tcPr>
            <w:tcW w:w="1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Kim Axel Lopdrup</w:t>
            </w:r>
          </w:p>
        </w:tc>
        <w:tc>
          <w:tcPr>
            <w:tcW w:w="10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0"/>
        </w:trPr>
        <w:tc>
          <w:tcPr>
            <w:tcW w:w="3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Kim Axel Lopdrup</w:t>
            </w:r>
          </w:p>
        </w:tc>
        <w:tc>
          <w:tcPr>
            <w:tcW w:w="1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Gail Zauder</w:t>
            </w:r>
          </w:p>
        </w:tc>
        <w:tc>
          <w:tcPr>
            <w:tcW w:w="10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1"/>
        </w:trPr>
        <w:tc>
          <w:tcPr>
            <w:tcW w:w="3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Gail Zauder</w:t>
            </w:r>
          </w:p>
        </w:tc>
        <w:tc>
          <w:tcPr>
            <w:tcW w:w="1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Edward Scheetz</w:t>
            </w:r>
          </w:p>
        </w:tc>
        <w:tc>
          <w:tcPr>
            <w:tcW w:w="10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0"/>
        </w:trPr>
        <w:tc>
          <w:tcPr>
            <w:tcW w:w="3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Edward Scheetz</w:t>
            </w:r>
          </w:p>
        </w:tc>
        <w:tc>
          <w:tcPr>
            <w:tcW w:w="10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3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II-8</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156845</wp:posOffset>
            </wp:positionV>
            <wp:extent cx="1328420"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13284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-119380</wp:posOffset>
            </wp:positionV>
            <wp:extent cx="1345565" cy="7886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1345565" cy="78867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acted as New York counsel to Presto Automation Inc.,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registration statement on Form S-1 (as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related prospectus relating to the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(i) the issuance by the Company of up to 16,250,000 shares of common stock, par value $0.0001 per share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of the Company, that may be issued upon exercise of warrants to purchase shares of Common Stock at an exercise price of (a) $8.21 per share with respect to the public warrants (as defined in the Registration Statement) and (b) $11.50 per share of common stock with respect to the financing warrants and the private placement warrants (each as defined in the Registration Statement)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and (ii) the offer and sale, from time to time, of</w:t>
      </w:r>
    </w:p>
    <w:p>
      <w:pPr>
        <w:spacing w:after="0" w:line="3" w:lineRule="exact"/>
        <w:rPr>
          <w:sz w:val="20"/>
          <w:szCs w:val="20"/>
          <w:color w:val="auto"/>
        </w:rPr>
      </w:pPr>
    </w:p>
    <w:p>
      <w:pPr>
        <w:jc w:val="both"/>
        <w:ind w:firstLine="8"/>
        <w:spacing w:after="0" w:line="252" w:lineRule="auto"/>
        <w:tabs>
          <w:tab w:leader="none" w:pos="26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46,949,333 shares of Common Stock by certain of the selling securityholders named in the Registration Statement (each a “</w:t>
      </w:r>
      <w:r>
        <w:rPr>
          <w:rFonts w:ascii="Times New Roman" w:cs="Times New Roman" w:eastAsia="Times New Roman" w:hAnsi="Times New Roman"/>
          <w:sz w:val="18"/>
          <w:szCs w:val="18"/>
          <w:u w:val="single" w:color="auto"/>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Securityholder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Selling Securityholders</w:t>
      </w:r>
      <w:r>
        <w:rPr>
          <w:rFonts w:ascii="Times New Roman" w:cs="Times New Roman" w:eastAsia="Times New Roman" w:hAnsi="Times New Roman"/>
          <w:sz w:val="18"/>
          <w:szCs w:val="18"/>
          <w:color w:val="auto"/>
        </w:rPr>
        <w:t>”), which includes (x) 31,891,293 shares of issued and outstanding Common Stock (the “</w:t>
      </w:r>
      <w:r>
        <w:rPr>
          <w:rFonts w:ascii="Times New Roman" w:cs="Times New Roman" w:eastAsia="Times New Roman" w:hAnsi="Times New Roman"/>
          <w:sz w:val="18"/>
          <w:szCs w:val="18"/>
          <w:u w:val="single" w:color="auto"/>
          <w:color w:val="auto"/>
        </w:rPr>
        <w:t>Resale Shares</w:t>
      </w:r>
      <w:r>
        <w:rPr>
          <w:rFonts w:ascii="Times New Roman" w:cs="Times New Roman" w:eastAsia="Times New Roman" w:hAnsi="Times New Roman"/>
          <w:sz w:val="18"/>
          <w:szCs w:val="18"/>
          <w:color w:val="auto"/>
        </w:rPr>
        <w:t>”), (y) 7,625,000 Warrant Shares, and (z) 7,433,040 shares of Common Stock that may be issued from time to time to upon achievement of certain stock price thresholds in accordance with the terms of the Merger Agreement (as defined below) (the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and (b) 6,125,000 private placement warrants (the “</w:t>
      </w:r>
      <w:r>
        <w:rPr>
          <w:rFonts w:ascii="Times New Roman" w:cs="Times New Roman" w:eastAsia="Times New Roman" w:hAnsi="Times New Roman"/>
          <w:sz w:val="18"/>
          <w:szCs w:val="18"/>
          <w:u w:val="single" w:color="auto"/>
          <w:color w:val="auto"/>
        </w:rPr>
        <w:t>Private Placement Warrants</w:t>
      </w:r>
      <w:r>
        <w:rPr>
          <w:rFonts w:ascii="Times New Roman" w:cs="Times New Roman" w:eastAsia="Times New Roman" w:hAnsi="Times New Roman"/>
          <w:sz w:val="18"/>
          <w:szCs w:val="18"/>
          <w:color w:val="auto"/>
        </w:rPr>
        <w:t>”) and 1,500,000 financing warrants (the “</w:t>
      </w:r>
      <w:r>
        <w:rPr>
          <w:rFonts w:ascii="Times New Roman" w:cs="Times New Roman" w:eastAsia="Times New Roman" w:hAnsi="Times New Roman"/>
          <w:sz w:val="18"/>
          <w:szCs w:val="18"/>
          <w:u w:val="single" w:color="auto"/>
          <w:color w:val="auto"/>
        </w:rPr>
        <w:t>Financing Warrants</w:t>
      </w:r>
      <w:r>
        <w:rPr>
          <w:rFonts w:ascii="Times New Roman" w:cs="Times New Roman" w:eastAsia="Times New Roman" w:hAnsi="Times New Roman"/>
          <w:sz w:val="18"/>
          <w:szCs w:val="18"/>
          <w:color w:val="auto"/>
        </w:rPr>
        <w:t xml:space="preserve">,” and, collectively, with the Private Placement Warrants, the “ </w:t>
      </w:r>
      <w:r>
        <w:rPr>
          <w:rFonts w:ascii="Times New Roman" w:cs="Times New Roman" w:eastAsia="Times New Roman" w:hAnsi="Times New Roman"/>
          <w:sz w:val="18"/>
          <w:szCs w:val="18"/>
          <w:u w:val="single" w:color="auto"/>
          <w:color w:val="auto"/>
        </w:rPr>
        <w:t>Resale Warrants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related prospectus, or any prospectus filed pursuant to Rule 424(b) with respect thereto, other than as expressly stated herein.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spacing w:after="0" w:line="176"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Second Amended &amp; Restated Certificate of Incorporation of the Company, certified by the Secretary of State of the State of Delaware on September 21, 2022 and certified by the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5986145</wp:posOffset>
            </wp:positionH>
            <wp:positionV relativeFrom="page">
              <wp:posOffset>586105</wp:posOffset>
            </wp:positionV>
            <wp:extent cx="1329055"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62560"/>
                    </a:xfrm>
                    <a:prstGeom prst="rect">
                      <a:avLst/>
                    </a:prstGeom>
                    <a:noFill/>
                  </pic:spPr>
                </pic:pic>
              </a:graphicData>
            </a:graphic>
          </wp:anchor>
        </w:drawing>
        <w:t>October 21, 2022</w:t>
      </w:r>
    </w:p>
    <w:p>
      <w:pPr>
        <w:spacing w:after="0" w:line="225" w:lineRule="exact"/>
        <w:rPr>
          <w:sz w:val="20"/>
          <w:szCs w:val="20"/>
          <w:color w:val="auto"/>
        </w:rPr>
      </w:pPr>
    </w:p>
    <w:p>
      <w:pPr>
        <w:ind w:left="1300" w:hanging="644"/>
        <w:spacing w:after="0"/>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Bylaws of the Company as in effect on September 21, 2022, certified by the Secretary of the Company;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Warrant Agreement, dated as of September 21, 2022, by and between the Company and Continental Stock Transfer &amp; Trust Company, as warrant agent, pursuant to which the Resale Warrants were issued (the “</w:t>
      </w:r>
      <w:r>
        <w:rPr>
          <w:rFonts w:ascii="Times New Roman" w:cs="Times New Roman" w:eastAsia="Times New Roman" w:hAnsi="Times New Roman"/>
          <w:sz w:val="18"/>
          <w:szCs w:val="18"/>
          <w:u w:val="single" w:color="auto"/>
          <w:color w:val="auto"/>
        </w:rPr>
        <w:t>A&amp;R Warrant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and Plan of Merger, dated as of November 10, 2021, as amended by that certain Amendment to Agreement and Plan of Merger, dated as of April 1, 2022, as further amended by that Second Amendment to Agreement and Plan of Merger, dated as of July 25, 2022, by and among Ventoux CCM Acquisition Corp., Ventoux Merger Sub I Inc., Ventoux Merger Sub II LLC, and E La Carte, Inc.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Resolutions of the Board of Directors of the Company adopted on September 21, 2022, certified by the Secretary of the Company.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assumptions and the assumptions set forth below, and subject to the qualifications and limitations stated herein, having considered such questions of law as we have deemed necessary as a basis for the opinions expressed below, we are of the opinion that:</w:t>
      </w:r>
    </w:p>
    <w:p>
      <w:pPr>
        <w:spacing w:after="0" w:line="162" w:lineRule="exact"/>
        <w:rPr>
          <w:sz w:val="20"/>
          <w:szCs w:val="20"/>
          <w:color w:val="auto"/>
        </w:rPr>
      </w:pPr>
    </w:p>
    <w:p>
      <w:pPr>
        <w:ind w:left="1300" w:hanging="644"/>
        <w:spacing w:after="0" w:line="282"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when issued and paid for upon exercise of the public warrants and the Resale Warrants in accordance with the terms of the A&amp;R Warrant Agreement,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Shares are validly issued, fully paid and non-assessable.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5986145</wp:posOffset>
            </wp:positionH>
            <wp:positionV relativeFrom="page">
              <wp:posOffset>586105</wp:posOffset>
            </wp:positionV>
            <wp:extent cx="1329055"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62560"/>
                    </a:xfrm>
                    <a:prstGeom prst="rect">
                      <a:avLst/>
                    </a:prstGeom>
                    <a:noFill/>
                  </pic:spPr>
                </pic:pic>
              </a:graphicData>
            </a:graphic>
          </wp:anchor>
        </w:drawing>
        <w:t>October 21, 2022</w:t>
      </w:r>
    </w:p>
    <w:p>
      <w:pPr>
        <w:spacing w:after="0" w:line="225" w:lineRule="exact"/>
        <w:rPr>
          <w:sz w:val="20"/>
          <w:szCs w:val="20"/>
          <w:color w:val="auto"/>
        </w:rPr>
      </w:pPr>
    </w:p>
    <w:p>
      <w:pPr>
        <w:ind w:left="1300" w:hanging="644"/>
        <w:spacing w:after="0" w:line="282" w:lineRule="auto"/>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Earnout Shares, when issued in accordance with the terms of the Merger Agreement, will be validly issued, fully paid and non-assessable.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Warrants constitute valid and binding obligations of the Company, enforceable against the Company in accordance with their terms, subject to (i) applicable bankruptcy, insolvency, receivership, conservatorship, liquidation, reorganization, moratorium, fraudulent transfer and other laws affecting the enforcement of creditors’ rights generally, and (ii) the application of general principles of equity (whether applied by a court of law in equity or at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expressed above are limited to questions arising under the law of the State of New York and the Delaware General Corporation Law.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express any opinion as to the laws of any other jurisdiction.</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letter is for your benefit in connection with the Registration Statement and may be relied upon by you and by persons entitled to rely upon it pursuant to the applicable provisions of the Securities Act. This opinion letter is provided solely in connection with the distribution of the Common Stock and Warrants pursuant to the Registration Statement and is not to be relied upon for any other purpose.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opinions expressed above are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to the reference to our firm as counsel for the Company that has passed on the validity of the Common Stock and Warrants appearing under the caption “Legal Matters” in the prospectus forming part of the Registration Statement or any prospectus filed pursuant to Rule 424(b) with respect thereto. In giving this consent, we do not thereby admit that we are within the category of persons whose consent is required under Section 7 of the Securities Act or the rules and regulations of the Commission thereunder.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White &amp; Case LLP</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KHR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2008 STOCK INCENTIVE PLAN</w:t>
      </w:r>
    </w:p>
    <w:p>
      <w:pPr>
        <w:spacing w:after="0" w:line="225" w:lineRule="exact"/>
        <w:rPr>
          <w:sz w:val="20"/>
          <w:szCs w:val="20"/>
          <w:color w:val="auto"/>
        </w:rPr>
      </w:pPr>
    </w:p>
    <w:p>
      <w:pPr>
        <w:ind w:left="180" w:hanging="172"/>
        <w:spacing w:after="0"/>
        <w:tabs>
          <w:tab w:leader="none" w:pos="1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purpose of this 2008 Stock Incentive Plan (the “Plan”) of KHR Technologies, Inc., a Delaware corporation (the “Company”),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189" w:lineRule="exact"/>
        <w:rPr>
          <w:sz w:val="20"/>
          <w:szCs w:val="20"/>
          <w:color w:val="auto"/>
        </w:rPr>
      </w:pPr>
    </w:p>
    <w:p>
      <w:pPr>
        <w:ind w:left="180" w:hanging="172"/>
        <w:spacing w:after="0"/>
        <w:tabs>
          <w:tab w:leader="none" w:pos="1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employees, officers, directors, consultants and advisors are eligible to be granted options, restricted stock, restricted stock units (“RSUs”) and other stock-based awards (each, an “Award”) under the Plan. Each person who receives an Award under the Plan is deemed a “Participant”.</w:t>
      </w:r>
    </w:p>
    <w:p>
      <w:pPr>
        <w:spacing w:after="0" w:line="176" w:lineRule="exact"/>
        <w:rPr>
          <w:sz w:val="20"/>
          <w:szCs w:val="20"/>
          <w:color w:val="auto"/>
        </w:rPr>
      </w:pPr>
    </w:p>
    <w:p>
      <w:pPr>
        <w:ind w:left="180" w:hanging="172"/>
        <w:spacing w:after="0"/>
        <w:tabs>
          <w:tab w:leader="none" w:pos="1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and Delegation</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90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by Board of Directors</w:t>
      </w:r>
      <w:r>
        <w:rPr>
          <w:rFonts w:ascii="Times New Roman" w:cs="Times New Roman" w:eastAsia="Times New Roman" w:hAnsi="Times New Roman"/>
          <w:sz w:val="18"/>
          <w:szCs w:val="18"/>
          <w:color w:val="auto"/>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Committees</w:t>
      </w:r>
      <w:r>
        <w:rPr>
          <w:rFonts w:ascii="Times New Roman" w:cs="Times New Roman" w:eastAsia="Times New Roman" w:hAnsi="Times New Roman"/>
          <w:sz w:val="18"/>
          <w:szCs w:val="18"/>
          <w:color w:val="auto"/>
        </w:rPr>
        <w:t>. To the extent permitted by applicable law, the Board may delegate any or all of its powers under the Plan to one or more committees or subcommittees of the Board (a “Committee”). All references in the Plan to the “Board” shall mean the Board or a Committee of the Board or the officers referred to in Section 3(c) to the extent that the Board’s powers or authority under the Plan have been delegated to such Committee or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9" w:name="page200"/>
    <w:bookmarkEnd w:id="199"/>
    <w:p>
      <w:pPr>
        <w:jc w:val="both"/>
        <w:ind w:left="-8" w:firstLine="656"/>
        <w:spacing w:after="0" w:line="255" w:lineRule="auto"/>
        <w:tabs>
          <w:tab w:leader="none" w:pos="88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to Officers</w:t>
      </w:r>
      <w:r>
        <w:rPr>
          <w:rFonts w:ascii="Times New Roman" w:cs="Times New Roman" w:eastAsia="Times New Roman" w:hAnsi="Times New Roman"/>
          <w:sz w:val="18"/>
          <w:szCs w:val="18"/>
          <w:color w:val="auto"/>
        </w:rPr>
        <w:t>. To the extent permitted by applicable law, the Board may delegate to one or more officers of the Company the power to grant Awards (subject to any limitations under the Plan)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such Awards, which may include a formula by which the exercise price will be determined) and the maximum number of shares subject to Awards that the officers may grant; provided further, however, that no officer shall be authorized to grant Awards to any “executive officer” of the Company (as defined by Rule 3b-7 under the Securities Exchange Act of 1934, as amended (the “Exchange Act”)) or to any “officer” of the Company (as defined by Rule 16a-1 under the Exchange Act).</w:t>
      </w:r>
    </w:p>
    <w:p>
      <w:pPr>
        <w:spacing w:after="0" w:line="188"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Available for Awards.</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54" w:lineRule="auto"/>
        <w:tabs>
          <w:tab w:leader="none" w:pos="89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Section 8, Awards may be made under the Plan for up to 750,000 shares of common stock, $.001 par value per share, of the Company (the “Common Stock”). If any Award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Further, shares of Common Stock tendered to the Company by a Participant to exercise an Award shall be added to the number of shares of Common Stock available for the grant of Awards under the Plan. However, in the case of Incentive Stock Options (as hereinafter defined), the foregoing provisions shall be subject to any limitations under the Code. Shares issued under the Plan may consist in whole or in part of authorized but unissued shares or treasury shares.</w:t>
      </w:r>
    </w:p>
    <w:p>
      <w:pPr>
        <w:spacing w:after="0" w:line="191"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89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spacing w:after="0" w:line="183"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8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options to purchase Common Stock (each, an “Option”)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“Nonstatutory Stock Option”.</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55" w:lineRule="auto"/>
        <w:tabs>
          <w:tab w:leader="none" w:pos="92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An Option that the Board intends to be an “incentive stock option” as defined in Section 422 of the Code (an “Incentive Stock Option”) shall only be granted to employees of KHR Technologies, Inc., any of KHR Technologies,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for any action taken by the Board, including without limitation the conversion of an Incentive Stock Option to a Nonstatutory Stock Option.</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72" w:hanging="106"/>
        <w:spacing w:after="0"/>
        <w:tabs>
          <w:tab w:leader="none" w:pos="5572" w:val="left"/>
        </w:tabs>
        <w:numPr>
          <w:ilvl w:val="2"/>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00" w:name="page201"/>
    <w:bookmarkEnd w:id="200"/>
    <w:p>
      <w:pPr>
        <w:ind w:left="244" w:hanging="244"/>
        <w:spacing w:after="0"/>
        <w:tabs>
          <w:tab w:leader="none" w:pos="24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Board shall establish the exercise price of each Option and specify the exercise price in the applicable option agreement.</w:t>
      </w:r>
    </w:p>
    <w:p>
      <w:pPr>
        <w:spacing w:after="0" w:line="225" w:lineRule="exact"/>
        <w:rPr>
          <w:rFonts w:ascii="Times New Roman" w:cs="Times New Roman" w:eastAsia="Times New Roman" w:hAnsi="Times New Roman"/>
          <w:sz w:val="18"/>
          <w:szCs w:val="18"/>
          <w:color w:val="auto"/>
        </w:rPr>
      </w:pPr>
    </w:p>
    <w:p>
      <w:pPr>
        <w:ind w:left="-656" w:firstLine="656"/>
        <w:spacing w:after="0" w:line="282" w:lineRule="auto"/>
        <w:tabs>
          <w:tab w:leader="none" w:pos="24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Each Option shall be exercisable at such times and subject to such terms and conditions as the Board may specify in the applicable option agreement.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Options may be exercised by delivery to the Company of a written notice of exercise signed by the proper person or by any other form of notice (including electronic notice) approved by the Board together with payment in full as specified in Section 5(f) for the number of shares for which the Option is exercised. Shares of Common Stock subject to the Option will be delivered by the Company as soon as practicable following exercise.</w:t>
      </w:r>
    </w:p>
    <w:p>
      <w:pPr>
        <w:spacing w:after="0" w:line="17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xml:space="preserve"> Common Stock purchased upon the exercise of an Option granted under the Plan shall be paid for as follows:</w:t>
      </w:r>
    </w:p>
    <w:p>
      <w:pPr>
        <w:spacing w:after="0" w:line="22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or by check, payable to the order of the Company;</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8" w:lineRule="auto"/>
        <w:tabs>
          <w:tab w:leader="none" w:pos="92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Common Stock is registered under the Exchange Act, 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83" w:lineRule="exact"/>
        <w:rPr>
          <w:rFonts w:ascii="Times New Roman" w:cs="Times New Roman" w:eastAsia="Times New Roman" w:hAnsi="Times New Roman"/>
          <w:sz w:val="18"/>
          <w:szCs w:val="18"/>
          <w:color w:val="auto"/>
        </w:rPr>
      </w:pPr>
    </w:p>
    <w:p>
      <w:pPr>
        <w:jc w:val="both"/>
        <w:ind w:left="-656" w:firstLine="1304"/>
        <w:spacing w:after="0" w:line="256" w:lineRule="auto"/>
        <w:tabs>
          <w:tab w:leader="none" w:pos="90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Common Stock is registered under the Exchange Act and to the extent provided for in the applicable option agreement or approved by the Board, in its sole discretion, by delivery (either by actual delivery or attestation)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spacing w:after="0" w:line="187"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90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and provided for in the applicable option agreement or approved by the Board, in its sole discretion, by (i) delivery of a promissory note of the Participant to the Company on terms determined by the Board, or (ii) payment of such other lawful consideration as the Board may determine; or</w:t>
      </w:r>
    </w:p>
    <w:p>
      <w:pPr>
        <w:spacing w:after="0" w:line="17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above permitted forms of payment.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2"/>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1" w:name="page202"/>
    <w:bookmarkEnd w:id="201"/>
    <w:p>
      <w:pPr>
        <w:ind w:left="180" w:hanging="172"/>
        <w:spacing w:after="0"/>
        <w:tabs>
          <w:tab w:leader="none" w:pos="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Restricted Stock Units</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892"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such Award vests (“Restricted Stock Units”) (Restricted Stock and Restricted Stock Units are each referred to herein as a “Restricted Stock Award”).</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91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for All Restricted Stock Awards</w:t>
      </w:r>
      <w:r>
        <w:rPr>
          <w:rFonts w:ascii="Times New Roman" w:cs="Times New Roman" w:eastAsia="Times New Roman" w:hAnsi="Times New Roman"/>
          <w:sz w:val="18"/>
          <w:szCs w:val="18"/>
          <w:color w:val="auto"/>
        </w:rPr>
        <w:t>. The Board shall determine the terms and conditions of a Restricted Stock Award, including the conditions for vesting and repurchase (or forfeiture) and the issue price, if any.</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Provisions Relating to 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Participants holding shares of Restricted Stock will be entitled to all ordinary cash dividends paid with respect to such shares, unless otherwise provided by the Board. Unless otherwise provided, by the Board, if any dividends or distributions are paid in shares, or consist of a dividend or distribution to holders of Common Stock other than an ordinary cash dividend, the shares, cash or other property will be subject to the same restrictions on transferability and forfeitability as the shares of Restricted Stock with respect to which they were paid. Each dividend payment will be made no later than the end of the calendar year in which the dividends are paid to shareholders of that class of stock or, if later, the 15th day of the third month following the date the dividends are paid to shareholders of that class of stock.</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2"/>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8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Stock-Based Awards</w:t>
      </w:r>
    </w:p>
    <w:p>
      <w:pPr>
        <w:spacing w:after="0" w:line="225" w:lineRule="exact"/>
        <w:rPr>
          <w:sz w:val="20"/>
          <w:szCs w:val="20"/>
          <w:color w:val="auto"/>
        </w:rPr>
      </w:pPr>
    </w:p>
    <w:p>
      <w:pPr>
        <w:jc w:val="both"/>
        <w:ind w:firstLine="666"/>
        <w:spacing w:after="0" w:line="255" w:lineRule="auto"/>
        <w:rPr>
          <w:sz w:val="20"/>
          <w:szCs w:val="20"/>
          <w:color w:val="auto"/>
        </w:rPr>
      </w:pPr>
      <w:r>
        <w:rPr>
          <w:rFonts w:ascii="Times New Roman" w:cs="Times New Roman" w:eastAsia="Times New Roman" w:hAnsi="Times New Roman"/>
          <w:sz w:val="18"/>
          <w:szCs w:val="18"/>
          <w:color w:val="auto"/>
        </w:rPr>
        <w:t>Other Awards of shares of Common Stock, and other Awards that are valued in whole or in part by reference to, or are otherwise based on, shares of Common Stock or other property, may be granted hereunder to Participants (“Other Stock-Based Awards”), including without limitation stock appreciation rights (“SARs”) and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 Subject to the provisions of the Plan, the Board shall determine the terms and conditions of each Other Stock-Based Award, including any purchase price applicable thereto.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ind w:left="180" w:hanging="172"/>
        <w:spacing w:after="0"/>
        <w:tabs>
          <w:tab w:leader="none" w:pos="1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Changes in Common Stock and Certain Other Events</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933"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this Plan, (ii) the number and class of securities and exercise price per share of each outstanding Option, (iii) the number of shares subject to and the repurchase price per share subject to each outstanding Restricted Stock Award, and (iv) the terms of each other outstanding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4"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A “Reorganization Event” shall mean: (a) any merger or consolidation of the Company with or into another entity as a 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or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any liquidation or dissolution of the Company.</w:t>
      </w:r>
    </w:p>
    <w:p>
      <w:pPr>
        <w:spacing w:after="0" w:line="206"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Reorganization Event on Awards Other than Restricted Stock Awards</w:t>
      </w:r>
      <w:r>
        <w:rPr>
          <w:rFonts w:ascii="Times New Roman" w:cs="Times New Roman" w:eastAsia="Times New Roman" w:hAnsi="Times New Roman"/>
          <w:sz w:val="18"/>
          <w:szCs w:val="18"/>
          <w:color w:val="auto"/>
        </w:rPr>
        <w:t>. In connection with a Reorganization Event, the Board may take any one or 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the excess, if any, of (A) the Acquisition Price times the number of shares of Common Stock subject to the Participant’s Awards (to the extent the exercise price does not exceed the Acquisition Price) over (B) the aggregate exercise price of all such outstanding Awards and any applicable tax withholdings, in exchange for the termination of such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8(b), the Board shall not be obligated by the Plan to treat all Awards, all Awards held by a Participant, or all Awards of the same type, identically.</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3"/>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spacing w:after="0" w:line="188" w:lineRule="exact"/>
        <w:rPr>
          <w:sz w:val="20"/>
          <w:szCs w:val="20"/>
          <w:color w:val="auto"/>
        </w:rPr>
      </w:pPr>
    </w:p>
    <w:p>
      <w:pPr>
        <w:jc w:val="both"/>
        <w:ind w:firstLine="1304"/>
        <w:spacing w:after="0" w:line="254" w:lineRule="auto"/>
        <w:tabs>
          <w:tab w:leader="none" w:pos="1564"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Consequences of a Reorganization Event on Restricted Stock Awards</w:t>
      </w:r>
      <w:r>
        <w:rPr>
          <w:rFonts w:ascii="Times New Roman" w:cs="Times New Roman" w:eastAsia="Times New Roman" w:hAnsi="Times New Roman"/>
          <w:sz w:val="18"/>
          <w:szCs w:val="18"/>
          <w:color w:val="auto"/>
        </w:rPr>
        <w:t>. Upon the occurrence of a Reorganization Event other than a liquidation or dissolution of the Company, the repurchase and other rights of the Company under each outstanding Restricted Stock Award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19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 Applicable to Awards</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References to a Participant, to the extent relevant in the context, shall include references to authorized transferees.</w:t>
      </w:r>
    </w:p>
    <w:p>
      <w:pPr>
        <w:spacing w:after="0" w:line="399"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3"/>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left="-656" w:firstLine="656"/>
        <w:spacing w:after="0" w:line="282" w:lineRule="auto"/>
        <w:tabs>
          <w:tab w:leader="none" w:pos="24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shall be evidenced in such form (written, electronic or otherwise) as the Board shall determine. Each Award may contain terms and conditions in addition to those set forth in the Plan.</w:t>
      </w:r>
    </w:p>
    <w:p>
      <w:pPr>
        <w:spacing w:after="0" w:line="161" w:lineRule="exact"/>
        <w:rPr>
          <w:rFonts w:ascii="Times New Roman" w:cs="Times New Roman" w:eastAsia="Times New Roman" w:hAnsi="Times New Roman"/>
          <w:sz w:val="18"/>
          <w:szCs w:val="18"/>
          <w:color w:val="auto"/>
        </w:rPr>
      </w:pPr>
    </w:p>
    <w:p>
      <w:pPr>
        <w:ind w:left="-656" w:firstLine="656"/>
        <w:spacing w:after="0" w:line="282" w:lineRule="auto"/>
        <w:tabs>
          <w:tab w:leader="none" w:pos="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Discretion</w:t>
      </w:r>
      <w:r>
        <w:rPr>
          <w:rFonts w:ascii="Times New Roman" w:cs="Times New Roman" w:eastAsia="Times New Roman" w:hAnsi="Times New Roman"/>
          <w:sz w:val="18"/>
          <w:szCs w:val="18"/>
          <w:color w:val="auto"/>
        </w:rPr>
        <w:t>. Except as otherwise provided by the Plan, each Award may be made alone or in addition or in relation to any other Award. The terms of each Award need not be identical, and the Board need not treat Participants uniformly.</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4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Status</w:t>
      </w:r>
      <w:r>
        <w:rPr>
          <w:rFonts w:ascii="Times New Roman" w:cs="Times New Roman" w:eastAsia="Times New Roman" w:hAnsi="Times New Roman"/>
          <w:sz w:val="18"/>
          <w:szCs w:val="18"/>
          <w:color w:val="auto"/>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2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If provided for in an Award or approved by the Board in its sole discretion, a Participant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w:t>
      </w:r>
    </w:p>
    <w:p>
      <w:pPr>
        <w:spacing w:after="0" w:line="18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Award.</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89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would not materially and adversely affect the Participant’s rights under the Plan or (ii) the change is permitted under Section 8 hereof.</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89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without stockholder approval, amend any outstanding Award granted under the Plan to provide an exercise price per share that is lower than the then 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 current exercise price per share of the cancelled award.</w:t>
      </w:r>
    </w:p>
    <w:p>
      <w:pPr>
        <w:spacing w:after="0" w:line="395" w:lineRule="exact"/>
        <w:rPr>
          <w:rFonts w:ascii="Times New Roman" w:cs="Times New Roman" w:eastAsia="Times New Roman" w:hAnsi="Times New Roman"/>
          <w:sz w:val="18"/>
          <w:szCs w:val="18"/>
          <w:color w:val="auto"/>
        </w:rPr>
      </w:pPr>
    </w:p>
    <w:p>
      <w:pPr>
        <w:ind w:left="4924" w:hanging="106"/>
        <w:spacing w:after="0"/>
        <w:tabs>
          <w:tab w:leader="none" w:pos="4924"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5" w:name="page206"/>
    <w:bookmarkEnd w:id="205"/>
    <w:p>
      <w:pPr>
        <w:jc w:val="both"/>
        <w:ind w:left="-8" w:firstLine="656"/>
        <w:spacing w:after="0" w:line="256" w:lineRule="auto"/>
        <w:tabs>
          <w:tab w:leader="none" w:pos="89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on Delivery of Stock</w:t>
      </w:r>
      <w:r>
        <w:rPr>
          <w:rFonts w:ascii="Times New Roman" w:cs="Times New Roman" w:eastAsia="Times New Roman" w:hAnsi="Times New Roman"/>
          <w:sz w:val="18"/>
          <w:szCs w:val="18"/>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87" w:lineRule="exact"/>
        <w:rPr>
          <w:rFonts w:ascii="Times New Roman" w:cs="Times New Roman" w:eastAsia="Times New Roman" w:hAnsi="Times New Roman"/>
          <w:sz w:val="18"/>
          <w:szCs w:val="18"/>
          <w:color w:val="auto"/>
        </w:rPr>
      </w:pPr>
    </w:p>
    <w:p>
      <w:pPr>
        <w:ind w:left="-8" w:firstLine="656"/>
        <w:spacing w:after="0" w:line="282" w:lineRule="auto"/>
        <w:tabs>
          <w:tab w:leader="none" w:pos="89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Board may at any time provide that any Award shall become immediately exercisable in full or in part, free of some or all restrictions or conditions, or otherwise realizable in full or in part, as the case may be.</w:t>
      </w:r>
    </w:p>
    <w:p>
      <w:pPr>
        <w:spacing w:after="0" w:line="161"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8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79" w:lineRule="exact"/>
        <w:rPr>
          <w:rFonts w:ascii="Times New Roman" w:cs="Times New Roman" w:eastAsia="Times New Roman" w:hAnsi="Times New Roman"/>
          <w:sz w:val="18"/>
          <w:szCs w:val="18"/>
          <w:color w:val="auto"/>
        </w:rPr>
      </w:pPr>
    </w:p>
    <w:p>
      <w:pPr>
        <w:ind w:left="-8" w:firstLine="656"/>
        <w:spacing w:after="0" w:line="282" w:lineRule="auto"/>
        <w:tabs>
          <w:tab w:leader="none" w:pos="89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88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on the date on which it is adopted by the Board. No Awards shall be granted under the Plan after the expiration of 10 years from the earlier of (i) the date on which the Plan was adopted by the Board or (ii) the date the Plan was approved by the Company’s stockholders, but Awards previously granted may extend beyond that date.</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89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Plan</w:t>
      </w:r>
      <w:r>
        <w:rPr>
          <w:rFonts w:ascii="Times New Roman" w:cs="Times New Roman" w:eastAsia="Times New Roman" w:hAnsi="Times New Roman"/>
          <w:sz w:val="18"/>
          <w:szCs w:val="18"/>
          <w:color w:val="auto"/>
        </w:rPr>
        <w:t>. The Board may amend, suspend or terminate the Plan or any portion thereof at any time; provided that if at any time the approval of the Company’s stockholders is required as to any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10(d) shall apply to, and be binding on the holders of, all Awards outstanding under the Plan at the time the amendment is adopted, provided the Board determines that such amendment does not materially and adversely affect the rights of Participants under the Plan.</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72" w:hanging="106"/>
        <w:spacing w:after="0"/>
        <w:tabs>
          <w:tab w:leader="none" w:pos="5572"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06" w:name="page207"/>
    <w:bookmarkEnd w:id="206"/>
    <w:p>
      <w:pPr>
        <w:jc w:val="both"/>
        <w:ind w:left="-8" w:firstLine="656"/>
        <w:spacing w:after="0" w:line="261" w:lineRule="auto"/>
        <w:tabs>
          <w:tab w:leader="none" w:pos="89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Sub-Plans</w:t>
      </w:r>
      <w:r>
        <w:rPr>
          <w:rFonts w:ascii="Times New Roman" w:cs="Times New Roman" w:eastAsia="Times New Roman" w:hAnsi="Times New Roman"/>
          <w:sz w:val="18"/>
          <w:szCs w:val="18"/>
          <w:color w:val="auto"/>
        </w:rPr>
        <w:t>. The Board may from time to time establish one or more sub-plans under the Plan for purposes of satisfying applicable blue sky, securities or tax laws of various jurisdictions. The Board shall establish such sub-plans by adopting supplements to this Plan containing</w:t>
      </w:r>
    </w:p>
    <w:p>
      <w:pPr>
        <w:jc w:val="both"/>
        <w:ind w:left="-8" w:firstLine="8"/>
        <w:spacing w:after="0" w:line="253" w:lineRule="auto"/>
        <w:tabs>
          <w:tab w:leader="none" w:pos="22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spacing w:after="0" w:line="188"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878"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No Award shall provide for deferral of compensation that does not comply with Section 409A of the Code, unless the Board, at the time of grant, specifically provides that the Award is not intended to comply with Section 409A of the Code. The Company shall have no liability to a Participant, or any other party, if an Award that is intended to be exempt from, or compliant with, Section 409A is not so exempt or compliant or for any action taken by the Board.</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895"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spacing w:after="0" w:line="391" w:lineRule="exact"/>
        <w:rPr>
          <w:rFonts w:ascii="Times New Roman" w:cs="Times New Roman" w:eastAsia="Times New Roman" w:hAnsi="Times New Roman"/>
          <w:sz w:val="18"/>
          <w:szCs w:val="18"/>
          <w:color w:val="auto"/>
        </w:rPr>
      </w:pPr>
    </w:p>
    <w:p>
      <w:pPr>
        <w:ind w:left="5572" w:hanging="106"/>
        <w:spacing w:after="0"/>
        <w:tabs>
          <w:tab w:leader="none" w:pos="5572"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KHR TECHNOLOGIES,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2008 STOCK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CALIFORNIA SUPPLEMENT</w:t>
      </w:r>
    </w:p>
    <w:p>
      <w:pPr>
        <w:spacing w:after="0" w:line="229" w:lineRule="exact"/>
        <w:rPr>
          <w:sz w:val="20"/>
          <w:szCs w:val="20"/>
          <w:color w:val="auto"/>
        </w:rPr>
      </w:pPr>
    </w:p>
    <w:p>
      <w:pPr>
        <w:ind w:firstLine="666"/>
        <w:spacing w:after="0" w:line="282" w:lineRule="auto"/>
        <w:rPr>
          <w:sz w:val="20"/>
          <w:szCs w:val="20"/>
          <w:color w:val="auto"/>
        </w:rPr>
      </w:pPr>
      <w:r>
        <w:rPr>
          <w:rFonts w:ascii="Times New Roman" w:cs="Times New Roman" w:eastAsia="Times New Roman" w:hAnsi="Times New Roman"/>
          <w:sz w:val="18"/>
          <w:szCs w:val="18"/>
          <w:color w:val="auto"/>
        </w:rPr>
        <w:t>Pursuant to Section 10(e) of the Plan, the Board has adopted this supplement for purposes of satisfying the requirements of Section 25102(o) of the California Law:</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Any Awards granted under the Plan to a Participant who is a resident of the State of California on the date of grant (a “California Participant”)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subject to the following additional limitations, terms and conditions:</w:t>
      </w:r>
    </w:p>
    <w:p>
      <w:pPr>
        <w:spacing w:after="0" w:line="207" w:lineRule="exact"/>
        <w:rPr>
          <w:sz w:val="20"/>
          <w:szCs w:val="20"/>
          <w:color w:val="auto"/>
        </w:rPr>
      </w:pPr>
    </w:p>
    <w:p>
      <w:pPr>
        <w:ind w:left="180" w:hanging="172"/>
        <w:spacing w:after="0"/>
        <w:tabs>
          <w:tab w:leader="none" w:pos="1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Limitations on Options.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906"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Duration of Options</w:t>
      </w:r>
      <w:r>
        <w:rPr>
          <w:rFonts w:ascii="Times New Roman" w:cs="Times New Roman" w:eastAsia="Times New Roman" w:hAnsi="Times New Roman"/>
          <w:sz w:val="18"/>
          <w:szCs w:val="18"/>
          <w:color w:val="auto"/>
        </w:rPr>
        <w:t>. No Options granted to California Participants shall have a term in excess of 10 years measured from the Option grant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93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Exercise Period Following Termination</w:t>
      </w:r>
      <w:r>
        <w:rPr>
          <w:rFonts w:ascii="Times New Roman" w:cs="Times New Roman" w:eastAsia="Times New Roman" w:hAnsi="Times New Roman"/>
          <w:sz w:val="18"/>
          <w:szCs w:val="18"/>
          <w:color w:val="auto"/>
        </w:rPr>
        <w:t>. Unless a California Participant’s employment is terminated for cause (as defined by applicable law, the terms of any contract of employment between the Company and such Participant, or in the instrument evidencing the grant of such Participant’s Option), in the event of termination of employment of such Participant, such Participant shall have the right to exercise an Option, to the extent that he or she was otherwise entitled to exercise such Option on the date employment terminated, until the earlier of: (i) at least six months from the date of termination, if termination was caused by such Participant’s death or “permanent and total disability” (within the meaning of Section 22(e)(3) of the Code), (ii) at least 30 days from the date of termination, if termination was caused other than by such Participant’s death or “permanent and total disability” (within the meaning of Section 22(e)(3) of the Code) and (iii) the Option expiration date.</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19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Limitations for Other Stock-Based Awards</w:t>
      </w:r>
      <w:r>
        <w:rPr>
          <w:rFonts w:ascii="Times New Roman" w:cs="Times New Roman" w:eastAsia="Times New Roman" w:hAnsi="Times New Roman"/>
          <w:sz w:val="18"/>
          <w:szCs w:val="18"/>
          <w:color w:val="auto"/>
        </w:rPr>
        <w:t>. The terms of all Awards granted to a California Participant under Section 7 of the Plan shall comply, to the extent applicable, with Sections 260.140.41, 260.140.42, 260.140.45 and 260.140.46 of the California Code of Regulations (the “California Regulations”).</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1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Limitations on Timing of Awards</w:t>
      </w:r>
      <w:r>
        <w:rPr>
          <w:rFonts w:ascii="Times New Roman" w:cs="Times New Roman" w:eastAsia="Times New Roman" w:hAnsi="Times New Roman"/>
          <w:sz w:val="18"/>
          <w:szCs w:val="18"/>
          <w:color w:val="auto"/>
        </w:rPr>
        <w:t>. No Award granted to a California Participant shall become exercisable, vested or realizable, as applicable to such Award, unless the Plan has been approved by the holders of a majority of the Company’s outstanding voting securities by the later of (i) within 12 months before or after the date the Plan was adopted by the Board, or (ii) prior to or within 12 months of the granting of any Award to a California Participant.</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1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Restriction Regarding Recapitalizations, Stock Splits, Etc</w:t>
      </w:r>
      <w:r>
        <w:rPr>
          <w:rFonts w:ascii="Times New Roman" w:cs="Times New Roman" w:eastAsia="Times New Roman" w:hAnsi="Times New Roman"/>
          <w:sz w:val="18"/>
          <w:szCs w:val="18"/>
          <w:color w:val="auto"/>
        </w:rPr>
        <w:t>. For purposes of Section 8 of the Plan, in the event of a stock split, reverse stock split, stock dividend, recapitalization, combination, reclassification or other distribution of the Company’s securities, the number of securities allocated to each California Participant, and in the case of Options, the exercise price of such Options, must be adjusted proportionately and without the receipt by the Company of any consideration from any California Participant.</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on November 7, 2018</w:t>
      </w:r>
    </w:p>
    <w:p>
      <w:pPr>
        <w:spacing w:after="0" w:line="225" w:lineRule="exact"/>
        <w:rPr>
          <w:sz w:val="20"/>
          <w:szCs w:val="20"/>
          <w:color w:val="auto"/>
        </w:rPr>
      </w:pPr>
    </w:p>
    <w:p>
      <w:pPr>
        <w:jc w:val="both"/>
        <w:ind w:firstLine="656"/>
        <w:spacing w:after="0" w:line="257" w:lineRule="auto"/>
        <w:tabs>
          <w:tab w:leader="none" w:pos="855"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purpose of this Plan is to provide incentives to attract, retain and motivate eligible persons whose present and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are important to the success of the Company, its Parent and Subsidiaries by offering eligible persons an opportunity to participate in the Company’s future performance through the grant of Awards covering Shares. Capitalized terms not defined in the text are defined in Section 14 hereof. Although this Plan is intended to be a written compensatory benefit plan within the meaning of Rule 701, grants may be made pursuant to this Plan that do not qualify for exemption under Rule 701 or Section 25102(o). Any requirement of this Plan that is required in law only because of Section 25102(o) need not apply if the Committee so provides.</w:t>
      </w:r>
    </w:p>
    <w:p>
      <w:pPr>
        <w:spacing w:after="0" w:line="182"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Number of Shares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Sections 2.2 and 11 hereof, the total number of Shares reserved and available for grant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pursuant to this Plan will be 2,134,848 Shares, which number includes (a) any authorized shares not issued or subject to outstanding grants under the Company’s 2008 Stock Incentive Plan (the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on the Effective Date (as defined in Section 13.1 hereof); (b) shares that are subject to issuance under the Prior Plan but cease to be subject to an award for any reason other than exercise of an option after the Effective Date; and (c) shares that were issued under the Prior Plan which are repurchased by the Company or which are forfeited or used to pay withholding obligations or pay the exercise price of an Option. Subject to Sections 2.2 and 11 hereof, (A) in the event that Shares previously issued under the Plan are reacquired by the Company pursuant to a forfeiture provision, right of first refusal, or repurchase by the Company, such Shares shall be added to the number of Shares then available for issuance under the Plan; (B) in the event that Shares that otherwise would have been issuable under the Plan are withheld by the Company in payment of the Purchase Price, Exercise Price or withholding obligations, such Shares shall remain available for issuance under the Plan; and (C) in the event that an outstanding Option, Restricted Stock Unit or SAR for any reason expires or is cancelled, forfeited or terminated, the Shares allocable to the unexercised or unsettled portion of such Option, Restricted Stock Unit or SAR, as applicable, shall remain available for issuance under the Plan. To the extent an Award is settled in cash, the cash settlement shall not reduce the number of Shares remaining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reacquired by the Company pursuant to a forfeiture provision, right of first refusal, or repurchase by the Company as a separate issuance) under the Plan upon exercise of ISOs (as defined in Section 4 hereof) exceed 4,269,696 Shares (adjusted in proportion to any adjustments under Section 2.2 hereof) over the term of the Plan.</w:t>
      </w:r>
    </w:p>
    <w:p>
      <w:pPr>
        <w:spacing w:after="0" w:line="19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Adjustment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the Company’s Common Stock is changed by a stock dividend, recapitalization, stock split,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reverse stock split, subdivision, combination, reclassification or other change in the capital structure of the Company affecting Shares without consideration, then in order to prevent diminution or enlargement of the benefits or potential benefits intended to be made available under the Plan (a) the number and class of Shares reserved for issuance under this Plan, (b) the Exercise Prices of and number and class of Shares subject to outstanding Options and SARs, and (c) the Purchase Prices of and/or number and class of Shares subject to other outstanding Awards will (to the extent appropriate) be proportionately adjusted, subject to any required action by the Board or the stockholders of the Company and compliance with applicable securities or other laws;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fractions of a Share will not be issued but will either be paid in cash at the Fair Market Value of such fraction of a Share or will be rounded down to the nearest whole Share,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9" w:name="page210"/>
    <w:bookmarkEnd w:id="209"/>
    <w:p>
      <w:pPr>
        <w:ind w:left="840" w:hanging="184"/>
        <w:spacing w:after="0"/>
        <w:tabs>
          <w:tab w:leader="none" w:pos="84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PLAN FOR BENEFIT OF SERVICE PROVIDERS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will have the authority to select persons to receive Awards. ISOs may be granted only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officers 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such consultants render bona fide services not in connection with the offer and sale of securities in a capital-raising transaction when Rule 701 is to apply to the Award granted for such services. A person may be granted more than one Award under this Plan.</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Plan or any Award granted under this Plan will confer or be deemed to confer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any right to continue in the employ of, or to continue any other relationship with, the Company or any Subsidiary or Parent of the Company or limit in any way the right of the Company or any Subsidiary or Parent of the Company to terminate Participant’s employment or other relationship at any time, with or without Cause.</w:t>
      </w:r>
    </w:p>
    <w:p>
      <w:pPr>
        <w:spacing w:after="0" w:line="176" w:lineRule="exact"/>
        <w:rPr>
          <w:sz w:val="20"/>
          <w:szCs w:val="20"/>
          <w:color w:val="auto"/>
        </w:rPr>
      </w:pPr>
    </w:p>
    <w:p>
      <w:pPr>
        <w:jc w:val="both"/>
        <w:ind w:firstLine="656"/>
        <w:spacing w:after="0" w:line="262" w:lineRule="auto"/>
        <w:tabs>
          <w:tab w:leader="none" w:pos="828"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grant Options to eligible persons described in Section 3 hereof and will determine whether such Options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Incentive Stock Options within the meaning of the Code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or Nonqualified Stock Options (“</w:t>
      </w:r>
      <w:r>
        <w:rPr>
          <w:rFonts w:ascii="Times New Roman" w:cs="Times New Roman" w:eastAsia="Times New Roman" w:hAnsi="Times New Roman"/>
          <w:sz w:val="18"/>
          <w:szCs w:val="18"/>
          <w:b w:val="1"/>
          <w:bCs w:val="1"/>
          <w:i w:val="1"/>
          <w:iCs w:val="1"/>
          <w:color w:val="auto"/>
        </w:rPr>
        <w:t>NQSOs</w:t>
      </w:r>
      <w:r>
        <w:rPr>
          <w:rFonts w:ascii="Times New Roman" w:cs="Times New Roman" w:eastAsia="Times New Roman" w:hAnsi="Times New Roman"/>
          <w:sz w:val="18"/>
          <w:szCs w:val="18"/>
          <w:color w:val="auto"/>
        </w:rPr>
        <w:t>”), the number of Shares subject to the Option, the Exercise Price of the Option, the period during which the Option may be exercised, and all other terms and conditions of the Option, subject to the following.</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Form of Option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Option granted under this Plan will be evidenced by an Award Agreement which will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identify the Option as an ISO or an NQSO (“</w:t>
      </w:r>
      <w:r>
        <w:rPr>
          <w:rFonts w:ascii="Times New Roman" w:cs="Times New Roman" w:eastAsia="Times New Roman" w:hAnsi="Times New Roman"/>
          <w:sz w:val="18"/>
          <w:szCs w:val="18"/>
          <w:b w:val="1"/>
          <w:bCs w:val="1"/>
          <w:i w:val="1"/>
          <w:iCs w:val="1"/>
          <w:color w:val="auto"/>
        </w:rPr>
        <w:t>Stock Option Agreement</w:t>
      </w:r>
      <w:r>
        <w:rPr>
          <w:rFonts w:ascii="Times New Roman" w:cs="Times New Roman" w:eastAsia="Times New Roman" w:hAnsi="Times New Roman"/>
          <w:sz w:val="18"/>
          <w:szCs w:val="18"/>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Date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an Option will be the date on which the Committee makes the determination to grant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unless a later date is otherwise specified by the Committee. The Stock Option Agreement and a copy of this Plan will be delivered to the Participant within a reasonable time after the granting of the Option.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0" w:name="page211"/>
    <w:bookmarkEnd w:id="210"/>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Exercise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may be exercisable within the time or upon the events determined by the Committee in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and may be awarded as immediately exercisable but subject to repurchase pursuant to Section 10 hereof or may be exercisable within the times or upon the events determined by the Committee as set forth in the Stock Option Agreement governing such Option;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(a) no Option will be exercisable after the expiration of ten (10) years from the date the Option is granted; and (b) no ISO granted to a person who directly or by attribution owns more than ten percent (10%) of the total combined voting power of all classes of stock of the Company or of any Subsidiary or Parent of the Company (“</w:t>
      </w:r>
      <w:r>
        <w:rPr>
          <w:rFonts w:ascii="Times New Roman" w:cs="Times New Roman" w:eastAsia="Times New Roman" w:hAnsi="Times New Roman"/>
          <w:sz w:val="18"/>
          <w:szCs w:val="18"/>
          <w:b w:val="1"/>
          <w:bCs w:val="1"/>
          <w:color w:val="auto"/>
        </w:rPr>
        <w:t>Ten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Percent Stockholder</w:t>
      </w:r>
      <w:r>
        <w:rPr>
          <w:rFonts w:ascii="Times New Roman" w:cs="Times New Roman" w:eastAsia="Times New Roman" w:hAnsi="Times New Roman"/>
          <w:sz w:val="18"/>
          <w:szCs w:val="18"/>
          <w:color w:val="auto"/>
        </w:rPr>
        <w:t>”) will be exercisable after the expiration of five (5) years from the date the ISO is granted; but in no event shall an Option granted to an employee who is a non-exempt employee for purposes of overtime pay under the U.S. Fair Labor Standards Act of 1938 be exercisable earlier than six (6) months after its date of grant. The Committee also may provide for Options to become exercisable at one time or from time to time, periodically or otherwise, in such number of Shares or percentage of Shares as the Committee determines. In addition, if an Option is determined to otherwise be subject to Section 409A of the Code, such Option shall be exercisable for the Shares subject to such Option no later than the end of the applicable short-term deferral period determined under Section 409A of the Code by the Committee, except as otherwise determined by the Committee.</w:t>
      </w:r>
    </w:p>
    <w:p>
      <w:pPr>
        <w:spacing w:after="0" w:line="18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Price of an Option will be determined by the Committee when the Option is granted and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less than the Fair Market Value per Share on the date of grant unless expressly determined in writing by the Committee;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Exercise Price of an ISO granted to a Ten Percent Stockholder will not be less than one hundred ten percent (110%) of the Fair Market Value of the Shares on the date of grant. Payment for the Shares purchased must be made in accordance with Section 8 hereof.</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Method of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may be exercised only by delivery to the Company of a stock option exercise agreement (accepted via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electronic or other means) (the “</w:t>
      </w:r>
      <w:r>
        <w:rPr>
          <w:rFonts w:ascii="Times New Roman" w:cs="Times New Roman" w:eastAsia="Times New Roman" w:hAnsi="Times New Roman"/>
          <w:sz w:val="18"/>
          <w:szCs w:val="18"/>
          <w:b w:val="1"/>
          <w:bCs w:val="1"/>
          <w:i w:val="1"/>
          <w:iCs w:val="1"/>
          <w:color w:val="auto"/>
        </w:rPr>
        <w:t>Exercise Agreement</w:t>
      </w:r>
      <w:r>
        <w:rPr>
          <w:rFonts w:ascii="Times New Roman" w:cs="Times New Roman" w:eastAsia="Times New Roman" w:hAnsi="Times New Roman"/>
          <w:sz w:val="18"/>
          <w:szCs w:val="18"/>
          <w:color w:val="auto"/>
        </w:rPr>
        <w:t>”) in a form approved by the Committee (which need not be the same for each Participant). The Exercise Agreement will state (a) the number of Shares being purchased, (b) the restrictions imposed on the Shares purchased under such Exercise Agreement, if any, and (c) such representations and agreements regarding Participant’s investment intent and access to information and other matters, if any, as may be required or desirable by the Company to comply with applicable securities or other laws. Each Participant’s Exercise Agreement may be modified by (i) agreement of Participant and the Company or (ii) substitution by the Company, upon becoming a public company, in order to add the payment terms set forth in Section 8.1 that apply to a public company and such other terms as shall be necessary or advisable in order to exercise a public company option. Upon exercise of an Option, Participant shall execute and deliver to the Company the Exercise Agreement then in effect, together with payment in full of the Exercise Price for the number of Shares being purchased and satisfaction of any applicable Tax-Related Obligations (as defined in Section 8.2 hereof). No adjustment will be made for a dividend or other right for which the record date is prior to the date the Shares are issued, except as provided in Section 2.2 of the Plan. Exercising an Option in any manner will decrease the number of Shares thereafter available, both for purposes of the Plan and for sale under the Option, by the number of Shares as to which the Option is exercised.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1" w:name="page212"/>
    <w:bookmarkEnd w:id="211"/>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earlier termination pursuant to Sections 11 and 13.3 hereof and notwithstanding the exercise periods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Stock Option Agreement, exercise of an Option will always be subject to the following terms and conditions.</w:t>
      </w:r>
    </w:p>
    <w:p>
      <w:pPr>
        <w:spacing w:after="0" w:line="15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4.6.1 </w:t>
      </w:r>
      <w:r>
        <w:rPr>
          <w:rFonts w:ascii="Times New Roman" w:cs="Times New Roman" w:eastAsia="Times New Roman" w:hAnsi="Times New Roman"/>
          <w:sz w:val="18"/>
          <w:szCs w:val="18"/>
          <w:u w:val="single" w:color="auto"/>
          <w:color w:val="auto"/>
        </w:rPr>
        <w:t>Other than Death or Disability or for Cause</w:t>
      </w:r>
      <w:r>
        <w:rPr>
          <w:rFonts w:ascii="Times New Roman" w:cs="Times New Roman" w:eastAsia="Times New Roman" w:hAnsi="Times New Roman"/>
          <w:sz w:val="18"/>
          <w:szCs w:val="18"/>
          <w:color w:val="auto"/>
        </w:rPr>
        <w:t>. If the Participant is Terminated for any reason other than death, Disability or for Cause, then the Participant may exercise such Participant’s Options only to the extent that such Options are exercisable as to Vested Shares upon the Termination Date, except as otherwise determined by the Committee or required by applicable law. Such Options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or required by applicable law, with any exercise beyond three (3) months after the date Participant ceases to be an employee deemed to be an NQSO) but, in any event, no later than the expiration date of the Options.</w:t>
      </w:r>
    </w:p>
    <w:p>
      <w:pPr>
        <w:spacing w:after="0" w:line="189"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4.6.2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on the Termination Date, except as otherwise determined by the Committee or required by applicable law. Such Options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or required by applicable law, with any exercise beyond (a) three (3) months after the date Participant ceases to be an employee when the Termination is for any reason other than the Participant’s death or disability, within the meaning of Section 22(e)(3) of the Code, or (b) twelve (12) months after the date Participant ceases to be an employee when the Termination is for Participant’s disability, within the meaning of Section 22(e)(3) of the Code, deemed to be an NQSO) but in any event no later than the expiration date of the Options.</w:t>
      </w:r>
    </w:p>
    <w:p>
      <w:pPr>
        <w:spacing w:after="0" w:line="194"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4.6.3 </w:t>
      </w:r>
      <w:r>
        <w:rPr>
          <w:rFonts w:ascii="Times New Roman" w:cs="Times New Roman" w:eastAsia="Times New Roman" w:hAnsi="Times New Roman"/>
          <w:sz w:val="18"/>
          <w:szCs w:val="18"/>
          <w:u w:val="single" w:color="auto"/>
          <w:color w:val="auto"/>
        </w:rPr>
        <w:t>For Cause</w:t>
      </w:r>
      <w:r>
        <w:rPr>
          <w:rFonts w:ascii="Times New Roman" w:cs="Times New Roman" w:eastAsia="Times New Roman" w:hAnsi="Times New Roman"/>
          <w:sz w:val="18"/>
          <w:szCs w:val="18"/>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17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Limitations on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specify a reasonable minimum number of Shares that may be purchased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 of an Option,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such minimum number will not prevent Participant from exercising the Option for the full number of Shares for which it is then exercisable.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2" w:name="page213"/>
    <w:bookmarkEnd w:id="212"/>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Limitations on ISOs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Fair Market Value (determined as of the date of grant) of Shares with respect to which ISOs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exercisable for the first time by a Participant during any calendar year (under this Plan or under any other incentive stock option plan of the Company or any Parent or Subsidiary of the Company) will not exceed One Hundred Thousand Dollars ($100,000). If the Fair Market Value of Shares on the date of grant with respect to which ISOs are exercisable for the first time by a Participant during any calendar year exceeds One Hundred Thousand Dollars ($100,000), then the Options for the first One Hundred Thousand Dollars ($100,000) worth of Shares to become exercisable in such calendar year will be ISOs and the Options for the amount in excess of One Hundred Thousand Dollars ($100,000) that become exercisable in that calendar year will be NQSOs. In the event that the Code or the regulations promulgated thereunder are amended after the Effective Date (as defined in Section 13.1 hereof) to provide for a different limit on the Fair Market Value of Shares permitted to be subject to ISOs, then such different limit will be automatically incorporated herein and will apply to any Options granted after the effective date of such amendment.</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Modification, Extension or Renewal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modify, extend or renew outstanding Options and authorize the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new Options in substitution therefor,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4.10 hereof, the Committee may reduce the Exercise Price of outstanding Options without the consent of Participants by a written notice to them;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Exercise Price may not be reduced below the minimum Exercise Price that would be permitted under Section 4.4 hereof for Options granted on the date the action is taken to reduce the Exercise Price.</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4.10 </w:t>
      </w:r>
      <w:r>
        <w:rPr>
          <w:rFonts w:ascii="Times New Roman" w:cs="Times New Roman" w:eastAsia="Times New Roman" w:hAnsi="Times New Roman"/>
          <w:sz w:val="18"/>
          <w:szCs w:val="18"/>
          <w:b w:val="1"/>
          <w:bCs w:val="1"/>
          <w:u w:val="single" w:color="auto"/>
          <w:color w:val="auto"/>
        </w:rPr>
        <w:t>No Disqualification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in this Plan, no term of this Plan relating to ISOs will be interpreted,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71" w:lineRule="exact"/>
        <w:rPr>
          <w:sz w:val="20"/>
          <w:szCs w:val="20"/>
          <w:color w:val="auto"/>
        </w:rPr>
      </w:pPr>
    </w:p>
    <w:p>
      <w:pPr>
        <w:jc w:val="both"/>
        <w:ind w:firstLine="656"/>
        <w:spacing w:after="0" w:line="262" w:lineRule="auto"/>
        <w:tabs>
          <w:tab w:leader="none" w:pos="828"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Restricted Stock Award is an offer by the Company to sell to an eligible person Shares that are subject 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restrictions. The Committee will determine to whom an offer will be made, the number of Shares the person may purchase, the Purchase Price, the restrictions to which the Shares will be subject, and all other terms and conditions of the Restricted Stock Award, subject to the following terms and conditions.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Form of Restricted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purchases under a Restricted Stock Award made pursuant to this Plan will be evidenced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 (“</w:t>
      </w:r>
      <w:r>
        <w:rPr>
          <w:rFonts w:ascii="Times New Roman" w:cs="Times New Roman" w:eastAsia="Times New Roman" w:hAnsi="Times New Roman"/>
          <w:sz w:val="18"/>
          <w:szCs w:val="18"/>
          <w:b w:val="1"/>
          <w:bCs w:val="1"/>
          <w:i w:val="1"/>
          <w:iCs w:val="1"/>
          <w:color w:val="auto"/>
        </w:rPr>
        <w:t>Restricted Stock Purchase Agreement</w:t>
      </w:r>
      <w:r>
        <w:rPr>
          <w:rFonts w:ascii="Times New Roman" w:cs="Times New Roman" w:eastAsia="Times New Roman" w:hAnsi="Times New Roman"/>
          <w:sz w:val="18"/>
          <w:szCs w:val="18"/>
          <w:color w:val="auto"/>
        </w:rPr>
        <w:t>”) that will be in such form (which need not be the same for each Participant) as the Committee will from time to time approve, and will comply with and be subject to the terms and conditions of this Plan. The Restricted Stock Award will be accepted by the Participant’s execution and delivery of the Restricted Stock Purchase Agreement (accepted via written, electronic or other means)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3" w:name="page214"/>
    <w:bookmarkEnd w:id="213"/>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 Price of Shares sold pursuant to a Restricted Stock Award will be determined by the Committee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Restricted Stock Award is granted. Payment of the Purchase Price must be made in accordance with Section 8 hereof.</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Dividends and Other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holding Restricted Stock Awards will be entitled to receive all dividends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paid with respect to such Shares, unless the Committee provides otherwise at the time the Award is granted. If any such dividends or distributions are paid in Shares, the Shares will be subject to the same restrictions on transferability and forfeitability as the Restricted Stock Awards with respect to which they were paid.</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Awards may be subject to the restrictions set forth in Sections 9 and 10 hereof or, with respect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Award to which Section 25102(o) is to apply, such other restrictions not inconsistent with Section 25102(o).</w:t>
      </w:r>
    </w:p>
    <w:p>
      <w:pPr>
        <w:spacing w:after="0" w:line="155" w:lineRule="exact"/>
        <w:rPr>
          <w:sz w:val="20"/>
          <w:szCs w:val="20"/>
          <w:color w:val="auto"/>
        </w:rPr>
      </w:pPr>
    </w:p>
    <w:p>
      <w:pPr>
        <w:ind w:left="840" w:hanging="184"/>
        <w:spacing w:after="0"/>
        <w:tabs>
          <w:tab w:leader="none" w:pos="84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Awards of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Restricted Stock Unit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is an Award covering a number of Shares that may be settled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by issuance of those Shares at a date in the future, or by a combination of cash and Shares. No Purchase Price shall apply to an RSU settled in Shares. All grants of RSUs will be evidenced by an Award Agreement (the “</w:t>
      </w:r>
      <w:r>
        <w:rPr>
          <w:rFonts w:ascii="Times New Roman" w:cs="Times New Roman" w:eastAsia="Times New Roman" w:hAnsi="Times New Roman"/>
          <w:sz w:val="18"/>
          <w:szCs w:val="18"/>
          <w:b w:val="1"/>
          <w:bCs w:val="1"/>
          <w:i w:val="1"/>
          <w:iCs w:val="1"/>
          <w:color w:val="auto"/>
        </w:rPr>
        <w:t>RSU Agreement</w:t>
      </w:r>
      <w:r>
        <w:rPr>
          <w:rFonts w:ascii="Times New Roman" w:cs="Times New Roman" w:eastAsia="Times New Roman" w:hAnsi="Times New Roman"/>
          <w:sz w:val="18"/>
          <w:szCs w:val="18"/>
          <w:color w:val="auto"/>
        </w:rPr>
        <w:t>”) that will be in such form (which need not be the same for each Participant) as the Committee will from time to time approve, and will comply with and be subject to the terms and conditions of this Plan. No RSU will have a term longer than ten (10) years from the date the RSU is granted.</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Form and Timing of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permissible under applicable law, the Committee may permit a Participant to defer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(including settlement) under an RSU to a date or dates after the RSU has vested,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the terms of the RSU and any deferral satisfy the requirements of Section 409A of the Code (or any successor) and any regulations or rulings promulgated thereunder, to the extent the Participant is subject to Section 409A of the Code. Payment may be made in the form of cash or whole Shares or a combination thereof, all as the Committee determines.</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Dividend Equivalent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permit Participants holding RSUs to receive dividend equivalent payments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RSUs if and when dividends are paid to stockholders on Shares. In the discretion of the Board, such dividend equivalent payments may be paid in cash or Shares and they may either be paid at the same time as dividend payments are made to stockholders or delayed until Shares are issued pursuant to the RSU grants and may be subject to the same vesting or performance requirements as the RSUs. If the Board permits dividend equivalent payments to be made on RSUs, the terms and conditions for such dividend equivalent payments will be set forth in the RSU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4" w:name="page215"/>
    <w:bookmarkEnd w:id="214"/>
    <w:p>
      <w:pPr>
        <w:ind w:left="840" w:hanging="184"/>
        <w:spacing w:after="0"/>
        <w:tabs>
          <w:tab w:leader="none" w:pos="84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Awards of SARs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Appreciation Rights (“</w:t>
      </w: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may be settled in cash or Shares (which may consist of Restricted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RSUs) or a combination thereof, having a value equal to the value determined by multiplying the difference between the Fair Market Value on the date of exercise over the Exercise Price and the number of Shares with respect to which the SAR is being exercised. All grants of SARs made pursuant to this Plan will be evidenced by an Award Agreement (the “</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that will be in such form (which need not be the same for each Participant) as the Committee will from time to time approve, and will comply with and be subject to the terms and conditions of this Plan.</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Exercise Period and Expiration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SAR will be exercisable within the times or upon the occurrence of events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Committee and set forth in the SAR Agreement. The SAR Agreement shall set forth the expiration date;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no SAR will be exercisable after the expiration of ten (10) years from the date the SAR is granted.</w:t>
      </w:r>
    </w:p>
    <w:p>
      <w:pPr>
        <w:spacing w:after="0" w:line="171"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will determine the Exercise Price of the SAR when the SAR is granted, which may not be less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Market Value on the date of grant.</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earlier termination pursuant to Sections 11 and 13 hereof and notwithstanding the exercise periods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SAR Agreement, exercise of SARs will always be subject to the following terms and conditions.</w:t>
      </w:r>
    </w:p>
    <w:p>
      <w:pPr>
        <w:spacing w:after="0" w:line="159"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7.4.1 </w:t>
      </w:r>
      <w:r>
        <w:rPr>
          <w:rFonts w:ascii="Times New Roman" w:cs="Times New Roman" w:eastAsia="Times New Roman" w:hAnsi="Times New Roman"/>
          <w:sz w:val="18"/>
          <w:szCs w:val="18"/>
          <w:u w:val="single" w:color="auto"/>
          <w:color w:val="auto"/>
        </w:rPr>
        <w:t>Other than Death or Disability or for Cause</w:t>
      </w:r>
      <w:r>
        <w:rPr>
          <w:rFonts w:ascii="Times New Roman" w:cs="Times New Roman" w:eastAsia="Times New Roman" w:hAnsi="Times New Roman"/>
          <w:sz w:val="18"/>
          <w:szCs w:val="18"/>
          <w:color w:val="auto"/>
        </w:rPr>
        <w:t>. If the Participant is Terminated for any reason other than death, Disability or for Cause, then the Participant may exercise such Participant’s SARs only to the extent that such SARs are exercisable as to Vested Shares upon the Termination Date or as otherwise determined by the Committee or as required by applicable law. SARs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or as required by applicable law), but in any event no later than the expiration date of the SARs.</w:t>
      </w:r>
    </w:p>
    <w:p>
      <w:pPr>
        <w:spacing w:after="0" w:line="187"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7.4.2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If the Participant is Terminated because of Participant’s death or Disability (or the Participant dies within three (3) months after a Termination other than for Cause), then Participant’s SARs may be exercised only to the extent that such SARs are exercisable as to Vested Shares on the Termination Date or as otherwise determined by the Committee or as required by applicable law. Such SARs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or as required by applicable law), but in any event no later than the expiration date of the SARs.</w:t>
      </w:r>
    </w:p>
    <w:p>
      <w:pPr>
        <w:spacing w:after="0" w:line="189"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7.4.3 </w:t>
      </w:r>
      <w:r>
        <w:rPr>
          <w:rFonts w:ascii="Times New Roman" w:cs="Times New Roman" w:eastAsia="Times New Roman" w:hAnsi="Times New Roman"/>
          <w:sz w:val="18"/>
          <w:szCs w:val="18"/>
          <w:u w:val="single" w:color="auto"/>
          <w:color w:val="auto"/>
        </w:rPr>
        <w:t>For Cause</w:t>
      </w:r>
      <w:r>
        <w:rPr>
          <w:rFonts w:ascii="Times New Roman" w:cs="Times New Roman" w:eastAsia="Times New Roman" w:hAnsi="Times New Roman"/>
          <w:sz w:val="18"/>
          <w:szCs w:val="18"/>
          <w:color w:val="auto"/>
        </w:rPr>
        <w:t>. If the Participant is Terminated for Cause, the Participant may exercise such Participant’s SARs, but not to an extent greater than such SARs are exercisable as to Vested Shares upon the Termination Date and Participant’s SARs shall expire on such Participant’s Termination Date, or at such later time and on such conditions as are determined by the Committee.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5" w:name="page216"/>
    <w:bookmarkEnd w:id="215"/>
    <w:p>
      <w:pPr>
        <w:ind w:left="840" w:hanging="184"/>
        <w:spacing w:after="0"/>
        <w:tabs>
          <w:tab w:leader="none" w:pos="84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FOR PURCHASES AND EXERCISES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Payment in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for Shares acquired pursuant to this Plan may be made in cash equivalents (including by check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Automated Clearing House (“</w:t>
      </w:r>
      <w:r>
        <w:rPr>
          <w:rFonts w:ascii="Times New Roman" w:cs="Times New Roman" w:eastAsia="Times New Roman" w:hAnsi="Times New Roman"/>
          <w:sz w:val="18"/>
          <w:szCs w:val="18"/>
          <w:b w:val="1"/>
          <w:bCs w:val="1"/>
          <w:i w:val="1"/>
          <w:iCs w:val="1"/>
          <w:color w:val="auto"/>
        </w:rPr>
        <w:t>ACH</w:t>
      </w:r>
      <w:r>
        <w:rPr>
          <w:rFonts w:ascii="Times New Roman" w:cs="Times New Roman" w:eastAsia="Times New Roman" w:hAnsi="Times New Roman"/>
          <w:sz w:val="18"/>
          <w:szCs w:val="18"/>
          <w:color w:val="auto"/>
        </w:rPr>
        <w:t>”) transfer) or, where expressly approved for the Participant by the Committee and subject to compliance with applicable law:</w:t>
      </w:r>
    </w:p>
    <w:p>
      <w:pPr>
        <w:spacing w:after="0" w:line="175" w:lineRule="exact"/>
        <w:rPr>
          <w:sz w:val="20"/>
          <w:szCs w:val="20"/>
          <w:color w:val="auto"/>
        </w:rPr>
      </w:pPr>
    </w:p>
    <w:p>
      <w:pPr>
        <w:ind w:left="2200" w:hanging="248"/>
        <w:spacing w:after="0"/>
        <w:tabs>
          <w:tab w:leader="none" w:pos="22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cancellation of indebtedness of the Company owed to the Participant;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surrender of shares of the Company that are clear of all liens, claims, encumbrances or security interests and: (i) for which the Company has received “full payment of the purchase price” within the meaning of SEC Rule 144 (and, if such shares were purchased from the Company by use of a promissory note, such note has been fully paid with respect to such shares) or (ii) that were obtained by Participant in the public market;</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8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tender of a full recourse promissory note having such terms as may be approved by the Committee and bearing interest at a rate sufficient to avoid (i) imputation of income under Sections 483 and 1274 of the Code and (ii) unfavorable accounting treatment as determined by the Committee;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xml:space="preserve">, that Participants who are not employees or directors of the Company will not be entitled to purchase Shares with a promissory note unless the note is adequately secured by collateral other than the Shares;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further</w:t>
      </w:r>
      <w:r>
        <w:rPr>
          <w:rFonts w:ascii="Times New Roman" w:cs="Times New Roman" w:eastAsia="Times New Roman" w:hAnsi="Times New Roman"/>
          <w:sz w:val="18"/>
          <w:szCs w:val="18"/>
          <w:color w:val="auto"/>
        </w:rPr>
        <w:t>, that the portion of the Exercise Price or Purchase Price, as the case may be, equal to the par value (if any) of the Shares must be paid in cash or other legal consideration permitted by the laws under which the Company is then incorporated or organized;</w:t>
      </w:r>
    </w:p>
    <w:p>
      <w:pPr>
        <w:spacing w:after="0" w:line="187"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waiver of compensation due or accrued to the Participant from the Company for services rendered;</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participating in a formal cashless exercise program implemented by the Committee in connection with the Plan;</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7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 public market for the Company’s common stock exists, by exercising 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 or</w:t>
      </w:r>
    </w:p>
    <w:p>
      <w:pPr>
        <w:spacing w:after="0" w:line="179"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foregoing or any other method of payment approved by the Committee.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avoidance of uncertainty: ACH transfers that have been received by the Company into its bank account designated for receipt of such transfers under this Section 8.1 shall be deemed to have been received for all purposes under this Plan as of the date on which such transfers were initiated from the transferor’s account and made irrevocable by the transferor.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6" w:name="page217"/>
    <w:bookmarkEnd w:id="216"/>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Withholding Generally</w:t>
      </w:r>
      <w:r>
        <w:rPr>
          <w:rFonts w:ascii="Times New Roman" w:cs="Times New Roman" w:eastAsia="Times New Roman" w:hAnsi="Times New Roman"/>
          <w:sz w:val="18"/>
          <w:szCs w:val="18"/>
          <w:color w:val="auto"/>
        </w:rPr>
        <w:t>. Whenever Shares are to be issued in satisfaction of Awards granted under this Plan, the Company may require the Participant to remit to the Company an amount sufficient to satisfy the maximum tax withholding requirements as to income tax, social</w:t>
      </w:r>
    </w:p>
    <w:p>
      <w:pPr>
        <w:jc w:val="both"/>
        <w:spacing w:after="0" w:line="221" w:lineRule="auto"/>
        <w:rPr>
          <w:sz w:val="20"/>
          <w:szCs w:val="20"/>
          <w:color w:val="auto"/>
        </w:rPr>
      </w:pPr>
      <w:r>
        <w:rPr>
          <w:rFonts w:ascii="Times New Roman" w:cs="Times New Roman" w:eastAsia="Times New Roman" w:hAnsi="Times New Roman"/>
          <w:sz w:val="18"/>
          <w:szCs w:val="18"/>
          <w:color w:val="auto"/>
        </w:rPr>
        <w:t>insurance, payroll tax, fringe benefits tax, payment on account and other tax-related obligations (collectively, “</w:t>
      </w:r>
      <w:r>
        <w:rPr>
          <w:rFonts w:ascii="Times New Roman" w:cs="Times New Roman" w:eastAsia="Times New Roman" w:hAnsi="Times New Roman"/>
          <w:sz w:val="18"/>
          <w:szCs w:val="18"/>
          <w:b w:val="1"/>
          <w:bCs w:val="1"/>
          <w:i w:val="1"/>
          <w:iCs w:val="1"/>
          <w:color w:val="auto"/>
        </w:rPr>
        <w:t>Tax-Related Obligations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prior to the delivery of any written or electronic certificate or certificates for such Shares. Whenever, under this Plan, payments in satisfaction of Awards are to be made in cash by the Company, such payment will be net of an amount sufficient to satisfy applicable tax withholding requirements.</w:t>
      </w:r>
    </w:p>
    <w:p>
      <w:pPr>
        <w:spacing w:after="0" w:line="198"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Stock Withholding</w:t>
      </w:r>
      <w:r>
        <w:rPr>
          <w:rFonts w:ascii="Times New Roman" w:cs="Times New Roman" w:eastAsia="Times New Roman" w:hAnsi="Times New Roman"/>
          <w:sz w:val="18"/>
          <w:szCs w:val="18"/>
          <w:color w:val="auto"/>
        </w:rPr>
        <w:t>. When, under applicable tax laws, a Participant incurs tax liability in connection with the exercise or vesting of any Award that is subject to tax withholding and the Participant is obligated to pay the Company the amount required to be withheld, the Committee may in its sole discretion allow the Participant to satisfy up to the maximum Tax-Related Obligations in the employee’s applicable jurisdictions by electing to have the Company withhold from the Shares to be issued up to the number of Shares having a Fair Market Value on the date that the amount of tax to be withheld is to be determined that is not more than the maximum Tax-Related Obligations in the employee’s applicable jurisdictions; or to arrange a mandatory “sell to cover” on Participant’s behalf (without further authorization) but in no event will the Company withhold Shares or “sell to cover” if such withholding would result in adverse accounting or compliance consequences to the Company. The maximum Tax-Related Obligations are based on the applicable rates of the relevant tax authorities (for example, federal, state and local), including the employee’s share of payroll or similar taxes, as provided in the tax law, regulations or the authority’s administrative practices, not to exceed the highest statutory rate in that jurisdiction. Any elections to have Shares withheld or sold for this purpose will be made in accordance with the requirements established by the Committee for such elections and be in writing in a form acceptable to the Committee.</w:t>
      </w:r>
    </w:p>
    <w:p>
      <w:pPr>
        <w:spacing w:after="0" w:line="188" w:lineRule="exact"/>
        <w:rPr>
          <w:sz w:val="20"/>
          <w:szCs w:val="20"/>
          <w:color w:val="auto"/>
        </w:rPr>
      </w:pPr>
    </w:p>
    <w:p>
      <w:pPr>
        <w:ind w:left="840" w:hanging="184"/>
        <w:spacing w:after="0"/>
        <w:tabs>
          <w:tab w:leader="none" w:pos="84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 ON AWARDS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9.1 </w:t>
      </w:r>
      <w:r>
        <w:rPr>
          <w:rFonts w:ascii="Times New Roman" w:cs="Times New Roman" w:eastAsia="Times New Roman" w:hAnsi="Times New Roman"/>
          <w:sz w:val="17"/>
          <w:szCs w:val="17"/>
          <w:b w:val="1"/>
          <w:bCs w:val="1"/>
          <w:u w:val="single" w:color="auto"/>
          <w:color w:val="auto"/>
        </w:rPr>
        <w:t>Transferability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permitted by the Committee, Awards granted under this Plan, and any interest therein, will 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transferable or assignable by Participant, other than by will or by the laws of descent and distribution, and, with respect to NQSOs for Participants in the U.S., by instrument to an inter vivos or testamentary trust in which the NQSOs are to be passed to beneficiaries upon the death of the trustor (settlor), or by gift to “family member” as that term is defined in Rule 701, and may not be made subject to execution, attachment or similar process. For the avoidance of doubt, the prohibition against assignment and transfer applies to Awards and any Shares underlying the Awards prior to the issuance of the Shares, and pursuant to the foregoing sentence shall be understood to include, without limitation, a prohibition against any pledge, hypothecation, or other transfer, including any short position, any “put equivalent position” or any “call equivalent position” (in each case, as defined in Rule 16a-l promulgated under the Exchange Act). Unless an Award is transferred pursuant to the terms of this Section, during the lifetime of the Participant an Award will be exercisable only by the Participant or Participant’s legal representative and any elections with respect to an Award may be made only by the Participant or Participant’s legal representative. The terms of an Award shall be binding upon the executor, administrator, successors and assigns of the Participant who is a party thereto.</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7" w:name="page218"/>
    <w:bookmarkEnd w:id="217"/>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Securities Law and Other Regulatory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Although this Plan is intended to be a written compensatory benefit plan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of Rule 701 promulgated under the Securities Act, Awards may be made pursuant to this Plan that do not qualify for exemption under Rule 701 or Section 25102(o). Any requirement of this Plan which is required in law only because of Section 25102(o) need not apply with respect to a particular Award to which Section 25102(o) will not apply. An Award will not be effective unless such Award is in compliance with all applicable U.S. and non-U.S. federal, state and local securities laws, rules and regulations of any governmental body, and the requirements of any stock exchange or automated quotation system upon which the Company’s equity securities may then be listed or quoted, as they are in effect on the date of grant of the Award and also on the date of exercise, settlement or other issuance. Notwithstanding any other provision in this Plan, the Company will have no obligation to issue Shares or deliver certificates for Shares under this Plan prior to (a) obtaining any approvals from governmental agencies that the Company determines are necessary or advisable, and/or (b) compliance with any exemption, completion of any registration or other qualification of such Shares under any U.S. and non-U.S. federal, state or local law or ruling of any governmental body that the Company determines to be necessary or advisable. The Company will be under no obligation to register the Shares with the SEC or to effect compliance with the exemption, registration, qualification or listing requirements of any securities laws, stock exchange or automated quotation system, and the Company will have no liability for any inability or failure to do so.</w:t>
      </w:r>
    </w:p>
    <w:p>
      <w:pPr>
        <w:spacing w:after="0" w:line="19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Exchange and Buyout of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may, at any time or from time to time, authorize the Company, with the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respective Participants, to issue new Awards in exchange for the surrender and cancellation of any or all outstanding Awards. Without prior stockholder approval the Committee may reprice Options or SARs (and where such repricing is a reduction in the Exercise Price of outstanding Options or SARs, the consent of the affected Participants is not required provided written notice is provided to them).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182" w:lineRule="exact"/>
        <w:rPr>
          <w:sz w:val="20"/>
          <w:szCs w:val="20"/>
          <w:color w:val="auto"/>
        </w:rPr>
      </w:pPr>
    </w:p>
    <w:p>
      <w:pPr>
        <w:ind w:left="920" w:hanging="264"/>
        <w:spacing w:after="0"/>
        <w:tabs>
          <w:tab w:leader="none" w:pos="92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RESTRICTIONS ON SHARES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Privileges of Stock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Participant will have any of the rights of a stockholder with respect to any Shares until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are 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10.</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Rights of First Refusal and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discretion of the Committee, the Company may reserve to itself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assignee(s) in the Award Agreement (a) a right of first refusal to purchase all Shares that a Participant (or a subsequent transferee) may propose to transfer to a third party,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such right of first refusal terminates upon (i) subject to any applicable market standoff restrictions, the effective date of the first 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any transfer or conversion of Shares made pursuant to a statutory merger or statutory consolidation of the Company with or into another corporation or corporations if the common stock of the surviving corporation or any direct or indirect Parent thereof is registered under the Exchange Act; or (iii) any transfer or conversion of Shares made pursuant to a statutory conversion of the Company into another form of legal entity if the common equity (or comparable equity security) of entity resulting from such conversion is registered under the Exchange Act; and (b) a right to repurchase Unvested Shares held by a Participant for cash and/or cancellation of purchase money indebtedness owed to the Company by the Participant following such Participant’s Termination at any time.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8" w:name="page219"/>
    <w:bookmarkEnd w:id="218"/>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Agreement to Vote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discretion of the Committee, the Company may require that, as a condition to the receipt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upon issuance of an Award, exercise of an Option or SAR or settlement of an RSU, the Participant and any transferee of the Shares agree to vote such Shares pursuant to the terms of a Voting Agreement by and between the Company and certain of its stockholders.</w:t>
      </w:r>
    </w:p>
    <w:p>
      <w:pPr>
        <w:spacing w:after="0" w:line="17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b w:val="1"/>
          <w:bCs w:val="1"/>
          <w:u w:val="single" w:color="auto"/>
          <w:color w:val="auto"/>
        </w:rPr>
        <w:t>Escrow; Pledge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enforce any restrictions on a Participant’s Shares, the Committee may require the Participant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deposit 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written or electronic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82"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10.5 </w:t>
      </w:r>
      <w:r>
        <w:rPr>
          <w:rFonts w:ascii="Times New Roman" w:cs="Times New Roman" w:eastAsia="Times New Roman" w:hAnsi="Times New Roman"/>
          <w:sz w:val="18"/>
          <w:szCs w:val="18"/>
          <w:b w:val="1"/>
          <w:bCs w:val="1"/>
          <w:u w:val="single" w:color="auto"/>
          <w:color w:val="auto"/>
        </w:rPr>
        <w:t>Securities Law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written or electronic certificates for Shares or other securities delivered under this Plan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such stock transfer orders, legends and other restrictions as the Committee may deem necessary or advisable, including restrictions under any applicable U.S. and non-U.S. federal, state or local securities law, or any rules, regulations and other requirements of the SEC or any stock exchange or automated quotation system upon which the Company’s equity securities may be listed or quoted.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9" w:name="page220"/>
    <w:bookmarkEnd w:id="219"/>
    <w:p>
      <w:pPr>
        <w:ind w:left="920" w:hanging="264"/>
        <w:spacing w:after="0"/>
        <w:tabs>
          <w:tab w:leader="none" w:pos="92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CORPORATE TRANSACTIONS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b w:val="1"/>
          <w:bCs w:val="1"/>
          <w:u w:val="single" w:color="auto"/>
          <w:color w:val="auto"/>
        </w:rPr>
        <w:t>Acquisitions or Other Combinations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the Company is subject to an Acquisition or Other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Awards acquired under the Plan shall be subject to the agreement evidencing the Acquisition or Other Combination, which need not treat all outstanding Awards in an identical manner. Such agreement, without the Participant’s consent, shall provide for one or more of the following with respect to all outstanding Awards as of the effective date of such Acquisition or Other Combination:</w:t>
      </w:r>
    </w:p>
    <w:p>
      <w:pPr>
        <w:spacing w:after="0" w:line="180" w:lineRule="exact"/>
        <w:rPr>
          <w:sz w:val="20"/>
          <w:szCs w:val="20"/>
          <w:color w:val="auto"/>
        </w:rPr>
      </w:pPr>
    </w:p>
    <w:p>
      <w:pPr>
        <w:ind w:left="2200" w:hanging="248"/>
        <w:spacing w:after="0"/>
        <w:tabs>
          <w:tab w:leader="none" w:pos="22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such outstanding Awards by the Company (if the Company is the successor entity).</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5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outstanding Awards by the successor or acquiring entity (if any) in such Acquisition or Other Combination (or by any of its Parents, if any), which assumption, will be binding on all Participants; provided that the exercise price and the number and nature of shares issuable upon exercise of any such option or stock appreciation right, or upon the settlement of any award that is subject to Section 409A of the Code, will be adjusted appropriately pursuant to Section 424(a) and Section 409A of the Code. For the purposes of this Section 11, an Award will be considered assumed if, following the Acquisition or Other Combination, the Award confers the right to purchase or receive, for each Share subject to the Award immediately prior to the Acquisition or Other Combination, the consideration (whether stock, cash, or other securities or property) received in the Acquisition or Other Combination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Acquisition or Other Combination is not solely common stock of the successor corporation or its Parent, the Committee may, with the consent of the successor corporation, provide for the consideration to be received upon the exercise of an Option or Stock Appreciation Right or upon the settlement of an RSU, for each Share subject to such Award, to be solely common stock of the successor corporation or its Parent equal in fair market value to the per share consideration received by holders of Common Stock in the Acquisition or Other Combination.</w:t>
      </w:r>
    </w:p>
    <w:p>
      <w:pPr>
        <w:spacing w:after="0" w:line="18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by the successor or acquiring entity in such Acquisition or Other Combination (or by any of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and Section 409A of the Code).</w:t>
      </w:r>
    </w:p>
    <w:p>
      <w:pPr>
        <w:spacing w:after="0" w:line="179"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or partial exercisability or vesting and accelerated expiration of outstanding Awards.</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9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the Fair Market Value of such outstanding Award (whether or not then vested or exercisable) in cash, cash equivalents, or securities of the successor entity (or its Parent, if any), followed by the cancellation of such Awards; provided however, that such Award may be cancelled without consideration if such Award has no value, as determined by the Committee, in its discretion. Subject to Section 409A of the Code, such payment may be made in installments and may be deferred until the date or dates when the Award would have become exercisable or vested. Such payment may be subject to vesting based on the Participant’s continued service, provided that without the Participant’s consent, the vesting schedule shall not be less favorable to the Participant than the schedule under which the Award would have become vested or exercisable. For purposes of this Section 11.1(e), the Fair Market Value of any security shall be determined without regard to any vesting conditions that may apply to such security.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0" w:name="page221"/>
    <w:bookmarkEnd w:id="220"/>
    <w:p>
      <w:pPr>
        <w:jc w:val="both"/>
        <w:ind w:right="20" w:firstLine="1952"/>
        <w:spacing w:after="0" w:line="266" w:lineRule="auto"/>
        <w:tabs>
          <w:tab w:leader="none" w:pos="219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in its entirety of any outstanding Award, without payment of any consideration, that is not exercised in accordance with its terms upon or prior to consummation of the transactions contemplated by the Acquisition or Other Combination within a time specified by the Committee, in its discretion, for such exercise, whether or not such Award is then fully exercisable.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Immediately following an Acquisition or Other Combination, outstanding Awards shall terminate and cease to be outstanding, except to the extent such Awards, have been continued, assumed or substituted, as described in Sections 11.1(a), (b) and/or (c).</w:t>
      </w:r>
    </w:p>
    <w:p>
      <w:pPr>
        <w:spacing w:after="0" w:line="15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b w:val="1"/>
          <w:bCs w:val="1"/>
          <w:u w:val="single" w:color="auto"/>
          <w:color w:val="auto"/>
        </w:rPr>
        <w:t>Assumption of Awards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from time to time, also may substitute or assume outstanding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by another entity, whether in connection with an acquisition of such other entity or otherwise, by either (a) granting an Award 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entity had applied the rules of this Plan to such grant. In the event the Company assumes an award granted by another entity, the terms and conditions of such award will remain unchanged (except that the exercise price and the number and nature of shares issuable upon exercise of any such option or stock appreciation right, or any award that is subject to Section 409A of the Code, will be adjusted appropriately pursuant to Section 424(a) of the Code). In the event the Company elects to grant a new Option or SAR in substitution for and rather than assuming an existing option or stock appreciation right, such new Option or SAR may be granted with a similarly adjusted Exercise Price and number of underlying Shares and such other changes approved by the Committee, subject to the consent of the Participant.</w:t>
      </w:r>
    </w:p>
    <w:p>
      <w:pPr>
        <w:spacing w:after="0" w:line="185" w:lineRule="exact"/>
        <w:rPr>
          <w:sz w:val="20"/>
          <w:szCs w:val="20"/>
          <w:color w:val="auto"/>
        </w:rPr>
      </w:pPr>
    </w:p>
    <w:p>
      <w:pPr>
        <w:ind w:left="920" w:hanging="264"/>
        <w:spacing w:after="0"/>
        <w:tabs>
          <w:tab w:leader="none" w:pos="92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b w:val="1"/>
          <w:bCs w:val="1"/>
          <w:u w:val="single" w:color="auto"/>
          <w:color w:val="auto"/>
        </w:rPr>
        <w:t>Committee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will be administered by the Committee. Subject to the general purposes, terms and conditions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to the direction of the Board, the Committee will have full power to implement and carry out this Plan. Without limitation, the Committee will have the authority to:</w:t>
      </w:r>
    </w:p>
    <w:p>
      <w:pPr>
        <w:spacing w:after="0" w:line="175" w:lineRule="exact"/>
        <w:rPr>
          <w:sz w:val="20"/>
          <w:szCs w:val="20"/>
          <w:color w:val="auto"/>
        </w:rPr>
      </w:pPr>
    </w:p>
    <w:p>
      <w:pPr>
        <w:ind w:left="2200" w:hanging="248"/>
        <w:spacing w:after="0"/>
        <w:tabs>
          <w:tab w:leader="none" w:pos="22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this Plan, any Award Agreement and any other agreement or document executed pursuant to this Plan;</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expand, modify and rescind or terminate rules and regulations relating to this Plan;</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persons to receive Awards;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form and terms of Awards;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ind w:left="2200" w:hanging="248"/>
        <w:spacing w:after="0"/>
        <w:tabs>
          <w:tab w:leader="none" w:pos="22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or other consideration subject to Awards granted under this Plan;</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6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19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waivers of any conditions of this Plan or any Award;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of vesting, exercisability, settlement and payment of Awards to be granted pursuant to this Plan;</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this Plan, any Award, any Award Agreement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Agreement;</w:t>
      </w:r>
    </w:p>
    <w:p>
      <w:pPr>
        <w:spacing w:after="0" w:line="206"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 Award has vested or become exercisable;</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vesting period beyond a Participant’s Termination Date;</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55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rules and/or procedures (including the adoption of any subplan under this Plan) relating to the operation and administration of the Plan to accommodate or facilitate requirements of local law and procedures outside of the United States;</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1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any of the foregoing to a subcommittee consisting of one or more directors or executive officers pursuant to a specific delegation as may otherwise be permitted by applicable law;</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19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vesting schedule of Awards under the Plan prospectively in the event that the Participant’s service status changes between full and part time status in accordance with Company policies relating to work schedules and vesting of Awards; and</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determinations necessary or advisable in connection with the administration of this Plan.</w:t>
      </w:r>
    </w:p>
    <w:p>
      <w:pPr>
        <w:spacing w:after="0" w:line="22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b w:val="1"/>
          <w:bCs w:val="1"/>
          <w:u w:val="single" w:color="auto"/>
          <w:color w:val="auto"/>
        </w:rPr>
        <w:t>Standalone, Tandem and Substitute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granted under the Plan may, in the sole discretion of the Committee,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either alone or in addition to, in tandem with, or in substitution for, any other Award granted under the Plan. Awards granted in addition to or in tandem with other Awards may be granted either at the same time as or at a different time from the grant of such other Awards.</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b w:val="1"/>
          <w:bCs w:val="1"/>
          <w:u w:val="single" w:color="auto"/>
          <w:color w:val="auto"/>
        </w:rPr>
        <w:t>Committee Composition and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may delegate full administrative authority over the Plan and Awards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consisting of at least one member of the Board (or such greater number as may then be required by applicable law). Unless in contravention of any express terms of this Plan or Award, any determination made by the Committee with respect to any Award will be made in its sole discretion either (a) 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directors or officers of the Company the authority to grant an Award under this Plan.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b w:val="1"/>
          <w:bCs w:val="1"/>
          <w:u w:val="single" w:color="auto"/>
          <w:color w:val="auto"/>
        </w:rPr>
        <w:t>Nonexclusivity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adoption of this Plan by the Board, the submission of this Plan to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176"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all agreements hereunder shall be governed by and construed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California, without giving effect to that body of laws pertaining to conflict of laws.</w:t>
      </w:r>
    </w:p>
    <w:p>
      <w:pPr>
        <w:spacing w:after="0" w:line="155" w:lineRule="exact"/>
        <w:rPr>
          <w:sz w:val="20"/>
          <w:szCs w:val="20"/>
          <w:color w:val="auto"/>
        </w:rPr>
      </w:pPr>
    </w:p>
    <w:p>
      <w:pPr>
        <w:ind w:left="920" w:hanging="264"/>
        <w:spacing w:after="0"/>
        <w:tabs>
          <w:tab w:leader="none" w:pos="92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EFFECTIVENESS, AMENDMENT AND TERMINATION OF THE PLAN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b w:val="1"/>
          <w:bCs w:val="1"/>
          <w:u w:val="single" w:color="auto"/>
          <w:color w:val="auto"/>
        </w:rPr>
        <w:t>Adoption and Stockholder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will become effective on the date that it is adopted by the Board (the “</w:t>
      </w: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This Plan will be approved by the stockholders of the Company (excluding Shares issued pursuant to this Plan), consistent with applicable laws,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within twelve (12) months before or after the Effective Date. Upon the Effective Date, the Committee may grant Awards pursuant to this Plan;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(a) no Option or SAR may be exercised prior to initial stockholder approval of this Plan; (b) no Option or SAR granted pursuant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the number of Shares approved by the Board shall be exercised prior to the time such increase has been approved by the stockholders of the Company; (c)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(d)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b w:val="1"/>
          <w:bCs w:val="1"/>
          <w:u w:val="single" w:color="auto"/>
          <w:color w:val="auto"/>
        </w:rPr>
        <w:t>Term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earlier terminated as provided herein, this Plan will automatically terminate ten (10) years after the Effective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b w:val="1"/>
          <w:bCs w:val="1"/>
          <w:u w:val="single" w:color="auto"/>
          <w:color w:val="auto"/>
        </w:rPr>
        <w:t>Amendment or Termination of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4.9 hereof, the Board may at any time (a) terminate or amend this Plan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respect, including without limitation amendment of any form of Award Agreement or instrument to be executed pursuant to this Plan and (b) terminate any and all outstanding Options, SARs or RSUs upon a dissolution or liquidation of the Company, followed by the payment of creditors and the distribution of any remaining funds to the Company’s stockholders;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the Board will not, without the approval of the stockholders of the Company, amend this Plan in any manner that requires such stockholder approval pursuant to Section 25102(o) or pursuant to the Code or the regulations promulgated under the Code as such provisions apply to ISO plans. The termination of the Plan, or any amendment thereof, shall not affect any Share previously issued or any Award previously granted under the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3" w:name="page224"/>
    <w:bookmarkEnd w:id="223"/>
    <w:p>
      <w:pPr>
        <w:ind w:left="1300" w:right="3020" w:hanging="644"/>
        <w:spacing w:after="0" w:line="503" w:lineRule="auto"/>
        <w:tabs>
          <w:tab w:leader="none" w:pos="922"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all purposes of this Plan, the following terms will have the following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for purposes of Section 11, means:</w:t>
      </w:r>
    </w:p>
    <w:p>
      <w:pPr>
        <w:jc w:val="both"/>
        <w:ind w:firstLine="1952"/>
        <w:spacing w:after="0" w:line="258" w:lineRule="auto"/>
        <w:tabs>
          <w:tab w:leader="none" w:pos="218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2"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8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following transactions shall not constitute an “Acquisition”: (1) the closing of the Company’s first public offering pursuant to an effective registration statement filed under the Securities Act or (2) any transaction the sole purpose of which is to change the state of incorporation of the Company or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 specified person means a person that directly, or indirectly through one or more intermediaries, controls or is controlled by, or is under common control with, the person specified (where, for purposes of this definition, the term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under common control with</w:t>
      </w:r>
      <w:r>
        <w:rPr>
          <w:rFonts w:ascii="Times New Roman" w:cs="Times New Roman" w:eastAsia="Times New Roman" w:hAnsi="Times New Roman"/>
          <w:sz w:val="18"/>
          <w:szCs w:val="18"/>
          <w:color w:val="auto"/>
        </w:rPr>
        <w:t>”) means the possession, direct or indirect, of the power to direct or cause the direction of the management and policies of a person, whether through the ownership of voting securities, by contract,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4" w:name="page225"/>
    <w:bookmarkEnd w:id="224"/>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award pursuant to the terms and conditions of this Plan, including any Option, Restricted Stock Unit, Stock Appreciation Right or Restricted Stock Award.</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with respect to each Award, the executed written or electronic agreement between the Company and the Participant setting forth the terms and conditions of the Award as approved by the Committee. For purposes of the Plan, the Award Agreement may be accepted by a Participant via written, electronic or other means, subject to requirements under applicable law.</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Termination because of (a) Participant’s unauthorized misuse of the Company or a Parent or Subsidiary of the Company’s trade secrets or proprietary information, (b) Participant’s conviction of or plea of nolo contendere to a felony or a crime involving moral turpitude, (c) Participant’s committing an act of fraud against the Company or a Parent or Subsidiary of the Company or (d) Participant’s gross negligence or willful misconduct in the performance of his or her duties that has had or will have a material adverse effect on the Company or Parent or Subsidiary of the Company’ reputation or business.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committee created and appointed by the Board to administer this Plan, or if no committee is created and appointed, the Board.</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E La Carte, Inc., a Delaware corporation, or any successor corporation.</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 Participant is unable to perform the duties of his or her customary position of employment by reason of any medically determinable physical or mental impairment that can be expected to result in death or that can be expected to last for a continuous period of not less than twelve (12) months. The Committee may require such medical or other evidence as it deems necessary to judge the nature and permanency of the Participant’s condition.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means the price per Share at which a holder of an Option or a SAR may purchase Shares issuable upon exercise of the Option or the SAR.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a Share determined as follows:</w:t>
      </w:r>
    </w:p>
    <w:p>
      <w:pPr>
        <w:spacing w:after="0" w:line="229" w:lineRule="exact"/>
        <w:rPr>
          <w:sz w:val="20"/>
          <w:szCs w:val="20"/>
          <w:color w:val="auto"/>
        </w:rPr>
      </w:pPr>
    </w:p>
    <w:p>
      <w:pPr>
        <w:ind w:firstLine="1952"/>
        <w:spacing w:after="0" w:line="282" w:lineRule="auto"/>
        <w:tabs>
          <w:tab w:leader="none" w:pos="218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 is then publicly traded on a national securities exchange, its closing price on the date of determination on the principal national securities exchange on which the Share is listed or admitted to trading as reported in The Wall Street Journal;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5" w:name="page226"/>
    <w:bookmarkEnd w:id="225"/>
    <w:p>
      <w:pPr>
        <w:jc w:val="both"/>
        <w:ind w:firstLine="1952"/>
        <w:spacing w:after="0" w:line="266" w:lineRule="auto"/>
        <w:tabs>
          <w:tab w:leader="none" w:pos="219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 is publicly traded but is not listed or admitted to trading on a national securities exchange, the average of the closing bid and ask prices on the date of determination as reported by The Wall Street Journal (or as otherwise reported by any newspaper or other source as the Committee may determine); or</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none of the foregoing is applicable to the valuation in question, by the Committee in good faith.</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award of an option to purchase Shares pursuant to Section 4 of this Plan.</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Combination</w:t>
      </w:r>
      <w:r>
        <w:rPr>
          <w:rFonts w:ascii="Times New Roman" w:cs="Times New Roman" w:eastAsia="Times New Roman" w:hAnsi="Times New Roman"/>
          <w:sz w:val="18"/>
          <w:szCs w:val="18"/>
          <w:color w:val="auto"/>
        </w:rPr>
        <w:t xml:space="preserve">” for purposes of Section 11 means any (a) consolidation or merger in which the Company is a constituent entity and is not the surviving entity of such consolidation or merger or (b) any conversion of the Company into another form of entity;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such consolidation, merger or conversion does not constitute an Acquisition.</w:t>
      </w:r>
    </w:p>
    <w:p>
      <w:pPr>
        <w:spacing w:after="0" w:line="171" w:lineRule="exact"/>
        <w:rPr>
          <w:sz w:val="20"/>
          <w:szCs w:val="20"/>
          <w:color w:val="auto"/>
        </w:rPr>
      </w:pPr>
    </w:p>
    <w:p>
      <w:pPr>
        <w:jc w:val="both"/>
        <w:ind w:right="20"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 specified entity means, any entity that, either directly or indirectly, owns or controls such specified entity, where for this purpose,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means the ownership of stock, securities or other interests that possess at least a majority of the voting power of such specified entity (including indirect ownership or control of such stock, securities or other interests).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who receives an Award under this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2018 Equity Incentive Plan, as amended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means the price at which a Participant may purchase Restricted Stock pursuant to this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means Shares purchased pursuant to a Restricted Stock Award under this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Shares pursuant to Section 5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made pursuant to Section 6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701</w:t>
      </w:r>
      <w:r>
        <w:rPr>
          <w:rFonts w:ascii="Times New Roman" w:cs="Times New Roman" w:eastAsia="Times New Roman" w:hAnsi="Times New Roman"/>
          <w:sz w:val="18"/>
          <w:szCs w:val="18"/>
          <w:color w:val="auto"/>
        </w:rPr>
        <w:t xml:space="preserve">” means Rule 701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promulgated by the SEC under the Securities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25102(o)</w:t>
      </w:r>
      <w:r>
        <w:rPr>
          <w:rFonts w:ascii="Times New Roman" w:cs="Times New Roman" w:eastAsia="Times New Roman" w:hAnsi="Times New Roman"/>
          <w:sz w:val="18"/>
          <w:szCs w:val="18"/>
          <w:color w:val="auto"/>
        </w:rPr>
        <w:t>” means Section 25102(o) of the California Corporations Code.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means shares of the Company’s Common Stock, $0.001 par value per share, reserved for issuance under this Plan, as adjusted pursuant to Sections 2.2 and 11 hereof, and any successor security.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an award granted pursuant to Section 7 hereof.</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in an unbroken chain of entities beginning with the Company if each of the entities other than the last entity in the unbroken chain owns stock or other equity securities representing fifty percent (50%) or more of the total combined voting power of all classes of stock or other equity securities in one of the other entities in such chain.</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Terminated</w:t>
      </w:r>
      <w:r>
        <w:rPr>
          <w:rFonts w:ascii="Times New Roman" w:cs="Times New Roman" w:eastAsia="Times New Roman" w:hAnsi="Times New Roman"/>
          <w:sz w:val="18"/>
          <w:szCs w:val="18"/>
          <w:color w:val="auto"/>
        </w:rPr>
        <w:t>”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while the Participant is on a bona fide leave of absence, if such leave was approved by the Company in writing. In the case of an approved leave of absence, the Committee may make such provisions respecting crediting of service, including suspension of vesting of the Award (including pursuant to a formal policy adopted from time to time by the Company) it may deem appropriate. The Committee will have sole discretion to determine whether a Participant has ceased to provide services and the effective date on which the Participant ceased to provide services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i w:val="1"/>
          <w:iCs w:val="1"/>
          <w:color w:val="auto"/>
        </w:rPr>
        <w:t>Unvested Shares</w:t>
      </w:r>
      <w:r>
        <w:rPr>
          <w:rFonts w:ascii="Times New Roman" w:cs="Times New Roman" w:eastAsia="Times New Roman" w:hAnsi="Times New Roman"/>
          <w:sz w:val="18"/>
          <w:szCs w:val="18"/>
          <w:color w:val="auto"/>
        </w:rPr>
        <w:t>” as defined in the Award Agreement for an Award.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b w:val="1"/>
          <w:bCs w:val="1"/>
          <w:i w:val="1"/>
          <w:iCs w:val="1"/>
          <w:color w:val="auto"/>
        </w:rPr>
        <w:t>Vested Shares</w:t>
      </w:r>
      <w:r>
        <w:rPr>
          <w:rFonts w:ascii="Times New Roman" w:cs="Times New Roman" w:eastAsia="Times New Roman" w:hAnsi="Times New Roman"/>
          <w:sz w:val="18"/>
          <w:szCs w:val="18"/>
          <w:color w:val="auto"/>
        </w:rPr>
        <w:t>” as defined in the Award Agreement for an Award.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131570" cy="3860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3">
                      <a:extLst>
                        <a:ext uri="{28A0092B-C50C-407E-A947-70E740481C1C}"/>
                      </a:extLst>
                    </a:blip>
                    <a:srcRect/>
                    <a:stretch>
                      <a:fillRect/>
                    </a:stretch>
                  </pic:blipFill>
                  <pic:spPr bwMode="auto">
                    <a:xfrm>
                      <a:off x="0" y="0"/>
                      <a:ext cx="11315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La Carte, Inc. dba Presto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440 N. Wolfe 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Sunnyvale, CA 94085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Mosher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Offer of Employment by E la Carte,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Dan,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am very pleased to offer you employment with E La Carte, Inc. dba Presto, (the “Company”). Your employment by the Company will be governed by the following terms and conditions.</w:t>
      </w:r>
    </w:p>
    <w:p>
      <w:pPr>
        <w:spacing w:after="0" w:line="158" w:lineRule="exact"/>
        <w:rPr>
          <w:sz w:val="20"/>
          <w:szCs w:val="20"/>
          <w:color w:val="auto"/>
        </w:rPr>
      </w:pPr>
    </w:p>
    <w:p>
      <w:pPr>
        <w:ind w:left="660" w:hanging="328"/>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For the term of your employment under this agreement (your “Employment”), the Company will employ you in the position of </w:t>
      </w:r>
      <w:r>
        <w:rPr>
          <w:rFonts w:ascii="Times New Roman" w:cs="Times New Roman" w:eastAsia="Times New Roman" w:hAnsi="Times New Roman"/>
          <w:sz w:val="18"/>
          <w:szCs w:val="18"/>
          <w:b w:val="1"/>
          <w:bCs w:val="1"/>
          <w:color w:val="auto"/>
        </w:rPr>
        <w:t>Chief Revenue Officer</w:t>
      </w:r>
      <w:r>
        <w:rPr>
          <w:rFonts w:ascii="Times New Roman" w:cs="Times New Roman" w:eastAsia="Times New Roman" w:hAnsi="Times New Roman"/>
          <w:sz w:val="18"/>
          <w:szCs w:val="18"/>
          <w:color w:val="auto"/>
        </w:rPr>
        <w:t>, or in such other positions as the Company subsequently may assign to you. You will report to Raj Suri, CEO.</w:t>
      </w:r>
    </w:p>
    <w:p>
      <w:pPr>
        <w:spacing w:after="0" w:line="155" w:lineRule="exact"/>
        <w:rPr>
          <w:sz w:val="20"/>
          <w:szCs w:val="20"/>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shall commence regular full-time employment on </w:t>
      </w:r>
      <w:r>
        <w:rPr>
          <w:rFonts w:ascii="Times New Roman" w:cs="Times New Roman" w:eastAsia="Times New Roman" w:hAnsi="Times New Roman"/>
          <w:sz w:val="18"/>
          <w:szCs w:val="18"/>
          <w:b w:val="1"/>
          <w:bCs w:val="1"/>
          <w:color w:val="auto"/>
        </w:rPr>
        <w:t>March 15th, 2021.</w:t>
      </w:r>
    </w:p>
    <w:p>
      <w:pPr>
        <w:spacing w:after="0" w:line="225" w:lineRule="exact"/>
        <w:rPr>
          <w:sz w:val="20"/>
          <w:szCs w:val="20"/>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Salary.</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 will pay you as compensation for your services an initial base salary at a gross annual rate of </w:t>
      </w:r>
      <w:r>
        <w:rPr>
          <w:rFonts w:ascii="Times New Roman" w:cs="Times New Roman" w:eastAsia="Times New Roman" w:hAnsi="Times New Roman"/>
          <w:sz w:val="18"/>
          <w:szCs w:val="18"/>
          <w:b w:val="1"/>
          <w:bCs w:val="1"/>
          <w:color w:val="auto"/>
        </w:rPr>
        <w:t>$230,000.00</w:t>
      </w:r>
      <w:r>
        <w:rPr>
          <w:rFonts w:ascii="Times New Roman" w:cs="Times New Roman" w:eastAsia="Times New Roman" w:hAnsi="Times New Roman"/>
          <w:sz w:val="18"/>
          <w:szCs w:val="18"/>
          <w:color w:val="auto"/>
        </w:rPr>
        <w:t xml:space="preserve"> (“base salary”). Your base salary shall be payable in accordance with the Company’s standard payroll procedures, subject to applicable withholdings and deductions, as authorized or required by applicable laws. In addition, you will be eligible for an initial commission-based variable annual incentive of </w:t>
      </w:r>
      <w:r>
        <w:rPr>
          <w:rFonts w:ascii="Times New Roman" w:cs="Times New Roman" w:eastAsia="Times New Roman" w:hAnsi="Times New Roman"/>
          <w:sz w:val="18"/>
          <w:szCs w:val="18"/>
          <w:b w:val="1"/>
          <w:bCs w:val="1"/>
          <w:color w:val="auto"/>
        </w:rPr>
        <w:t>$200,000.00, paid twice a year,</w:t>
      </w:r>
    </w:p>
    <w:p>
      <w:pPr>
        <w:jc w:val="both"/>
        <w:spacing w:after="0" w:line="221" w:lineRule="auto"/>
        <w:rPr>
          <w:sz w:val="20"/>
          <w:szCs w:val="20"/>
          <w:color w:val="auto"/>
        </w:rPr>
      </w:pPr>
      <w:r>
        <w:rPr>
          <w:rFonts w:ascii="Times New Roman" w:cs="Times New Roman" w:eastAsia="Times New Roman" w:hAnsi="Times New Roman"/>
          <w:sz w:val="18"/>
          <w:szCs w:val="18"/>
          <w:b w:val="1"/>
          <w:bCs w:val="1"/>
          <w:color w:val="auto"/>
        </w:rPr>
        <w:t>on July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and January 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Semi-annual goals will be awarded and paid based on criteria to be established and approved by the Company’s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within 15 days of the beginning of each six month period. The initial 17 days of a Q1 ramp up period (March 15-March 31) will be paid out on a pro-rated basis. The initial base salary will be reviewed by the CEO on completion of your first 12 months of employment with the Company.</w:t>
      </w:r>
    </w:p>
    <w:p>
      <w:pPr>
        <w:spacing w:after="0" w:line="194" w:lineRule="exact"/>
        <w:rPr>
          <w:sz w:val="20"/>
          <w:szCs w:val="20"/>
          <w:color w:val="auto"/>
        </w:rPr>
      </w:pPr>
    </w:p>
    <w:p>
      <w:pPr>
        <w:ind w:left="660" w:hanging="328"/>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22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Subject to the approval of the Company’s Board of Directors, in its sole discretion, the Company shall grant you stock options covering </w:t>
      </w:r>
      <w:r>
        <w:rPr>
          <w:rFonts w:ascii="Times New Roman" w:cs="Times New Roman" w:eastAsia="Times New Roman" w:hAnsi="Times New Roman"/>
          <w:sz w:val="17"/>
          <w:szCs w:val="17"/>
          <w:b w:val="1"/>
          <w:bCs w:val="1"/>
          <w:color w:val="auto"/>
        </w:rPr>
        <w:t>633,836</w:t>
      </w:r>
      <w:r>
        <w:rPr>
          <w:rFonts w:ascii="Times New Roman" w:cs="Times New Roman" w:eastAsia="Times New Roman" w:hAnsi="Times New Roman"/>
          <w:sz w:val="17"/>
          <w:szCs w:val="17"/>
          <w:color w:val="auto"/>
        </w:rPr>
        <w:t xml:space="preserve"> of the Company’s Common Stock (the “Option”). The Option, if approved, shall be granted as soon as reasonably practicable after the date of this agreement. The exercise price of the Option shall be equal to the fair market value of the Company’s Common Stock as determined by the Board of Directors on the later of</w:t>
      </w:r>
    </w:p>
    <w:p>
      <w:pPr>
        <w:spacing w:after="0" w:line="1" w:lineRule="exact"/>
        <w:rPr>
          <w:sz w:val="20"/>
          <w:szCs w:val="20"/>
          <w:color w:val="auto"/>
        </w:rPr>
      </w:pPr>
    </w:p>
    <w:p>
      <w:pPr>
        <w:jc w:val="both"/>
        <w:ind w:firstLine="8"/>
        <w:spacing w:after="0" w:line="252" w:lineRule="auto"/>
        <w:tabs>
          <w:tab w:leader="none" w:pos="23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grant or (ii) the first day of your Employment. The Option will be subject to the terms and conditions set forth in the Company’s Equity Incentive Plan (the “Plan”). The term of the Option shall be 10 years, subject to earlier expiration in the event of the termination of your Employment. The Option shall vest and become exercisable at the rate of 25% of the total number of option shares after the first 12 months of continuous service and the remaining option shares shall become vested and exercisable in equal monthly installments over the next 3 years of continuous service. You shall have 90 days following a termination of service for any reason to exercise any vested portion of the Option, provided that the Option shall have a maximum term of 10 years.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0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8"/>
                <w:szCs w:val="18"/>
                <w:color w:val="auto"/>
              </w:rPr>
              <w:t>Presto</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17" w:right="339" w:bottom="1440" w:gutter="0" w:footer="0" w:header="0"/>
        </w:sectPr>
      </w:pPr>
    </w:p>
    <w:bookmarkStart w:id="228" w:name="page229"/>
    <w:bookmarkEnd w:id="228"/>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31570" cy="3860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86080"/>
                    </a:xfrm>
                    <a:prstGeom prst="rect">
                      <a:avLst/>
                    </a:prstGeom>
                    <a:noFill/>
                  </pic:spPr>
                </pic:pic>
              </a:graphicData>
            </a:graphic>
          </wp:anchor>
        </w:drawing>
      </w: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You will vest 50% of your remaining unvested Options in the event that (I) the Company is subject to a </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xml:space="preserve"> and (II) the Company terminates your employment for any reason other than Cause and a separation occurs during the three (3) month period following such Change in Control.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this agreement, the terms in bold in the previous paragraph have the meanings set forth below:</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means your (a) your unauthorized use or disclosure of the Company’s confidential information or trade secrets, which use causes material harm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(b) your material breach of any agreement between you and the Company (c) your material failure to comply with the Company’s written policies or rules, (d) your conviction or your plea of “guilty” or “no contest” to a felony under the laws of the United States or any State, (e) your gross negligence or willful misconduct, (f) your continuing failure to perform previously assigned and agreed to duties after receiving written notification of the failure from the Company’s Board of Directors and after receiving a 30 day cure period or (g) your failure to cooperate in good faith with a governmental or internal investigation of the Company or its directors, officers or employees if the Company has requested your cooperation.</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means (a) the consummation of a merger or consolidation of the Company with or into another entity or (b) the dissolution,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182" w:lineRule="exact"/>
        <w:rPr>
          <w:sz w:val="20"/>
          <w:szCs w:val="20"/>
          <w:color w:val="auto"/>
        </w:rPr>
      </w:pPr>
    </w:p>
    <w:p>
      <w:pPr>
        <w:ind w:left="660" w:hanging="328"/>
        <w:spacing w:after="0"/>
        <w:tabs>
          <w:tab w:leader="none" w:pos="6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your employment, full-time employees will be eligible to participate in the employee benefit plans maintained by the Company that are offered to similarly-situated employees, subject in each case to the generally applicable terms and conditions of the plan in question and to the determinations of any person or committee administering such plan. The Company reserves the right to change or otherwise modify, in its sole discretion, such plans and policies.</w:t>
      </w:r>
    </w:p>
    <w:p>
      <w:pPr>
        <w:spacing w:after="0" w:line="172" w:lineRule="exact"/>
        <w:rPr>
          <w:sz w:val="20"/>
          <w:szCs w:val="20"/>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Confidential Information and Invention Assignment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employee of the Company, you will be asked to enter into an Employment Agreement that will have, among other things, provisions relating to:</w:t>
      </w:r>
    </w:p>
    <w:p>
      <w:pPr>
        <w:spacing w:after="0" w:line="225" w:lineRule="exact"/>
        <w:rPr>
          <w:sz w:val="20"/>
          <w:szCs w:val="20"/>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non-disclosure of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of inventions;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Arbitration.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Employment, Confidential Information and Invention Assignment Agreement is included as Attachment 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0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8"/>
                <w:szCs w:val="18"/>
                <w:color w:val="auto"/>
              </w:rPr>
              <w:t>Presto</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1440" w:right="339" w:bottom="1440" w:gutter="0" w:footer="0" w:header="0"/>
        </w:sectPr>
      </w:pPr>
    </w:p>
    <w:bookmarkStart w:id="229" w:name="page230"/>
    <w:bookmarkEnd w:id="229"/>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31570" cy="3860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86080"/>
                    </a:xfrm>
                    <a:prstGeom prst="rect">
                      <a:avLst/>
                    </a:prstGeom>
                    <a:noFill/>
                  </pic:spPr>
                </pic:pic>
              </a:graphicData>
            </a:graphic>
          </wp:anchor>
        </w:drawing>
      </w:r>
    </w:p>
    <w:p>
      <w:pPr>
        <w:ind w:left="660" w:hanging="328"/>
        <w:spacing w:after="0"/>
        <w:tabs>
          <w:tab w:leader="none" w:pos="6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agree to comply with all of the Company’s policies and rules in effect during your Employment. You understand that the Company expects employees to devote their best efforts, energies, and loyalty to the Company. You understand that, due to the importance of this requirement, the Company prohibits any outside employment or other activities or relationships that would create any actual conflict with the essential enterprise-related interests of the Company and that would constitute a material and substantial disruption with the Company’s operation. If, at any time during your Employment, you wish to engage in outside employment that may create a real or apparent conflict of interest, you must submit a written request to the Chief Executive Officer of the Company explaining the details of the outside employment.</w:t>
      </w:r>
    </w:p>
    <w:p>
      <w:pPr>
        <w:spacing w:after="0" w:line="183" w:lineRule="exact"/>
        <w:rPr>
          <w:sz w:val="20"/>
          <w:szCs w:val="20"/>
          <w:color w:val="auto"/>
        </w:rPr>
      </w:pPr>
    </w:p>
    <w:p>
      <w:pPr>
        <w:ind w:left="660" w:hanging="328"/>
        <w:spacing w:after="0"/>
        <w:tabs>
          <w:tab w:leader="none" w:pos="6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Breach of Obligations to Prior Employers.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represent that signing this offer letter will not violate any agreement currently in place between yourself and current or past employers. We wish to impress upon you that we do not want you to bring with you, or use or disclose, any confidential or proprietary material of any former employer or to violate any other obligations you may have to any former employer.</w:t>
      </w:r>
    </w:p>
    <w:p>
      <w:pPr>
        <w:spacing w:after="0" w:line="172" w:lineRule="exact"/>
        <w:rPr>
          <w:sz w:val="20"/>
          <w:szCs w:val="20"/>
          <w:color w:val="auto"/>
        </w:rPr>
      </w:pPr>
    </w:p>
    <w:p>
      <w:pPr>
        <w:ind w:left="660" w:hanging="328"/>
        <w:spacing w:after="0"/>
        <w:tabs>
          <w:tab w:leader="none" w:pos="6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 Will Employment.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Your Employment will be “at will,” which means that either you or the Company may terminate your Employment at any time and for any reason, with or without prior notice and with or without cause. It also means that the Company reserves the right to determine and change at any time your job duties, title, level and responsibilities, reporting relationships, compensation and benefits, as well as its personnel policies and procedures for any reason or for no particular reason or cause. Any statements or representations to the contrary (and, indeed, any statements contradicting any provision in this letter) should be regarded by you as ineffective. Further, your participation in any stock option or benefit program is not to be regarded as assuring you of continuing employment for any particular period of time. Any modification to or change in your at will employment status may only occur by way of a written employment agreement signed by you and the Chief Executive Officer of the Company.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10. Right to Work.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Please note that because of employer regulations adopted in the Immigration Reform and Control Act of 1986, within three (3) business days of starting your new position you will need to present documentation demonstrating that you have authorization to work in the United States. The Company participates in USCIS e-Verify program. The Company will provide the Social Security Administration and, if necessary, the Department of Homeland Security, with information from your Form I-9 to confirm employment verification. If you have questions about this requirement, which applies to U.S. citizens and non-U.S. citizens alike, you may contact the Human Resources department.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Entire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offer, once accepted, constitutes the entire agreement between you and the Company with respect to the subject matter hereof and supersedes all prior offers, negotiations and agreements, if any, whether written or oral, relating to such subject matter. You acknowledge that neither the Company nor its agents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0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8"/>
                <w:szCs w:val="18"/>
                <w:color w:val="auto"/>
              </w:rPr>
              <w:t>Presto</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1440" w:right="339" w:bottom="1440" w:gutter="0" w:footer="0" w:header="0"/>
        </w:sectPr>
      </w:pPr>
    </w:p>
    <w:bookmarkStart w:id="230" w:name="page231"/>
    <w:bookmarkEnd w:id="230"/>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31570" cy="3860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8608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b w:val="1"/>
          <w:bCs w:val="1"/>
          <w:color w:val="auto"/>
        </w:rPr>
        <w:t>12. Acceptance.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This offer will remain valid until </w:t>
      </w:r>
      <w:r>
        <w:rPr>
          <w:rFonts w:ascii="Times New Roman" w:cs="Times New Roman" w:eastAsia="Times New Roman" w:hAnsi="Times New Roman"/>
          <w:sz w:val="18"/>
          <w:szCs w:val="18"/>
          <w:b w:val="1"/>
          <w:bCs w:val="1"/>
          <w:color w:val="auto"/>
        </w:rPr>
        <w:t>February 25, 2021</w:t>
      </w:r>
      <w:r>
        <w:rPr>
          <w:rFonts w:ascii="Times New Roman" w:cs="Times New Roman" w:eastAsia="Times New Roman" w:hAnsi="Times New Roman"/>
          <w:sz w:val="18"/>
          <w:szCs w:val="18"/>
          <w:color w:val="auto"/>
        </w:rPr>
        <w:t>. If you decide to accept our offer, please sign the enclosed copy of this letter in the space indicated and return it to me. Your signature will acknowledge that you have read and understood and agreed to the terms and conditions of this offer letter and the attached Employment, Confidential Information and Invention Assignment Agreement. Should you have anything else that you wish to discuss, please do not hesitate to reach out to Human Resources at hr@presto.com.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the opportunity to welcome you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 Suri, CEO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La Carte, Inc. dba Presto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have read and understood this offer letter and hereby acknowledge, accept and agree to the terms and conditions as set forth above and further acknowledge that no other commitments, inducements, or representations were made to me as part of my employment offer except as specifically set forth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 Mosher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Mosher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0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8"/>
                <w:szCs w:val="18"/>
                <w:color w:val="auto"/>
              </w:rPr>
              <w:t>Presto</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1440" w:right="339" w:bottom="1440" w:gutter="0" w:footer="0" w:header="0"/>
        </w:sectPr>
      </w:pPr>
    </w:p>
    <w:bookmarkStart w:id="231" w:name="page232"/>
    <w:bookmarkEnd w:id="231"/>
    <w:p>
      <w:pPr>
        <w:ind w:left="10020"/>
        <w:spacing w:after="0"/>
        <w:rPr>
          <w:sz w:val="20"/>
          <w:szCs w:val="20"/>
          <w:color w:val="auto"/>
        </w:rPr>
      </w:pPr>
      <w:r>
        <w:rPr>
          <w:rFonts w:ascii="Times New Roman" w:cs="Times New Roman" w:eastAsia="Times New Roman" w:hAnsi="Times New Roman"/>
          <w:sz w:val="21"/>
          <w:szCs w:val="21"/>
          <w:b w:val="1"/>
          <w:bCs w:val="1"/>
          <w:color w:val="auto"/>
        </w:rPr>
        <w:t>Exhibit 10.13</w:t>
      </w:r>
    </w:p>
    <w:p>
      <w:pPr>
        <w:spacing w:after="0" w:line="2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***Certain identified information has been omitted from this exhibit in accordance with the rules of the Securities and Exchange Commission because it is both (i) not material to investors and (ii) information that the Registrant treats as private or confidential. Such omitted information is indicated by brackets (“[…***…]”) in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131570" cy="3854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9">
                      <a:extLst>
                        <a:ext uri="{28A0092B-C50C-407E-A947-70E740481C1C}"/>
                      </a:extLst>
                    </a:blip>
                    <a:srcRect/>
                    <a:stretch>
                      <a:fillRect/>
                    </a:stretch>
                  </pic:blipFill>
                  <pic:spPr bwMode="auto">
                    <a:xfrm>
                      <a:off x="0" y="0"/>
                      <a:ext cx="113157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La Carte, Inc. dba Presto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810 Hamilton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Redwood City CA 94301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19,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Ashish Gupta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Offer of Employment by E la Carte,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Ashish,</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am very pleased to offer you employment with E La Carte, Inc. dba Presto, (the “Company”). Your employment by the Company will be governed by the following terms and conditions.</w:t>
      </w:r>
    </w:p>
    <w:p>
      <w:pPr>
        <w:spacing w:after="0" w:line="158" w:lineRule="exact"/>
        <w:rPr>
          <w:sz w:val="20"/>
          <w:szCs w:val="20"/>
          <w:color w:val="auto"/>
        </w:rPr>
      </w:pPr>
    </w:p>
    <w:p>
      <w:pPr>
        <w:ind w:left="660" w:hanging="328"/>
        <w:spacing w:after="0"/>
        <w:tabs>
          <w:tab w:leader="none" w:pos="66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the term of your employment under this agreement (your “Employment”), the Company will employ you in the position of </w:t>
      </w:r>
      <w:r>
        <w:rPr>
          <w:rFonts w:ascii="Times New Roman" w:cs="Times New Roman" w:eastAsia="Times New Roman" w:hAnsi="Times New Roman"/>
          <w:sz w:val="18"/>
          <w:szCs w:val="18"/>
          <w:b w:val="1"/>
          <w:bCs w:val="1"/>
          <w:color w:val="auto"/>
        </w:rPr>
        <w:t>Chief Financial Officer</w:t>
      </w:r>
      <w:r>
        <w:rPr>
          <w:rFonts w:ascii="Times New Roman" w:cs="Times New Roman" w:eastAsia="Times New Roman" w:hAnsi="Times New Roman"/>
          <w:sz w:val="18"/>
          <w:szCs w:val="18"/>
          <w:color w:val="auto"/>
        </w:rPr>
        <w:t xml:space="preserve"> or in such other position as the Company subsequently may assign to you. You will report to </w:t>
      </w:r>
      <w:r>
        <w:rPr>
          <w:rFonts w:ascii="Times New Roman" w:cs="Times New Roman" w:eastAsia="Times New Roman" w:hAnsi="Times New Roman"/>
          <w:sz w:val="18"/>
          <w:szCs w:val="18"/>
          <w:b w:val="1"/>
          <w:bCs w:val="1"/>
          <w:color w:val="auto"/>
        </w:rPr>
        <w:t>Rajat Suri, CEO</w:t>
      </w:r>
      <w:r>
        <w:rPr>
          <w:rFonts w:ascii="Times New Roman" w:cs="Times New Roman" w:eastAsia="Times New Roman" w:hAnsi="Times New Roman"/>
          <w:sz w:val="18"/>
          <w:szCs w:val="18"/>
          <w:color w:val="auto"/>
        </w:rPr>
        <w:t xml:space="preserve"> or to such other person as the Company subsequently may determine.</w:t>
      </w:r>
    </w:p>
    <w:p>
      <w:pPr>
        <w:spacing w:after="0" w:line="171" w:lineRule="exact"/>
        <w:rPr>
          <w:sz w:val="20"/>
          <w:szCs w:val="20"/>
          <w:color w:val="auto"/>
        </w:rPr>
      </w:pPr>
    </w:p>
    <w:p>
      <w:pPr>
        <w:ind w:left="660" w:hanging="328"/>
        <w:spacing w:after="0"/>
        <w:tabs>
          <w:tab w:leader="none" w:pos="6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Commencement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shall commence regular full-time employment on </w:t>
      </w:r>
      <w:r>
        <w:rPr>
          <w:rFonts w:ascii="Times New Roman" w:cs="Times New Roman" w:eastAsia="Times New Roman" w:hAnsi="Times New Roman"/>
          <w:sz w:val="18"/>
          <w:szCs w:val="18"/>
          <w:b w:val="1"/>
          <w:bCs w:val="1"/>
          <w:color w:val="auto"/>
        </w:rPr>
        <w:t>September 16, 2019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328"/>
        <w:spacing w:after="0"/>
        <w:tabs>
          <w:tab w:leader="none" w:pos="6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Salary.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Company will pay you as compensation for your services an initial base salary at a gross annual rate of </w:t>
      </w:r>
      <w:r>
        <w:rPr>
          <w:rFonts w:ascii="Times New Roman" w:cs="Times New Roman" w:eastAsia="Times New Roman" w:hAnsi="Times New Roman"/>
          <w:sz w:val="18"/>
          <w:szCs w:val="18"/>
          <w:b w:val="1"/>
          <w:bCs w:val="1"/>
          <w:color w:val="auto"/>
        </w:rPr>
        <w:t>$300,000</w:t>
      </w:r>
      <w:r>
        <w:rPr>
          <w:rFonts w:ascii="Times New Roman" w:cs="Times New Roman" w:eastAsia="Times New Roman" w:hAnsi="Times New Roman"/>
          <w:sz w:val="18"/>
          <w:szCs w:val="18"/>
          <w:color w:val="auto"/>
        </w:rPr>
        <w:t xml:space="preserve"> (“base salary”). Your base salary shall be payable in accordance with the Company’s standard payroll procedures, subject to applicable withholdings and deductions, as authorized or required by applicable laws.</w:t>
      </w:r>
    </w:p>
    <w:p>
      <w:pPr>
        <w:spacing w:after="0" w:line="171" w:lineRule="exact"/>
        <w:rPr>
          <w:sz w:val="20"/>
          <w:szCs w:val="20"/>
          <w:color w:val="auto"/>
        </w:rPr>
      </w:pPr>
    </w:p>
    <w:p>
      <w:pPr>
        <w:ind w:left="660" w:hanging="328"/>
        <w:spacing w:after="0"/>
        <w:tabs>
          <w:tab w:leader="none" w:pos="66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Compensation.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You will be eligible to participate in the Company’s Executive bonus program. The on-target earnings for your variable compensation will be </w:t>
      </w:r>
      <w:r>
        <w:rPr>
          <w:rFonts w:ascii="Times New Roman" w:cs="Times New Roman" w:eastAsia="Times New Roman" w:hAnsi="Times New Roman"/>
          <w:sz w:val="18"/>
          <w:szCs w:val="18"/>
          <w:b w:val="1"/>
          <w:bCs w:val="1"/>
          <w:color w:val="auto"/>
        </w:rPr>
        <w:t>$50,000</w:t>
      </w:r>
      <w:r>
        <w:rPr>
          <w:rFonts w:ascii="Times New Roman" w:cs="Times New Roman" w:eastAsia="Times New Roman" w:hAnsi="Times New Roman"/>
          <w:sz w:val="18"/>
          <w:szCs w:val="18"/>
          <w:color w:val="auto"/>
        </w:rPr>
        <w:t xml:space="preserve"> per annum, which will be prorated based on your start date for the remainder of the 2019 calendar year. Initially, sixty-percent (60%) of your bonus will be based on achievement of individual goals and remaining forty-percent (40%) will be based on the company performance, </w:t>
      </w:r>
      <w:r>
        <w:rPr>
          <w:rFonts w:ascii="Times New Roman" w:cs="Times New Roman" w:eastAsia="Times New Roman" w:hAnsi="Times New Roman"/>
          <w:sz w:val="18"/>
          <w:szCs w:val="18"/>
          <w:u w:val="single" w:color="auto"/>
          <w:color w:val="auto"/>
        </w:rPr>
        <w:t>split equally between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company’s revenue target (ARR of ***) and EBITDA</w:t>
      </w:r>
      <w:r>
        <w:rPr>
          <w:rFonts w:ascii="Times New Roman" w:cs="Times New Roman" w:eastAsia="Times New Roman" w:hAnsi="Times New Roman"/>
          <w:sz w:val="18"/>
          <w:szCs w:val="18"/>
          <w:color w:val="auto"/>
        </w:rPr>
        <w:t>. Your individual goals will be set annually by the Company’s CEO.</w:t>
      </w:r>
    </w:p>
    <w:p>
      <w:pPr>
        <w:spacing w:after="0" w:line="176" w:lineRule="exact"/>
        <w:rPr>
          <w:sz w:val="20"/>
          <w:szCs w:val="20"/>
          <w:color w:val="auto"/>
        </w:rPr>
      </w:pPr>
    </w:p>
    <w:p>
      <w:pPr>
        <w:ind w:left="660" w:hanging="328"/>
        <w:spacing w:after="0"/>
        <w:tabs>
          <w:tab w:leader="none" w:pos="66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Subject to the approval of the Company’s Board of Directors, in its sole discretion, the Company shall grant you stock options covering </w:t>
      </w:r>
      <w:r>
        <w:rPr>
          <w:rFonts w:ascii="Times New Roman" w:cs="Times New Roman" w:eastAsia="Times New Roman" w:hAnsi="Times New Roman"/>
          <w:sz w:val="18"/>
          <w:szCs w:val="18"/>
          <w:u w:val="single" w:color="auto"/>
          <w:color w:val="auto"/>
        </w:rPr>
        <w:t>542,100</w:t>
      </w:r>
      <w:r>
        <w:rPr>
          <w:rFonts w:ascii="Times New Roman" w:cs="Times New Roman" w:eastAsia="Times New Roman" w:hAnsi="Times New Roman"/>
          <w:sz w:val="18"/>
          <w:szCs w:val="18"/>
          <w:color w:val="auto"/>
        </w:rPr>
        <w:t xml:space="preserve"> shares of the Company’s Common Stock (the “Option”). The Option, if approved, shall be granted as soon as reasonably practicable after the date of this Agreement. The exercise price of the Option shall be equal to the fair market value of the Company’s Common Stock as determined by the Board of Directors on the </w:t>
      </w:r>
      <w:r>
        <w:rPr>
          <w:rFonts w:ascii="Times New Roman" w:cs="Times New Roman" w:eastAsia="Times New Roman" w:hAnsi="Times New Roman"/>
          <w:sz w:val="18"/>
          <w:szCs w:val="18"/>
          <w:u w:val="single" w:color="auto"/>
          <w:color w:val="auto"/>
        </w:rPr>
        <w:t>earlier</w:t>
      </w:r>
      <w:r>
        <w:rPr>
          <w:rFonts w:ascii="Times New Roman" w:cs="Times New Roman" w:eastAsia="Times New Roman" w:hAnsi="Times New Roman"/>
          <w:sz w:val="18"/>
          <w:szCs w:val="18"/>
          <w:color w:val="auto"/>
        </w:rPr>
        <w:t xml:space="preserve"> of (i) the date of grant or (ii) the first day of your Employment. The Option will be subject to the terms and conditions set forth in the Company’s Equity Incentive Plan (the “Plan”). The term of the Option shall be 10 years, subject to earlier expiration in the event of the termination of your Employment. The Option shall vest and become exercisable at the rate of 25% of the total number of option shares after the first 12 months of continuous service and the remaining option shares shall become vested and exercisable in equal monthly installments over the next </w:t>
      </w:r>
      <w:r>
        <w:rPr>
          <w:rFonts w:ascii="Times New Roman" w:cs="Times New Roman" w:eastAsia="Times New Roman" w:hAnsi="Times New Roman"/>
          <w:sz w:val="18"/>
          <w:szCs w:val="18"/>
          <w:u w:val="single" w:color="auto"/>
          <w:color w:val="auto"/>
        </w:rPr>
        <w:t>three</w:t>
      </w:r>
      <w:r>
        <w:rPr>
          <w:rFonts w:ascii="Times New Roman" w:cs="Times New Roman" w:eastAsia="Times New Roman" w:hAnsi="Times New Roman"/>
          <w:sz w:val="18"/>
          <w:szCs w:val="18"/>
          <w:color w:val="auto"/>
        </w:rPr>
        <w:t xml:space="preserve"> years of continuous service. You shall have 90 days following a termination of service for any reason to exercise any vested portion of the Option, provided that the Option shall have a maximum term of 10 years.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0"/>
        <w:spacing w:after="0"/>
        <w:tabs>
          <w:tab w:leader="none" w:pos="11140" w:val="left"/>
        </w:tabs>
        <w:rPr>
          <w:sz w:val="20"/>
          <w:szCs w:val="20"/>
          <w:color w:val="auto"/>
        </w:rPr>
      </w:pPr>
      <w:r>
        <w:rPr>
          <w:rFonts w:ascii="Times New Roman" w:cs="Times New Roman" w:eastAsia="Times New Roman" w:hAnsi="Times New Roman"/>
          <w:sz w:val="16"/>
          <w:szCs w:val="16"/>
          <w:color w:val="auto"/>
        </w:rPr>
        <w:t>Presto</w:t>
      </w:r>
      <w:r>
        <w:rPr>
          <w:sz w:val="20"/>
          <w:szCs w:val="20"/>
          <w:color w:val="auto"/>
        </w:rPr>
        <w:tab/>
      </w: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32" w:name="page233"/>
    <w:bookmarkEnd w:id="232"/>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31570" cy="3860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86080"/>
                    </a:xfrm>
                    <a:prstGeom prst="rect">
                      <a:avLst/>
                    </a:prstGeom>
                    <a:noFill/>
                  </pic:spPr>
                </pic:pic>
              </a:graphicData>
            </a:graphic>
          </wp:anchor>
        </w:drawing>
      </w: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Double Trigger Acceleration</w:t>
      </w:r>
      <w:r>
        <w:rPr>
          <w:rFonts w:ascii="Times New Roman" w:cs="Times New Roman" w:eastAsia="Times New Roman" w:hAnsi="Times New Roman"/>
          <w:sz w:val="18"/>
          <w:szCs w:val="18"/>
          <w:color w:val="auto"/>
        </w:rPr>
        <w:t>. In the event that your employment with the Company is terminated by the Company (or its successor) without cause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there is a significant reduction in responsibility</w:t>
      </w:r>
      <w:r>
        <w:rPr>
          <w:rFonts w:ascii="Times New Roman" w:cs="Times New Roman" w:eastAsia="Times New Roman" w:hAnsi="Times New Roman"/>
          <w:sz w:val="18"/>
          <w:szCs w:val="18"/>
          <w:color w:val="auto"/>
        </w:rPr>
        <w:t xml:space="preserve"> within six (6) months following the date of the consummation of a Change in Control (defined as the purchase of over 50% of the company’s outstanding stock by an external company) the vesting and exercisability of your outstanding stock awards shall be automatically accelerated in full.</w:t>
      </w:r>
    </w:p>
    <w:p>
      <w:pPr>
        <w:spacing w:after="0" w:line="176" w:lineRule="exact"/>
        <w:rPr>
          <w:sz w:val="20"/>
          <w:szCs w:val="20"/>
          <w:color w:val="auto"/>
        </w:rPr>
      </w:pPr>
    </w:p>
    <w:p>
      <w:pPr>
        <w:ind w:left="660" w:hanging="328"/>
        <w:spacing w:after="0"/>
        <w:tabs>
          <w:tab w:leader="none" w:pos="66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your employment, full-time employees will be eligible to participate in the employee benefit plans maintained by the Company, subject in each case to the generally applicable terms and conditions of the plan in question and to the determinations of any person or committee administering such plan. The Company reserves the right to change or otherwise modify, in its sole discretion, such plans and policies.</w:t>
      </w:r>
    </w:p>
    <w:p>
      <w:pPr>
        <w:spacing w:after="0" w:line="172" w:lineRule="exact"/>
        <w:rPr>
          <w:sz w:val="20"/>
          <w:szCs w:val="20"/>
          <w:color w:val="auto"/>
        </w:rPr>
      </w:pPr>
    </w:p>
    <w:p>
      <w:pPr>
        <w:ind w:left="660" w:hanging="328"/>
        <w:spacing w:after="0"/>
        <w:tabs>
          <w:tab w:leader="none" w:pos="6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Invention Assignment and Confidentiality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employee of the Company, you will be asked to enter into an Employment Agreement that will have, among other things, provisions relating to:</w:t>
      </w:r>
    </w:p>
    <w:p>
      <w:pPr>
        <w:spacing w:after="0" w:line="225" w:lineRule="exact"/>
        <w:rPr>
          <w:sz w:val="20"/>
          <w:szCs w:val="20"/>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non-disclosure of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of inventions;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arbitration.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example of this Non-Disclosure, Non-Solicitation, and Invention Assignment Agreement is included as Attachment A.</w:t>
      </w:r>
    </w:p>
    <w:p>
      <w:pPr>
        <w:spacing w:after="0" w:line="221" w:lineRule="exact"/>
        <w:rPr>
          <w:sz w:val="20"/>
          <w:szCs w:val="20"/>
          <w:color w:val="auto"/>
        </w:rPr>
      </w:pPr>
    </w:p>
    <w:p>
      <w:pPr>
        <w:ind w:left="660" w:hanging="328"/>
        <w:spacing w:after="0"/>
        <w:tabs>
          <w:tab w:leader="none" w:pos="6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agree to comply with all of the Company’s policies and rules in effect during your Employment. You understand that the Company expects employees to devote their best efforts, energies, and loyalty to the Company. You understand that, due to the importance of this requirement, the Company prohibits any outside employment or other activities or relationships that would create any actual conflict with the essential enterprise-related interests of the Company and that would constitute a material and substantial disruption with the Company’s operation. If, at any time during your Employment, you wish to engage in outside employment that may create a real or apparent conflict of interest, you must submit a written request to the Chief Executive Officer of the Company explaining the details of the outside employment.</w:t>
      </w:r>
    </w:p>
    <w:p>
      <w:pPr>
        <w:spacing w:after="0" w:line="183" w:lineRule="exact"/>
        <w:rPr>
          <w:sz w:val="20"/>
          <w:szCs w:val="20"/>
          <w:color w:val="auto"/>
        </w:rPr>
      </w:pPr>
    </w:p>
    <w:p>
      <w:pPr>
        <w:ind w:left="660" w:hanging="328"/>
        <w:spacing w:after="0"/>
        <w:tabs>
          <w:tab w:leader="none" w:pos="66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Breach of Obligations to Prior Employers.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represent that signing this offer letter will not violate any agreement currently in place between yourself and current or past employers. We wish to impress upon you that we do not want you to bring with you, or use or disclose, any confidential or proprietary material of any former employer or to violate any other obligations you may have to any former employer.</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0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8"/>
                <w:szCs w:val="18"/>
                <w:color w:val="auto"/>
              </w:rPr>
              <w:t>Presto</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1440" w:right="339" w:bottom="1440" w:gutter="0" w:footer="0" w:header="0"/>
        </w:sectPr>
      </w:pPr>
    </w:p>
    <w:bookmarkStart w:id="233" w:name="page234"/>
    <w:bookmarkEnd w:id="233"/>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31570" cy="3860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8608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b w:val="1"/>
          <w:bCs w:val="1"/>
          <w:color w:val="auto"/>
        </w:rPr>
        <w:t>10. At Will Employment.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Your Employment will be “at will,” which means that either you or the Company may terminate your Employment at any time and for any reason, with or without prior notice and with or without cause. It also means that the Company reserves the right to determine and change at any time your job duties, title, level and responsibilities, reporting relationships, compensation and benefits, as well as its personnel policies and procedures for any reason or for no particular reason or cause. Any statements or representations to the contrary (and, indeed, any statements contradicting any provision in this letter) should be regarded by you as ineffective. Further, your participation in any stock option or benefit program is not to be regarded as assuring you of continuing employment for any particular period of time. Any modification to or change in your at will employment status may only occur by way of a written employment agreement signed by you and the Chief Executive Officer of the Company.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Right to Work.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Please note that because of employer regulations adopted in the Immigration Reform and Control Act of 1986, within three (3) business days of starting your new position you will need to present documentation demonstrating that you have authorization to work in the United States. The Company participates in USCIS e-Verify program. The Company will provide the Social Security Administration and, if necessary, the Department of Homeland Security, with information from your Form I-9 to confirm employment verification. If you have questions about this requirement, which applies to U.S. citizens and non-U.S. citizens alike, you may contact the Human Resources department.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Arbitration.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and the Company agree to submit to exclusive and mandatory binding arbitration any and all claims arising out of or in connection with this Agreement or relating in any way to your Employment with the Company, including any dispute regarding the enforceability, interpretation, construction or breach of this Agreement. All arbitration hearings shall be conducted in San Mateo County, California. The parties agree that, to the fullest extent permitted by law, arbitration shall be the exclusive remedy for the subject matter of such claims; provided, however, that any claims, which by law may not be submitted to arbitration are not covered by this arbitration provision. This means that both you and the Company give up the right to have any dispute decided in court by a jury; instead, a neutral arbitrator whose decision is final and binding will resolve it, subject to judicial review as provided by law. The arbitration shall be conducted before a single neutral arbitrator. Any claims to be arbitrated shall be brought in the parties’ individual capacity, and not as a plaintiff or class member in any purported class or representative proceeding. The arbitrator shall not preside over any form of class or representative proceeding.</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 Entire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offer, once accepted, constitutes the entire agreement between you and the Company with respect to the subject matter hereof and supersedes all prior offers, negotiations and agreements, if any, whether written or oral, relating to such subject matter. You acknowledge that neither the Company nor its agents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0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8"/>
                <w:szCs w:val="18"/>
                <w:color w:val="auto"/>
              </w:rPr>
              <w:t>Presto</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1440" w:right="339" w:bottom="1440" w:gutter="0" w:footer="0" w:header="0"/>
        </w:sectPr>
      </w:pPr>
    </w:p>
    <w:bookmarkStart w:id="234" w:name="page235"/>
    <w:bookmarkEnd w:id="234"/>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31570" cy="3860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1131570" cy="38608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b w:val="1"/>
          <w:bCs w:val="1"/>
          <w:color w:val="auto"/>
        </w:rPr>
        <w:t>14. Acceptance.</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This offer will remain valid until August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2019. If you decide to accept our offer, please sign the enclosed copy of this letter in the space indicated and return it to me. Your signature will acknowledge that you have read and understood and agreed to the terms and conditions of this offer letter and the attached Employee Invention Assignment and Confidentiality Agreement. Should you have anything else that you wish to discuss, please do not hesitate to call 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the opportunity to welcome you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Rajat Suri, CEO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La Carte, Inc. dba Presto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have read and understood this offer letter and hereby acknowledge, accept and agree to the terms and conditions as set forth above and further acknowledge that no other commitments, inducements, or representations were made to me as part of my employment offer except as specifically set forth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Ashish Gupta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A: Employee Invention Assignment and Confidentiality Agreement.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0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8"/>
                <w:szCs w:val="18"/>
                <w:color w:val="auto"/>
              </w:rPr>
              <w:t>Presto</w:t>
            </w: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1440"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72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439"/>
        </w:trPr>
        <w:tc>
          <w:tcPr>
            <w:tcW w:w="4040" w:type="dxa"/>
            <w:vAlign w:val="bottom"/>
            <w:tcBorders>
              <w:bottom w:val="single" w:sz="8" w:color="auto"/>
            </w:tcBorders>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Country of Organization</w:t>
            </w:r>
          </w:p>
        </w:tc>
      </w:tr>
      <w:tr>
        <w:trPr>
          <w:trHeight w:val="198"/>
        </w:trPr>
        <w:tc>
          <w:tcPr>
            <w:tcW w:w="4040" w:type="dxa"/>
            <w:vAlign w:val="bottom"/>
          </w:tcPr>
          <w:p>
            <w:pPr>
              <w:jc w:val="center"/>
              <w:ind w:left="1390"/>
              <w:spacing w:after="0" w:line="198" w:lineRule="exact"/>
              <w:rPr>
                <w:sz w:val="20"/>
                <w:szCs w:val="20"/>
                <w:color w:val="auto"/>
              </w:rPr>
            </w:pPr>
            <w:r>
              <w:rPr>
                <w:rFonts w:ascii="Times New Roman" w:cs="Times New Roman" w:eastAsia="Times New Roman" w:hAnsi="Times New Roman"/>
                <w:sz w:val="18"/>
                <w:szCs w:val="18"/>
                <w:color w:val="auto"/>
                <w:w w:val="99"/>
              </w:rPr>
              <w:t>E La Carte, LLC</w:t>
            </w: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040" w:type="dxa"/>
            <w:vAlign w:val="bottom"/>
          </w:tcPr>
          <w:p>
            <w:pPr>
              <w:jc w:val="center"/>
              <w:ind w:left="1390"/>
              <w:spacing w:after="0"/>
              <w:rPr>
                <w:sz w:val="20"/>
                <w:szCs w:val="20"/>
                <w:color w:val="auto"/>
              </w:rPr>
            </w:pPr>
            <w:r>
              <w:rPr>
                <w:rFonts w:ascii="Times New Roman" w:cs="Times New Roman" w:eastAsia="Times New Roman" w:hAnsi="Times New Roman"/>
                <w:sz w:val="18"/>
                <w:szCs w:val="18"/>
                <w:color w:val="auto"/>
                <w:w w:val="97"/>
              </w:rPr>
              <w:t>Presto Technology, Inc.</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bl>
    <w:p>
      <w:pPr>
        <w:sectPr>
          <w:pgSz w:w="11900" w:h="16838" w:orient="portrait"/>
          <w:cols w:equalWidth="0" w:num="1">
            <w:col w:w="11240"/>
          </w:cols>
          <w:pgMar w:left="320" w:top="108"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S-1 of Presto Automation Inc. of our report dated September 27, 2022, relating to the consolidated financial statements of E La Carte, Inc. (dba Presto) (which report expresses an unqualified opinion and includes an explanatory paragraph relating to a going concern uncertainty).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2022</w:t>
      </w:r>
    </w:p>
    <w:p>
      <w:pPr>
        <w:sectPr>
          <w:pgSz w:w="11900" w:h="16838" w:orient="portrait"/>
          <w:cols w:equalWidth="0" w:num="1">
            <w:col w:w="11240"/>
          </w:cols>
          <w:pgMar w:left="320" w:top="108"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Filing Fee Table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8"/>
          </w:tcPr>
          <w:p>
            <w:pPr>
              <w:jc w:val="right"/>
              <w:ind w:right="220"/>
              <w:spacing w:after="0"/>
              <w:rPr>
                <w:sz w:val="20"/>
                <w:szCs w:val="20"/>
                <w:color w:val="auto"/>
              </w:rPr>
            </w:pPr>
            <w:r>
              <w:rPr>
                <w:rFonts w:ascii="Times New Roman" w:cs="Times New Roman" w:eastAsia="Times New Roman" w:hAnsi="Times New Roman"/>
                <w:sz w:val="18"/>
                <w:szCs w:val="18"/>
                <w:color w:val="auto"/>
                <w:w w:val="98"/>
              </w:rPr>
              <w:t>Table 1: Newly Registered Securities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84"/>
        </w:trPr>
        <w:tc>
          <w:tcPr>
            <w:tcW w:w="9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Security</w:t>
            </w: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Calculation</w:t>
            </w: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7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w:t>
            </w:r>
          </w:p>
        </w:tc>
        <w:tc>
          <w:tcPr>
            <w:tcW w:w="29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Security Class Title</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00" w:type="dxa"/>
            <w:vAlign w:val="bottom"/>
            <w:gridSpan w:val="2"/>
          </w:tcPr>
          <w:p>
            <w:pPr>
              <w:jc w:val="right"/>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3"/>
              </w:rPr>
              <w:t>Registered</w:t>
            </w:r>
            <w:r>
              <w:rPr>
                <w:rFonts w:ascii="Times New Roman" w:cs="Times New Roman" w:eastAsia="Times New Roman" w:hAnsi="Times New Roman"/>
                <w:sz w:val="29"/>
                <w:szCs w:val="29"/>
                <w:b w:val="1"/>
                <w:bCs w:val="1"/>
                <w:color w:val="auto"/>
                <w:w w:val="93"/>
                <w:vertAlign w:val="superscript"/>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80" w:type="dxa"/>
            <w:vAlign w:val="bottom"/>
          </w:tcPr>
          <w:p>
            <w:pPr>
              <w:spacing w:after="0"/>
              <w:rPr>
                <w:sz w:val="24"/>
                <w:szCs w:val="2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201"/>
        </w:trPr>
        <w:tc>
          <w:tcPr>
            <w:tcW w:w="88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Equity</w:t>
            </w:r>
          </w:p>
        </w:tc>
        <w:tc>
          <w:tcPr>
            <w:tcW w:w="100" w:type="dxa"/>
            <w:vAlign w:val="bottom"/>
            <w:tcBorders>
              <w:top w:val="single" w:sz="8" w:color="CCEEFF"/>
            </w:tcBorders>
            <w:shd w:val="clear" w:color="auto" w:fill="CCEEFF"/>
          </w:tcPr>
          <w:p>
            <w:pPr>
              <w:spacing w:after="0"/>
              <w:rPr>
                <w:sz w:val="17"/>
                <w:szCs w:val="17"/>
                <w:color w:val="auto"/>
              </w:rPr>
            </w:pPr>
          </w:p>
        </w:tc>
        <w:tc>
          <w:tcPr>
            <w:tcW w:w="288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Common Stock, par value $0.0001 per</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80" w:type="dxa"/>
            <w:vAlign w:val="bottom"/>
            <w:shd w:val="clear" w:color="auto" w:fill="CCEEFF"/>
          </w:tcPr>
          <w:p>
            <w:pPr>
              <w:ind w:left="1780"/>
              <w:spacing w:after="0" w:line="150"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00"/>
              <w:spacing w:after="0" w:line="204" w:lineRule="exact"/>
              <w:rPr>
                <w:sz w:val="20"/>
                <w:szCs w:val="20"/>
                <w:color w:val="auto"/>
              </w:rPr>
            </w:pPr>
            <w:r>
              <w:rPr>
                <w:rFonts w:ascii="Times New Roman" w:cs="Times New Roman" w:eastAsia="Times New Roman" w:hAnsi="Times New Roman"/>
                <w:sz w:val="18"/>
                <w:szCs w:val="18"/>
                <w:color w:val="auto"/>
              </w:rPr>
              <w:t>8,625,000</w:t>
            </w:r>
          </w:p>
        </w:tc>
        <w:tc>
          <w:tcPr>
            <w:tcW w:w="220" w:type="dxa"/>
            <w:vAlign w:val="bottom"/>
            <w:gridSpan w:val="2"/>
            <w:vMerge w:val="restart"/>
            <w:shd w:val="clear" w:color="auto" w:fill="CCEEFF"/>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8.21</w:t>
            </w:r>
          </w:p>
        </w:tc>
        <w:tc>
          <w:tcPr>
            <w:tcW w:w="2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shd w:val="clear" w:color="auto" w:fill="CCEEFF"/>
          </w:tcPr>
          <w:p>
            <w:pPr>
              <w:jc w:val="right"/>
              <w:ind w:right="220"/>
              <w:spacing w:after="0" w:line="204" w:lineRule="exact"/>
              <w:rPr>
                <w:sz w:val="20"/>
                <w:szCs w:val="20"/>
                <w:color w:val="auto"/>
              </w:rPr>
            </w:pPr>
            <w:r>
              <w:rPr>
                <w:rFonts w:ascii="Times New Roman" w:cs="Times New Roman" w:eastAsia="Times New Roman" w:hAnsi="Times New Roman"/>
                <w:sz w:val="18"/>
                <w:szCs w:val="18"/>
                <w:color w:val="auto"/>
              </w:rPr>
              <w:t>70,811,250.00</w:t>
            </w:r>
          </w:p>
        </w:tc>
        <w:tc>
          <w:tcPr>
            <w:tcW w:w="1220" w:type="dxa"/>
            <w:vAlign w:val="bottom"/>
            <w:gridSpan w:val="2"/>
            <w:vMerge w:val="restart"/>
            <w:shd w:val="clear" w:color="auto" w:fill="CCEEFF"/>
          </w:tcPr>
          <w:p>
            <w:pPr>
              <w:jc w:val="center"/>
              <w:ind w:right="220"/>
              <w:spacing w:after="0" w:line="204" w:lineRule="exact"/>
              <w:rPr>
                <w:sz w:val="20"/>
                <w:szCs w:val="20"/>
                <w:color w:val="auto"/>
              </w:rPr>
            </w:pPr>
            <w:r>
              <w:rPr>
                <w:rFonts w:ascii="Times New Roman" w:cs="Times New Roman" w:eastAsia="Times New Roman" w:hAnsi="Times New Roman"/>
                <w:sz w:val="18"/>
                <w:szCs w:val="18"/>
                <w:color w:val="auto"/>
              </w:rPr>
              <w:t>$ 0.00011020</w:t>
            </w:r>
          </w:p>
        </w:tc>
        <w:tc>
          <w:tcPr>
            <w:tcW w:w="180" w:type="dxa"/>
            <w:vAlign w:val="bottom"/>
            <w:vMerge w:val="restart"/>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00"/>
              <w:spacing w:after="0" w:line="204" w:lineRule="exact"/>
              <w:rPr>
                <w:sz w:val="20"/>
                <w:szCs w:val="20"/>
                <w:color w:val="auto"/>
              </w:rPr>
            </w:pPr>
            <w:r>
              <w:rPr>
                <w:rFonts w:ascii="Times New Roman" w:cs="Times New Roman" w:eastAsia="Times New Roman" w:hAnsi="Times New Roman"/>
                <w:sz w:val="18"/>
                <w:szCs w:val="18"/>
                <w:color w:val="auto"/>
              </w:rPr>
              <w:t>7,804.00</w:t>
            </w:r>
          </w:p>
        </w:tc>
        <w:tc>
          <w:tcPr>
            <w:tcW w:w="0" w:type="dxa"/>
            <w:vAlign w:val="bottom"/>
          </w:tcPr>
          <w:p>
            <w:pPr>
              <w:spacing w:after="0"/>
              <w:rPr>
                <w:sz w:val="1"/>
                <w:szCs w:val="1"/>
                <w:color w:val="auto"/>
              </w:rPr>
            </w:pPr>
          </w:p>
        </w:tc>
      </w:tr>
      <w:tr>
        <w:trPr>
          <w:trHeight w:val="54"/>
        </w:trPr>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9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share (Primary Offering)</w:t>
            </w:r>
          </w:p>
        </w:tc>
        <w:tc>
          <w:tcPr>
            <w:tcW w:w="3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00" w:type="dxa"/>
            <w:vAlign w:val="bottom"/>
            <w:gridSpan w:val="2"/>
            <w:vMerge w:val="continue"/>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900" w:type="dxa"/>
            <w:vAlign w:val="bottom"/>
            <w:gridSpan w:val="2"/>
            <w:vMerge w:val="continue"/>
            <w:shd w:val="clear" w:color="auto" w:fill="CCEEFF"/>
          </w:tcPr>
          <w:p>
            <w:pPr>
              <w:spacing w:after="0"/>
              <w:rPr>
                <w:sz w:val="4"/>
                <w:szCs w:val="4"/>
                <w:color w:val="auto"/>
              </w:rPr>
            </w:pPr>
          </w:p>
        </w:tc>
        <w:tc>
          <w:tcPr>
            <w:tcW w:w="280" w:type="dxa"/>
            <w:vAlign w:val="bottom"/>
            <w:vMerge w:val="restart"/>
            <w:shd w:val="clear" w:color="auto" w:fill="CCEEFF"/>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w w:val="97"/>
              </w:rPr>
              <w:t>(3)</w:t>
            </w:r>
          </w:p>
        </w:tc>
        <w:tc>
          <w:tcPr>
            <w:tcW w:w="100" w:type="dxa"/>
            <w:vAlign w:val="bottom"/>
            <w:vMerge w:val="continue"/>
            <w:shd w:val="clear" w:color="auto" w:fill="CCEEFF"/>
          </w:tcPr>
          <w:p>
            <w:pPr>
              <w:spacing w:after="0"/>
              <w:rPr>
                <w:sz w:val="4"/>
                <w:szCs w:val="4"/>
                <w:color w:val="auto"/>
              </w:rPr>
            </w:pPr>
          </w:p>
        </w:tc>
        <w:tc>
          <w:tcPr>
            <w:tcW w:w="1360" w:type="dxa"/>
            <w:vAlign w:val="bottom"/>
            <w:gridSpan w:val="2"/>
            <w:vMerge w:val="continue"/>
            <w:shd w:val="clear" w:color="auto" w:fill="CCEEFF"/>
          </w:tcPr>
          <w:p>
            <w:pPr>
              <w:spacing w:after="0"/>
              <w:rPr>
                <w:sz w:val="4"/>
                <w:szCs w:val="4"/>
                <w:color w:val="auto"/>
              </w:rPr>
            </w:pPr>
          </w:p>
        </w:tc>
        <w:tc>
          <w:tcPr>
            <w:tcW w:w="1220" w:type="dxa"/>
            <w:vAlign w:val="bottom"/>
            <w:gridSpan w:val="2"/>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920" w:type="dxa"/>
            <w:vAlign w:val="bottom"/>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9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Equity</w:t>
            </w:r>
          </w:p>
        </w:tc>
        <w:tc>
          <w:tcPr>
            <w:tcW w:w="29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Common Stock, par value $0.0001 per</w:t>
            </w:r>
          </w:p>
        </w:tc>
        <w:tc>
          <w:tcPr>
            <w:tcW w:w="1000" w:type="dxa"/>
            <w:vAlign w:val="bottom"/>
            <w:gridSpan w:val="3"/>
          </w:tcPr>
          <w:p>
            <w:pPr>
              <w:jc w:val="center"/>
              <w:ind w:right="100"/>
              <w:spacing w:after="0" w:line="201" w:lineRule="exact"/>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tcPr>
          <w:p>
            <w:pPr>
              <w:ind w:left="1780"/>
              <w:spacing w:after="0" w:line="150" w:lineRule="exact"/>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right"/>
              <w:ind w:right="100"/>
              <w:spacing w:after="0" w:line="204" w:lineRule="exact"/>
              <w:rPr>
                <w:sz w:val="20"/>
                <w:szCs w:val="20"/>
                <w:color w:val="auto"/>
              </w:rPr>
            </w:pPr>
            <w:r>
              <w:rPr>
                <w:rFonts w:ascii="Times New Roman" w:cs="Times New Roman" w:eastAsia="Times New Roman" w:hAnsi="Times New Roman"/>
                <w:sz w:val="18"/>
                <w:szCs w:val="18"/>
                <w:color w:val="auto"/>
              </w:rPr>
              <w:t>7,625,000</w:t>
            </w:r>
          </w:p>
        </w:tc>
        <w:tc>
          <w:tcPr>
            <w:tcW w:w="220" w:type="dxa"/>
            <w:vAlign w:val="bottom"/>
            <w:gridSpan w:val="2"/>
            <w:vMerge w:val="restart"/>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spacing w:after="0" w:line="204" w:lineRule="exact"/>
              <w:rPr>
                <w:sz w:val="20"/>
                <w:szCs w:val="20"/>
                <w:color w:val="auto"/>
              </w:rPr>
            </w:pPr>
            <w:r>
              <w:rPr>
                <w:rFonts w:ascii="Times New Roman" w:cs="Times New Roman" w:eastAsia="Times New Roman" w:hAnsi="Times New Roman"/>
                <w:sz w:val="18"/>
                <w:szCs w:val="18"/>
                <w:color w:val="auto"/>
              </w:rPr>
              <w:t>11.50</w:t>
            </w:r>
          </w:p>
        </w:tc>
        <w:tc>
          <w:tcPr>
            <w:tcW w:w="280" w:type="dxa"/>
            <w:vAlign w:val="bottom"/>
          </w:tcPr>
          <w:p>
            <w:pPr>
              <w:spacing w:after="0"/>
              <w:rPr>
                <w:sz w:val="13"/>
                <w:szCs w:val="13"/>
                <w:color w:val="auto"/>
              </w:rPr>
            </w:pPr>
          </w:p>
        </w:tc>
        <w:tc>
          <w:tcPr>
            <w:tcW w:w="100" w:type="dxa"/>
            <w:vAlign w:val="bottom"/>
            <w:vMerge w:val="restart"/>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tcPr>
          <w:p>
            <w:pPr>
              <w:jc w:val="right"/>
              <w:ind w:right="220"/>
              <w:spacing w:after="0" w:line="204" w:lineRule="exact"/>
              <w:rPr>
                <w:sz w:val="20"/>
                <w:szCs w:val="20"/>
                <w:color w:val="auto"/>
              </w:rPr>
            </w:pPr>
            <w:r>
              <w:rPr>
                <w:rFonts w:ascii="Times New Roman" w:cs="Times New Roman" w:eastAsia="Times New Roman" w:hAnsi="Times New Roman"/>
                <w:sz w:val="18"/>
                <w:szCs w:val="18"/>
                <w:color w:val="auto"/>
              </w:rPr>
              <w:t>87,687,500.00</w:t>
            </w:r>
          </w:p>
        </w:tc>
        <w:tc>
          <w:tcPr>
            <w:tcW w:w="1220" w:type="dxa"/>
            <w:vAlign w:val="bottom"/>
            <w:gridSpan w:val="2"/>
            <w:vMerge w:val="restart"/>
          </w:tcPr>
          <w:p>
            <w:pPr>
              <w:jc w:val="center"/>
              <w:ind w:right="220"/>
              <w:spacing w:after="0" w:line="204" w:lineRule="exact"/>
              <w:rPr>
                <w:sz w:val="20"/>
                <w:szCs w:val="20"/>
                <w:color w:val="auto"/>
              </w:rPr>
            </w:pPr>
            <w:r>
              <w:rPr>
                <w:rFonts w:ascii="Times New Roman" w:cs="Times New Roman" w:eastAsia="Times New Roman" w:hAnsi="Times New Roman"/>
                <w:sz w:val="18"/>
                <w:szCs w:val="18"/>
                <w:color w:val="auto"/>
              </w:rPr>
              <w:t>$ 0.00011020</w:t>
            </w:r>
          </w:p>
        </w:tc>
        <w:tc>
          <w:tcPr>
            <w:tcW w:w="180" w:type="dxa"/>
            <w:vAlign w:val="bottom"/>
            <w:vMerge w:val="restart"/>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100"/>
              <w:spacing w:after="0" w:line="204" w:lineRule="exact"/>
              <w:rPr>
                <w:sz w:val="20"/>
                <w:szCs w:val="20"/>
                <w:color w:val="auto"/>
              </w:rPr>
            </w:pPr>
            <w:r>
              <w:rPr>
                <w:rFonts w:ascii="Times New Roman" w:cs="Times New Roman" w:eastAsia="Times New Roman" w:hAnsi="Times New Roman"/>
                <w:sz w:val="18"/>
                <w:szCs w:val="18"/>
                <w:color w:val="auto"/>
              </w:rPr>
              <w:t>9,664.00</w:t>
            </w: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8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share (Primary Offering)</w:t>
            </w: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280" w:type="dxa"/>
            <w:vAlign w:val="bottom"/>
            <w:vMerge w:val="restart"/>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9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Equity</w:t>
            </w:r>
          </w:p>
        </w:tc>
        <w:tc>
          <w:tcPr>
            <w:tcW w:w="29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Common Stock (Secondary Offering)</w:t>
            </w:r>
          </w:p>
        </w:tc>
        <w:tc>
          <w:tcPr>
            <w:tcW w:w="1000" w:type="dxa"/>
            <w:vAlign w:val="bottom"/>
            <w:gridSpan w:val="3"/>
            <w:shd w:val="clear" w:color="auto" w:fill="CCEEFF"/>
          </w:tcPr>
          <w:p>
            <w:pPr>
              <w:jc w:val="center"/>
              <w:ind w:right="100"/>
              <w:spacing w:after="0" w:line="201" w:lineRule="exact"/>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46,949,333</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100,471,572.62</w:t>
            </w:r>
          </w:p>
        </w:tc>
        <w:tc>
          <w:tcPr>
            <w:tcW w:w="122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$ 0.00011020</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11,072.00</w:t>
            </w:r>
          </w:p>
        </w:tc>
        <w:tc>
          <w:tcPr>
            <w:tcW w:w="0" w:type="dxa"/>
            <w:vAlign w:val="bottom"/>
          </w:tcPr>
          <w:p>
            <w:pPr>
              <w:spacing w:after="0"/>
              <w:rPr>
                <w:sz w:val="1"/>
                <w:szCs w:val="1"/>
                <w:color w:val="auto"/>
              </w:rPr>
            </w:pPr>
          </w:p>
        </w:tc>
      </w:tr>
      <w:tr>
        <w:trPr>
          <w:trHeight w:val="150"/>
        </w:trPr>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w w:val="91"/>
              </w:rPr>
              <w:t>(7)</w:t>
            </w:r>
          </w:p>
        </w:tc>
        <w:tc>
          <w:tcPr>
            <w:tcW w:w="100" w:type="dxa"/>
            <w:vAlign w:val="bottom"/>
            <w:vMerge w:val="continue"/>
            <w:shd w:val="clear" w:color="auto" w:fill="CCEEFF"/>
          </w:tcPr>
          <w:p>
            <w:pPr>
              <w:spacing w:after="0"/>
              <w:rPr>
                <w:sz w:val="13"/>
                <w:szCs w:val="13"/>
                <w:color w:val="auto"/>
              </w:rPr>
            </w:pPr>
          </w:p>
        </w:tc>
        <w:tc>
          <w:tcPr>
            <w:tcW w:w="1360" w:type="dxa"/>
            <w:vAlign w:val="bottom"/>
            <w:gridSpan w:val="2"/>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8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28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20" w:type="dxa"/>
            <w:vAlign w:val="bottom"/>
            <w:tcBorders>
              <w:bottom w:val="single" w:sz="8" w:color="CCEEFF"/>
            </w:tcBorders>
            <w:shd w:val="clear" w:color="auto" w:fill="CCEEFF"/>
          </w:tcPr>
          <w:p>
            <w:pPr>
              <w:spacing w:after="0"/>
              <w:rPr>
                <w:sz w:val="4"/>
                <w:szCs w:val="4"/>
                <w:color w:val="auto"/>
              </w:rPr>
            </w:pPr>
          </w:p>
        </w:tc>
        <w:tc>
          <w:tcPr>
            <w:tcW w:w="5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2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shd w:val="clear" w:color="auto" w:fill="CCEEFF"/>
          </w:tcPr>
          <w:p>
            <w:pPr>
              <w:spacing w:after="0"/>
              <w:rPr>
                <w:sz w:val="4"/>
                <w:szCs w:val="4"/>
                <w:color w:val="auto"/>
              </w:rPr>
            </w:pPr>
          </w:p>
        </w:tc>
        <w:tc>
          <w:tcPr>
            <w:tcW w:w="8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w:t>
            </w:r>
          </w:p>
        </w:tc>
        <w:tc>
          <w:tcPr>
            <w:tcW w:w="2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Warrants to purchase shares of</w:t>
            </w:r>
          </w:p>
        </w:tc>
        <w:tc>
          <w:tcPr>
            <w:tcW w:w="1000" w:type="dxa"/>
            <w:vAlign w:val="bottom"/>
            <w:gridSpan w:val="3"/>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(Secondary Offering)</w:t>
            </w: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7,625,000</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87,687,500.00</w:t>
            </w: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$ 0.00011020</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9,664.00</w:t>
            </w: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5"/>
                <w:szCs w:val="15"/>
                <w:color w:val="auto"/>
                <w:w w:val="91"/>
              </w:rPr>
              <w:t>(5)</w:t>
            </w:r>
          </w:p>
        </w:tc>
        <w:tc>
          <w:tcPr>
            <w:tcW w:w="100" w:type="dxa"/>
            <w:vAlign w:val="bottom"/>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38,204.00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Fee Offsets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Fee Due</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38,204.00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9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there are also being registered an indeterminable number of additional securities as may be issued to prevent dilution resulting from stock splits, stock dividends or similar transactions.</w:t>
      </w:r>
    </w:p>
    <w:p>
      <w:pPr>
        <w:ind w:left="340" w:hanging="332"/>
        <w:spacing w:after="0" w:line="250" w:lineRule="auto"/>
        <w:tabs>
          <w:tab w:leader="none" w:pos="4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issuance of up to 8,625,000 shares of common stock that may be issued upon the exercise of warrants originally sold as part of the units (the “public warrants”) in the Registrant’s initial public offering (the “IPO”).</w:t>
      </w:r>
    </w:p>
    <w:p>
      <w:pPr>
        <w:ind w:left="340" w:hanging="332"/>
        <w:spacing w:after="0" w:line="250" w:lineRule="auto"/>
        <w:tabs>
          <w:tab w:leader="none" w:pos="40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457(i) under the Securities Act. The price per share is based upon the exercise price per share with respect to the public warrants of $8.21 per share of Common Stock.</w:t>
      </w:r>
    </w:p>
    <w:p>
      <w:pPr>
        <w:ind w:left="340" w:hanging="332"/>
        <w:spacing w:after="0" w:line="250" w:lineRule="auto"/>
        <w:tabs>
          <w:tab w:leader="none" w:pos="38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issuance of up to 7,625,000 shares of common stock that may be issued upon the exercise of private placement warrants and financing warrants.</w:t>
      </w:r>
    </w:p>
    <w:p>
      <w:pPr>
        <w:ind w:left="340" w:hanging="332"/>
        <w:spacing w:after="0" w:line="250" w:lineRule="auto"/>
        <w:tabs>
          <w:tab w:leader="none" w:pos="40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in accordance with Rule 457(i) under the Securities Act. The price per share is based upon the exercise price per share with respect to the private placement warrants and financing warrants of $11.50 per share of Common Stock.</w:t>
      </w:r>
    </w:p>
    <w:p>
      <w:pPr>
        <w:jc w:val="both"/>
        <w:ind w:left="340" w:hanging="332"/>
        <w:spacing w:after="0" w:line="250" w:lineRule="auto"/>
        <w:tabs>
          <w:tab w:leader="none" w:pos="39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resale of (i) 46,924,333 shares of common stock, which includes (x) 4,312,500 founder shares, (y) 7,143,687 shares of common stock issued to certain institutional and accredited investors in connection with the consummation of the Business Combination and (z) 7,433,040 shares of common stock that may be issued from time to time to upon achievement of certain stock price thresholds.</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9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of the Securities Act, based upon the average of the high and low selling prices of the Common Stock on October 14, 2022, as reported on Nasdaq.</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2: Fee Offset Claims and Sources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3: Combined Prospectuses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55A5F5"/>
    <w:multiLevelType w:val="hybridMultilevel"/>
    <w:lvl w:ilvl="0">
      <w:lvlJc w:val="left"/>
      <w:lvlText w:val="•"/>
      <w:numFmt w:val="bullet"/>
      <w:start w:val="1"/>
    </w:lvl>
  </w:abstractNum>
  <w:abstractNum w:abstractNumId="1">
    <w:nsid w:val="5FB8370B"/>
    <w:multiLevelType w:val="hybridMultilevel"/>
    <w:lvl w:ilvl="0">
      <w:lvlJc w:val="left"/>
      <w:lvlText w:val="•"/>
      <w:numFmt w:val="bullet"/>
      <w:start w:val="1"/>
    </w:lvl>
  </w:abstractNum>
  <w:abstractNum w:abstractNumId="2">
    <w:nsid w:val="50801EE1"/>
    <w:multiLevelType w:val="hybridMultilevel"/>
    <w:lvl w:ilvl="0">
      <w:lvlJc w:val="left"/>
      <w:lvlText w:val="•"/>
      <w:numFmt w:val="bullet"/>
      <w:start w:val="1"/>
    </w:lvl>
  </w:abstractNum>
  <w:abstractNum w:abstractNumId="3">
    <w:nsid w:val="488AC1A"/>
    <w:multiLevelType w:val="hybridMultilevel"/>
    <w:lvl w:ilvl="0">
      <w:lvlJc w:val="left"/>
      <w:lvlText w:val="•"/>
      <w:numFmt w:val="bullet"/>
      <w:start w:val="1"/>
    </w:lvl>
  </w:abstractNum>
  <w:abstractNum w:abstractNumId="4">
    <w:nsid w:val="5FB8011C"/>
    <w:multiLevelType w:val="hybridMultilevel"/>
    <w:lvl w:ilvl="0">
      <w:lvlJc w:val="left"/>
      <w:lvlText w:val="•"/>
      <w:numFmt w:val="bullet"/>
      <w:start w:val="1"/>
    </w:lvl>
  </w:abstractNum>
  <w:abstractNum w:abstractNumId="5">
    <w:nsid w:val="6AA78F7F"/>
    <w:multiLevelType w:val="hybridMultilevel"/>
    <w:lvl w:ilvl="0">
      <w:lvlJc w:val="left"/>
      <w:lvlText w:val="•"/>
      <w:numFmt w:val="bullet"/>
      <w:start w:val="1"/>
    </w:lvl>
  </w:abstractNum>
  <w:abstractNum w:abstractNumId="6">
    <w:nsid w:val="7672BD23"/>
    <w:multiLevelType w:val="hybridMultilevel"/>
    <w:lvl w:ilvl="0">
      <w:lvlJc w:val="left"/>
      <w:lvlText w:val="•"/>
      <w:numFmt w:val="bullet"/>
      <w:start w:val="1"/>
    </w:lvl>
  </w:abstractNum>
  <w:abstractNum w:abstractNumId="7">
    <w:nsid w:val="6FC75AF8"/>
    <w:multiLevelType w:val="hybridMultilevel"/>
    <w:lvl w:ilvl="0">
      <w:lvlJc w:val="left"/>
      <w:lvlText w:val="•"/>
      <w:numFmt w:val="bullet"/>
      <w:start w:val="1"/>
    </w:lvl>
  </w:abstractNum>
  <w:abstractNum w:abstractNumId="8">
    <w:nsid w:val="6A5F7029"/>
    <w:multiLevelType w:val="hybridMultilevel"/>
    <w:lvl w:ilvl="0">
      <w:lvlJc w:val="left"/>
      <w:lvlText w:val="•"/>
      <w:numFmt w:val="bullet"/>
      <w:start w:val="1"/>
    </w:lvl>
  </w:abstractNum>
  <w:abstractNum w:abstractNumId="9">
    <w:nsid w:val="7D5E18F8"/>
    <w:multiLevelType w:val="hybridMultilevel"/>
    <w:lvl w:ilvl="0">
      <w:lvlJc w:val="left"/>
      <w:lvlText w:val="(%1)"/>
      <w:numFmt w:val="lowerLetter"/>
      <w:start w:val="1"/>
    </w:lvl>
  </w:abstractNum>
  <w:abstractNum w:abstractNumId="10">
    <w:nsid w:val="5F3534A4"/>
    <w:multiLevelType w:val="hybridMultilevel"/>
    <w:lvl w:ilvl="0">
      <w:lvlJc w:val="left"/>
      <w:lvlText w:val="•"/>
      <w:numFmt w:val="bullet"/>
      <w:start w:val="1"/>
    </w:lvl>
  </w:abstractNum>
  <w:abstractNum w:abstractNumId="11">
    <w:nsid w:val="73A1821B"/>
    <w:multiLevelType w:val="hybridMultilevel"/>
    <w:lvl w:ilvl="0">
      <w:lvlJc w:val="left"/>
      <w:lvlText w:val="•"/>
      <w:numFmt w:val="bullet"/>
      <w:start w:val="1"/>
    </w:lvl>
  </w:abstractNum>
  <w:abstractNum w:abstractNumId="12">
    <w:nsid w:val="7DE67713"/>
    <w:multiLevelType w:val="hybridMultilevel"/>
    <w:lvl w:ilvl="0">
      <w:lvlJc w:val="left"/>
      <w:lvlText w:val="•"/>
      <w:numFmt w:val="bullet"/>
      <w:start w:val="1"/>
    </w:lvl>
  </w:abstractNum>
  <w:abstractNum w:abstractNumId="13">
    <w:nsid w:val="555C55B5"/>
    <w:multiLevelType w:val="hybridMultilevel"/>
    <w:lvl w:ilvl="0">
      <w:lvlJc w:val="left"/>
      <w:lvlText w:val="•"/>
      <w:numFmt w:val="bullet"/>
      <w:start w:val="1"/>
    </w:lvl>
  </w:abstractNum>
  <w:abstractNum w:abstractNumId="14">
    <w:nsid w:val="3FA62ACA"/>
    <w:multiLevelType w:val="hybridMultilevel"/>
    <w:lvl w:ilvl="0">
      <w:lvlJc w:val="left"/>
      <w:lvlText w:val="•"/>
      <w:numFmt w:val="bullet"/>
      <w:start w:val="1"/>
    </w:lvl>
  </w:abstractNum>
  <w:abstractNum w:abstractNumId="15">
    <w:nsid w:val="14FCE74E"/>
    <w:multiLevelType w:val="hybridMultilevel"/>
    <w:lvl w:ilvl="0">
      <w:lvlJc w:val="left"/>
      <w:lvlText w:val="•"/>
      <w:numFmt w:val="bullet"/>
      <w:start w:val="1"/>
    </w:lvl>
  </w:abstractNum>
  <w:abstractNum w:abstractNumId="16">
    <w:nsid w:val="6A3DD3E8"/>
    <w:multiLevelType w:val="hybridMultilevel"/>
    <w:lvl w:ilvl="0">
      <w:lvlJc w:val="left"/>
      <w:lvlText w:val="•"/>
      <w:numFmt w:val="bullet"/>
      <w:start w:val="1"/>
    </w:lvl>
  </w:abstractNum>
  <w:abstractNum w:abstractNumId="17">
    <w:nsid w:val="71C91298"/>
    <w:multiLevelType w:val="hybridMultilevel"/>
    <w:lvl w:ilvl="0">
      <w:lvlJc w:val="left"/>
      <w:lvlText w:val="•"/>
      <w:numFmt w:val="bullet"/>
      <w:start w:val="1"/>
    </w:lvl>
  </w:abstractNum>
  <w:abstractNum w:abstractNumId="18">
    <w:nsid w:val="9DAF632"/>
    <w:multiLevelType w:val="hybridMultilevel"/>
    <w:lvl w:ilvl="0">
      <w:lvlJc w:val="left"/>
      <w:lvlText w:val="(%1)"/>
      <w:numFmt w:val="lowerRoman"/>
      <w:start w:val="2"/>
    </w:lvl>
  </w:abstractNum>
  <w:abstractNum w:abstractNumId="19">
    <w:nsid w:val="53299938"/>
    <w:multiLevelType w:val="hybridMultilevel"/>
    <w:lvl w:ilvl="0">
      <w:lvlJc w:val="left"/>
      <w:lvlText w:val="•"/>
      <w:numFmt w:val="bullet"/>
      <w:start w:val="1"/>
    </w:lvl>
  </w:abstractNum>
  <w:abstractNum w:abstractNumId="20">
    <w:nsid w:val="1FBFE8E0"/>
    <w:multiLevelType w:val="hybridMultilevel"/>
    <w:lvl w:ilvl="0">
      <w:lvlJc w:val="left"/>
      <w:lvlText w:val="•"/>
      <w:numFmt w:val="bullet"/>
      <w:start w:val="1"/>
    </w:lvl>
  </w:abstractNum>
  <w:abstractNum w:abstractNumId="21">
    <w:nsid w:val="5092CA79"/>
    <w:multiLevelType w:val="hybridMultilevel"/>
    <w:lvl w:ilvl="0">
      <w:lvlJc w:val="left"/>
      <w:lvlText w:val="•"/>
      <w:numFmt w:val="bullet"/>
      <w:start w:val="1"/>
    </w:lvl>
  </w:abstractNum>
  <w:abstractNum w:abstractNumId="22">
    <w:nsid w:val="1D545C4D"/>
    <w:multiLevelType w:val="hybridMultilevel"/>
    <w:lvl w:ilvl="0">
      <w:lvlJc w:val="left"/>
      <w:lvlText w:val="(%1)"/>
      <w:numFmt w:val="lowerRoman"/>
      <w:start w:val="3"/>
    </w:lvl>
  </w:abstractNum>
  <w:abstractNum w:abstractNumId="23">
    <w:nsid w:val="59ADEA3D"/>
    <w:multiLevelType w:val="hybridMultilevel"/>
    <w:lvl w:ilvl="0">
      <w:lvlJc w:val="left"/>
      <w:lvlText w:val="•"/>
      <w:numFmt w:val="bullet"/>
      <w:start w:val="1"/>
    </w:lvl>
  </w:abstractNum>
  <w:abstractNum w:abstractNumId="24">
    <w:nsid w:val="288F1A34"/>
    <w:multiLevelType w:val="hybridMultilevel"/>
    <w:lvl w:ilvl="0">
      <w:lvlJc w:val="left"/>
      <w:lvlText w:val="(%1)"/>
      <w:numFmt w:val="lowerRoman"/>
      <w:start w:val="4"/>
    </w:lvl>
  </w:abstractNum>
  <w:abstractNum w:abstractNumId="25">
    <w:nsid w:val="2A155DBC"/>
    <w:multiLevelType w:val="hybridMultilevel"/>
    <w:lvl w:ilvl="0">
      <w:lvlJc w:val="left"/>
      <w:lvlText w:val="•"/>
      <w:numFmt w:val="bullet"/>
      <w:start w:val="1"/>
    </w:lvl>
  </w:abstractNum>
  <w:abstractNum w:abstractNumId="26">
    <w:nsid w:val="1D9F6E5F"/>
    <w:multiLevelType w:val="hybridMultilevel"/>
    <w:lvl w:ilvl="0">
      <w:lvlJc w:val="left"/>
      <w:lvlText w:val="•"/>
      <w:numFmt w:val="bullet"/>
      <w:start w:val="1"/>
    </w:lvl>
  </w:abstractNum>
  <w:abstractNum w:abstractNumId="27">
    <w:nsid w:val="97E1B4E"/>
    <w:multiLevelType w:val="hybridMultilevel"/>
    <w:lvl w:ilvl="0">
      <w:lvlJc w:val="left"/>
      <w:lvlText w:val="•"/>
      <w:numFmt w:val="bullet"/>
      <w:start w:val="1"/>
    </w:lvl>
  </w:abstractNum>
  <w:abstractNum w:abstractNumId="28">
    <w:nsid w:val="51088277"/>
    <w:multiLevelType w:val="hybridMultilevel"/>
    <w:lvl w:ilvl="0">
      <w:lvlJc w:val="left"/>
      <w:lvlText w:val="•"/>
      <w:numFmt w:val="bullet"/>
      <w:start w:val="1"/>
    </w:lvl>
  </w:abstractNum>
  <w:abstractNum w:abstractNumId="29">
    <w:nsid w:val="1CA0C5FA"/>
    <w:multiLevelType w:val="hybridMultilevel"/>
    <w:lvl w:ilvl="0">
      <w:lvlJc w:val="left"/>
      <w:lvlText w:val="(%1)"/>
      <w:numFmt w:val="decimal"/>
      <w:start w:val="1"/>
    </w:lvl>
  </w:abstractNum>
  <w:abstractNum w:abstractNumId="30">
    <w:nsid w:val="53584BCB"/>
    <w:multiLevelType w:val="hybridMultilevel"/>
    <w:lvl w:ilvl="0">
      <w:lvlJc w:val="left"/>
      <w:lvlText w:val="•"/>
      <w:numFmt w:val="bullet"/>
      <w:start w:val="1"/>
    </w:lvl>
  </w:abstractNum>
  <w:abstractNum w:abstractNumId="31">
    <w:nsid w:val="415E286C"/>
    <w:multiLevelType w:val="hybridMultilevel"/>
    <w:lvl w:ilvl="0">
      <w:lvlJc w:val="left"/>
      <w:lvlText w:val="(%1)"/>
      <w:numFmt w:val="decimal"/>
      <w:start w:val="1"/>
    </w:lvl>
  </w:abstractNum>
  <w:abstractNum w:abstractNumId="32">
    <w:nsid w:val="7C58FD05"/>
    <w:multiLevelType w:val="hybridMultilevel"/>
    <w:lvl w:ilvl="0">
      <w:lvlJc w:val="left"/>
      <w:lvlText w:val="(%1)"/>
      <w:numFmt w:val="decimal"/>
      <w:start w:val="1"/>
    </w:lvl>
  </w:abstractNum>
  <w:abstractNum w:abstractNumId="33">
    <w:nsid w:val="23D86AAC"/>
    <w:multiLevelType w:val="hybridMultilevel"/>
    <w:lvl w:ilvl="0">
      <w:lvlJc w:val="left"/>
      <w:lvlText w:val="(%1)"/>
      <w:numFmt w:val="decimal"/>
      <w:start w:val="1"/>
    </w:lvl>
    <w:lvl w:ilvl="1">
      <w:lvlJc w:val="left"/>
      <w:lvlText w:val="%2."/>
      <w:numFmt w:val="lowerLetter"/>
      <w:start w:val="1"/>
    </w:lvl>
  </w:abstractNum>
  <w:abstractNum w:abstractNumId="34">
    <w:nsid w:val="45E6D486"/>
    <w:multiLevelType w:val="hybridMultilevel"/>
    <w:lvl w:ilvl="0">
      <w:lvlJc w:val="left"/>
      <w:lvlText w:val="(%1)"/>
      <w:numFmt w:val="decimal"/>
      <w:start w:val="5"/>
    </w:lvl>
    <w:lvl w:ilvl="1">
      <w:lvlJc w:val="left"/>
      <w:lvlText w:val="•"/>
      <w:numFmt w:val="bullet"/>
      <w:start w:val="1"/>
    </w:lvl>
  </w:abstractNum>
  <w:abstractNum w:abstractNumId="35">
    <w:nsid w:val="5C10FE21"/>
    <w:multiLevelType w:val="hybridMultilevel"/>
    <w:lvl w:ilvl="0">
      <w:lvlJc w:val="left"/>
      <w:lvlText w:val="(%1)"/>
      <w:numFmt w:val="decimal"/>
      <w:start w:val="6"/>
    </w:lvl>
  </w:abstractNum>
  <w:abstractNum w:abstractNumId="36">
    <w:nsid w:val="E7FFA2B"/>
    <w:multiLevelType w:val="hybridMultilevel"/>
    <w:lvl w:ilvl="0">
      <w:lvlJc w:val="left"/>
      <w:lvlText w:val="(%1)"/>
      <w:numFmt w:val="decimal"/>
      <w:start w:val="8"/>
    </w:lvl>
  </w:abstractNum>
  <w:abstractNum w:abstractNumId="37">
    <w:nsid w:val="3C5991AA"/>
    <w:multiLevelType w:val="hybridMultilevel"/>
    <w:lvl w:ilvl="0">
      <w:lvlJc w:val="left"/>
      <w:lvlText w:val="(%1)"/>
      <w:numFmt w:val="decimal"/>
      <w:start w:val="17"/>
    </w:lvl>
  </w:abstractNum>
  <w:abstractNum w:abstractNumId="38">
    <w:nsid w:val="4BD8591A"/>
    <w:multiLevelType w:val="hybridMultilevel"/>
    <w:lvl w:ilvl="0">
      <w:lvlJc w:val="left"/>
      <w:lvlText w:val="(%1)"/>
      <w:numFmt w:val="decimal"/>
      <w:start w:val="1"/>
    </w:lvl>
  </w:abstractNum>
  <w:abstractNum w:abstractNumId="39">
    <w:nsid w:val="78DF6A55"/>
    <w:multiLevelType w:val="hybridMultilevel"/>
    <w:lvl w:ilvl="0">
      <w:lvlJc w:val="left"/>
      <w:lvlText w:val="•"/>
      <w:numFmt w:val="bullet"/>
      <w:start w:val="1"/>
    </w:lvl>
  </w:abstractNum>
  <w:abstractNum w:abstractNumId="40">
    <w:nsid w:val="39B7AAA2"/>
    <w:multiLevelType w:val="hybridMultilevel"/>
    <w:lvl w:ilvl="0">
      <w:lvlJc w:val="left"/>
      <w:lvlText w:val="•"/>
      <w:numFmt w:val="bullet"/>
      <w:start w:val="1"/>
    </w:lvl>
  </w:abstractNum>
  <w:abstractNum w:abstractNumId="41">
    <w:nsid w:val="2B0D8DBE"/>
    <w:multiLevelType w:val="hybridMultilevel"/>
    <w:lvl w:ilvl="0">
      <w:lvlJc w:val="left"/>
      <w:lvlText w:val="•"/>
      <w:numFmt w:val="bullet"/>
      <w:start w:val="1"/>
    </w:lvl>
  </w:abstractNum>
  <w:abstractNum w:abstractNumId="42">
    <w:nsid w:val="6C80EC70"/>
    <w:multiLevelType w:val="hybridMultilevel"/>
    <w:lvl w:ilvl="0">
      <w:lvlJc w:val="left"/>
      <w:lvlText w:val="•"/>
      <w:numFmt w:val="bullet"/>
      <w:start w:val="1"/>
    </w:lvl>
  </w:abstractNum>
  <w:abstractNum w:abstractNumId="43">
    <w:nsid w:val="379E21B5"/>
    <w:multiLevelType w:val="hybridMultilevel"/>
    <w:lvl w:ilvl="0">
      <w:lvlJc w:val="left"/>
      <w:lvlText w:val="•"/>
      <w:numFmt w:val="bullet"/>
      <w:start w:val="1"/>
    </w:lvl>
  </w:abstractNum>
  <w:abstractNum w:abstractNumId="44">
    <w:nsid w:val="69E373"/>
    <w:multiLevelType w:val="hybridMultilevel"/>
    <w:lvl w:ilvl="0">
      <w:lvlJc w:val="left"/>
      <w:lvlText w:val="•"/>
      <w:numFmt w:val="bullet"/>
      <w:start w:val="1"/>
    </w:lvl>
  </w:abstractNum>
  <w:abstractNum w:abstractNumId="45">
    <w:nsid w:val="2C27173B"/>
    <w:multiLevelType w:val="hybridMultilevel"/>
    <w:lvl w:ilvl="0">
      <w:lvlJc w:val="left"/>
      <w:lvlText w:val="•"/>
      <w:numFmt w:val="bullet"/>
      <w:start w:val="1"/>
    </w:lvl>
  </w:abstractNum>
  <w:abstractNum w:abstractNumId="46">
    <w:nsid w:val="4C9B0904"/>
    <w:multiLevelType w:val="hybridMultilevel"/>
    <w:lvl w:ilvl="0">
      <w:lvlJc w:val="left"/>
      <w:lvlText w:val="•"/>
      <w:numFmt w:val="bullet"/>
      <w:start w:val="1"/>
    </w:lvl>
  </w:abstractNum>
  <w:abstractNum w:abstractNumId="47">
    <w:nsid w:val="6AA7B75C"/>
    <w:multiLevelType w:val="hybridMultilevel"/>
    <w:lvl w:ilvl="0">
      <w:lvlJc w:val="left"/>
      <w:lvlText w:val="•"/>
      <w:numFmt w:val="bullet"/>
      <w:start w:val="1"/>
    </w:lvl>
  </w:abstractNum>
  <w:abstractNum w:abstractNumId="48">
    <w:nsid w:val="1DF029D3"/>
    <w:multiLevelType w:val="hybridMultilevel"/>
    <w:lvl w:ilvl="0">
      <w:lvlJc w:val="left"/>
      <w:lvlText w:val="•"/>
      <w:numFmt w:val="bullet"/>
      <w:start w:val="1"/>
    </w:lvl>
  </w:abstractNum>
  <w:abstractNum w:abstractNumId="49">
    <w:nsid w:val="5675FF36"/>
    <w:multiLevelType w:val="hybridMultilevel"/>
    <w:lvl w:ilvl="0">
      <w:lvlJc w:val="left"/>
      <w:lvlText w:val="(%1)"/>
      <w:numFmt w:val="decimal"/>
      <w:start w:val="1"/>
    </w:lvl>
  </w:abstractNum>
  <w:abstractNum w:abstractNumId="50">
    <w:nsid w:val="3DD15094"/>
    <w:multiLevelType w:val="hybridMultilevel"/>
    <w:lvl w:ilvl="0">
      <w:lvlJc w:val="left"/>
      <w:lvlText w:val="(%1)"/>
      <w:numFmt w:val="decimal"/>
      <w:start w:val="1"/>
    </w:lvl>
  </w:abstractNum>
  <w:abstractNum w:abstractNumId="51">
    <w:nsid w:val="3DB012B3"/>
    <w:multiLevelType w:val="hybridMultilevel"/>
    <w:lvl w:ilvl="0">
      <w:lvlJc w:val="left"/>
      <w:lvlText w:val="%1"/>
      <w:numFmt w:val="upperLetter"/>
      <w:start w:val="68"/>
    </w:lvl>
  </w:abstractNum>
  <w:abstractNum w:abstractNumId="52">
    <w:nsid w:val="2708C9AF"/>
    <w:multiLevelType w:val="hybridMultilevel"/>
    <w:lvl w:ilvl="0">
      <w:lvlJc w:val="left"/>
      <w:lvlText w:val="(%1)"/>
      <w:numFmt w:val="lowerLetter"/>
      <w:start w:val="2"/>
    </w:lvl>
  </w:abstractNum>
  <w:abstractNum w:abstractNumId="53">
    <w:nsid w:val="5B25ACE2"/>
    <w:multiLevelType w:val="hybridMultilevel"/>
    <w:lvl w:ilvl="0">
      <w:lvlJc w:val="left"/>
      <w:lvlText w:val="(%1)"/>
      <w:numFmt w:val="lowerLetter"/>
      <w:start w:val="1"/>
    </w:lvl>
  </w:abstractNum>
  <w:abstractNum w:abstractNumId="54">
    <w:nsid w:val="175DFCF0"/>
    <w:multiLevelType w:val="hybridMultilevel"/>
    <w:lvl w:ilvl="0">
      <w:lvlJc w:val="left"/>
      <w:lvlText w:val="(%1)"/>
      <w:numFmt w:val="lowerLetter"/>
      <w:start w:val="1"/>
    </w:lvl>
  </w:abstractNum>
  <w:abstractNum w:abstractNumId="55">
    <w:nsid w:val="4F97E3E4"/>
    <w:multiLevelType w:val="hybridMultilevel"/>
    <w:lvl w:ilvl="0">
      <w:lvlJc w:val="left"/>
      <w:lvlText w:val="(%1)"/>
      <w:numFmt w:val="lowerLetter"/>
      <w:start w:val="1"/>
    </w:lvl>
  </w:abstractNum>
  <w:abstractNum w:abstractNumId="56">
    <w:nsid w:val="53B0A9E"/>
    <w:multiLevelType w:val="hybridMultilevel"/>
    <w:lvl w:ilvl="0">
      <w:lvlJc w:val="left"/>
      <w:lvlText w:val="(%1)"/>
      <w:numFmt w:val="lowerLetter"/>
      <w:start w:val="2"/>
    </w:lvl>
  </w:abstractNum>
  <w:abstractNum w:abstractNumId="57">
    <w:nsid w:val="34FD6B4F"/>
    <w:multiLevelType w:val="hybridMultilevel"/>
    <w:lvl w:ilvl="0">
      <w:lvlJc w:val="left"/>
      <w:lvlText w:val="(%1)"/>
      <w:numFmt w:val="lowerLetter"/>
      <w:start w:val="9"/>
    </w:lvl>
  </w:abstractNum>
  <w:abstractNum w:abstractNumId="58">
    <w:nsid w:val="5915FF32"/>
    <w:multiLevelType w:val="hybridMultilevel"/>
    <w:lvl w:ilvl="0">
      <w:lvlJc w:val="left"/>
      <w:lvlText w:val="(%1)"/>
      <w:numFmt w:val="lowerLetter"/>
      <w:start w:val="1"/>
    </w:lvl>
  </w:abstractNum>
  <w:abstractNum w:abstractNumId="59">
    <w:nsid w:val="56438D15"/>
    <w:multiLevelType w:val="hybridMultilevel"/>
    <w:lvl w:ilvl="0">
      <w:lvlJc w:val="left"/>
      <w:lvlText w:val="(%1)"/>
      <w:numFmt w:val="lowerLetter"/>
      <w:start w:val="2"/>
    </w:lvl>
  </w:abstractNum>
  <w:abstractNum w:abstractNumId="60">
    <w:nsid w:val="519E3149"/>
    <w:multiLevelType w:val="hybridMultilevel"/>
    <w:lvl w:ilvl="0">
      <w:lvlJc w:val="left"/>
      <w:lvlText w:val="(%1)"/>
      <w:numFmt w:val="lowerLetter"/>
      <w:start w:val="9"/>
    </w:lvl>
  </w:abstractNum>
  <w:abstractNum w:abstractNumId="61">
    <w:nsid w:val="2C6E4AFD"/>
    <w:multiLevelType w:val="hybridMultilevel"/>
    <w:lvl w:ilvl="0">
      <w:lvlJc w:val="left"/>
      <w:lvlText w:val="%1."/>
      <w:numFmt w:val="decimal"/>
      <w:start w:val="1"/>
    </w:lvl>
  </w:abstractNum>
  <w:abstractNum w:abstractNumId="62">
    <w:nsid w:val="17A1B582"/>
    <w:multiLevelType w:val="hybridMultilevel"/>
    <w:lvl w:ilvl="0">
      <w:lvlJc w:val="left"/>
      <w:lvlText w:val="%1."/>
      <w:numFmt w:val="decimal"/>
      <w:start w:val="3"/>
    </w:lvl>
  </w:abstractNum>
  <w:abstractNum w:abstractNumId="63">
    <w:nsid w:val="4DF72E4E"/>
    <w:multiLevelType w:val="hybridMultilevel"/>
    <w:lvl w:ilvl="0">
      <w:lvlJc w:val="left"/>
      <w:lvlText w:val="•"/>
      <w:numFmt w:val="bullet"/>
      <w:start w:val="1"/>
    </w:lvl>
  </w:abstractNum>
  <w:abstractNum w:abstractNumId="64">
    <w:nsid w:val="5046B5A9"/>
    <w:multiLevelType w:val="hybridMultilevel"/>
    <w:lvl w:ilvl="0">
      <w:lvlJc w:val="left"/>
      <w:lvlText w:val="•"/>
      <w:numFmt w:val="bullet"/>
      <w:start w:val="1"/>
    </w:lvl>
  </w:abstractNum>
  <w:abstractNum w:abstractNumId="65">
    <w:nsid w:val="5D888A08"/>
    <w:multiLevelType w:val="hybridMultilevel"/>
    <w:lvl w:ilvl="0">
      <w:lvlJc w:val="left"/>
      <w:lvlText w:val="(%1)"/>
      <w:numFmt w:val="decimal"/>
      <w:start w:val="1"/>
    </w:lvl>
  </w:abstractNum>
  <w:abstractNum w:abstractNumId="66">
    <w:nsid w:val="2A082C70"/>
    <w:multiLevelType w:val="hybridMultilevel"/>
    <w:lvl w:ilvl="0">
      <w:lvlJc w:val="left"/>
      <w:lvlText w:val="•"/>
      <w:numFmt w:val="bullet"/>
      <w:start w:val="1"/>
    </w:lvl>
  </w:abstractNum>
  <w:abstractNum w:abstractNumId="67">
    <w:nsid w:val="5EC6AFD4"/>
    <w:multiLevelType w:val="hybridMultilevel"/>
    <w:lvl w:ilvl="0">
      <w:lvlJc w:val="left"/>
      <w:lvlText w:val="•"/>
      <w:numFmt w:val="bullet"/>
      <w:start w:val="1"/>
    </w:lvl>
  </w:abstractNum>
  <w:abstractNum w:abstractNumId="68">
    <w:nsid w:val="19E21BB2"/>
    <w:multiLevelType w:val="hybridMultilevel"/>
    <w:lvl w:ilvl="0">
      <w:lvlJc w:val="left"/>
      <w:lvlText w:val="•"/>
      <w:numFmt w:val="bullet"/>
      <w:start w:val="1"/>
    </w:lvl>
  </w:abstractNum>
  <w:abstractNum w:abstractNumId="69">
    <w:nsid w:val="75E0858A"/>
    <w:multiLevelType w:val="hybridMultilevel"/>
    <w:lvl w:ilvl="0">
      <w:lvlJc w:val="left"/>
      <w:lvlText w:val="•"/>
      <w:numFmt w:val="bullet"/>
      <w:start w:val="1"/>
    </w:lvl>
  </w:abstractNum>
  <w:abstractNum w:abstractNumId="70">
    <w:nsid w:val="57A61A29"/>
    <w:multiLevelType w:val="hybridMultilevel"/>
    <w:lvl w:ilvl="0">
      <w:lvlJc w:val="left"/>
      <w:lvlText w:val="•"/>
      <w:numFmt w:val="bullet"/>
      <w:start w:val="1"/>
    </w:lvl>
  </w:abstractNum>
  <w:abstractNum w:abstractNumId="71">
    <w:nsid w:val="5399C654"/>
    <w:multiLevelType w:val="hybridMultilevel"/>
    <w:lvl w:ilvl="0">
      <w:lvlJc w:val="left"/>
      <w:lvlText w:val="•"/>
      <w:numFmt w:val="bullet"/>
      <w:start w:val="1"/>
    </w:lvl>
  </w:abstractNum>
  <w:abstractNum w:abstractNumId="72">
    <w:nsid w:val="20EE1348"/>
    <w:multiLevelType w:val="hybridMultilevel"/>
    <w:lvl w:ilvl="0">
      <w:lvlJc w:val="left"/>
      <w:lvlText w:val="(%1)"/>
      <w:numFmt w:val="decimal"/>
      <w:start w:val="1"/>
    </w:lvl>
  </w:abstractNum>
  <w:abstractNum w:abstractNumId="73">
    <w:nsid w:val="4427069A"/>
    <w:multiLevelType w:val="hybridMultilevel"/>
    <w:lvl w:ilvl="0">
      <w:lvlJc w:val="left"/>
      <w:lvlText w:val="(%1)"/>
      <w:numFmt w:val="decimal"/>
      <w:start w:val="1"/>
    </w:lvl>
  </w:abstractNum>
  <w:abstractNum w:abstractNumId="74">
    <w:nsid w:val="B37E80A"/>
    <w:multiLevelType w:val="hybridMultilevel"/>
    <w:lvl w:ilvl="0">
      <w:lvlJc w:val="left"/>
      <w:lvlText w:val="(%1)"/>
      <w:numFmt w:val="decimal"/>
      <w:start w:val="4"/>
    </w:lvl>
  </w:abstractNum>
  <w:abstractNum w:abstractNumId="75">
    <w:nsid w:val="2157F6BC"/>
    <w:multiLevelType w:val="hybridMultilevel"/>
    <w:lvl w:ilvl="0">
      <w:lvlJc w:val="left"/>
      <w:lvlText w:val="(%1)"/>
      <w:numFmt w:val="decimal"/>
      <w:start w:val="3"/>
    </w:lvl>
  </w:abstractNum>
  <w:abstractNum w:abstractNumId="76">
    <w:nsid w:val="704E1DD5"/>
    <w:multiLevelType w:val="hybridMultilevel"/>
    <w:lvl w:ilvl="0">
      <w:lvlJc w:val="left"/>
      <w:lvlText w:val="•"/>
      <w:numFmt w:val="bullet"/>
      <w:start w:val="1"/>
    </w:lvl>
  </w:abstractNum>
  <w:abstractNum w:abstractNumId="77">
    <w:nsid w:val="57D2F10E"/>
    <w:multiLevelType w:val="hybridMultilevel"/>
    <w:lvl w:ilvl="0">
      <w:lvlJc w:val="left"/>
      <w:lvlText w:val="*"/>
      <w:numFmt w:val="bullet"/>
      <w:start w:val="1"/>
    </w:lvl>
  </w:abstractNum>
  <w:abstractNum w:abstractNumId="78">
    <w:nsid w:val="BFFAE18"/>
    <w:multiLevelType w:val="hybridMultilevel"/>
    <w:lvl w:ilvl="0">
      <w:lvlJc w:val="left"/>
      <w:lvlText w:val="(%1)"/>
      <w:numFmt w:val="decimal"/>
      <w:start w:val="1"/>
    </w:lvl>
  </w:abstractNum>
  <w:abstractNum w:abstractNumId="79">
    <w:nsid w:val="E3E47A8"/>
    <w:multiLevelType w:val="hybridMultilevel"/>
    <w:lvl w:ilvl="0">
      <w:lvlJc w:val="left"/>
      <w:lvlText w:val="(%1)"/>
      <w:numFmt w:val="decimal"/>
      <w:start w:val="3"/>
    </w:lvl>
  </w:abstractNum>
  <w:abstractNum w:abstractNumId="80">
    <w:nsid w:val="2E48F044"/>
    <w:multiLevelType w:val="hybridMultilevel"/>
    <w:lvl w:ilvl="0">
      <w:lvlJc w:val="left"/>
      <w:lvlText w:val="(%1)"/>
      <w:numFmt w:val="lowerRoman"/>
      <w:start w:val="3"/>
    </w:lvl>
  </w:abstractNum>
  <w:abstractNum w:abstractNumId="81">
    <w:nsid w:val="49D0FEAC"/>
    <w:multiLevelType w:val="hybridMultilevel"/>
    <w:lvl w:ilvl="0">
      <w:lvlJc w:val="left"/>
      <w:lvlText w:val="*"/>
      <w:numFmt w:val="bullet"/>
      <w:start w:val="1"/>
    </w:lvl>
  </w:abstractNum>
  <w:abstractNum w:abstractNumId="82">
    <w:nsid w:val="4BEE5A5B"/>
    <w:multiLevelType w:val="hybridMultilevel"/>
    <w:lvl w:ilvl="0">
      <w:lvlJc w:val="left"/>
      <w:lvlText w:val="(%1)"/>
      <w:numFmt w:val="decimal"/>
      <w:start w:val="1"/>
    </w:lvl>
  </w:abstractNum>
  <w:abstractNum w:abstractNumId="83">
    <w:nsid w:val="5551B9F3"/>
    <w:multiLevelType w:val="hybridMultilevel"/>
    <w:lvl w:ilvl="0">
      <w:lvlJc w:val="left"/>
      <w:lvlText w:val="(%1)"/>
      <w:numFmt w:val="decimal"/>
      <w:start w:val="10"/>
    </w:lvl>
  </w:abstractNum>
  <w:abstractNum w:abstractNumId="84">
    <w:nsid w:val="24F6AB8E"/>
    <w:multiLevelType w:val="hybridMultilevel"/>
    <w:lvl w:ilvl="0">
      <w:lvlJc w:val="left"/>
      <w:lvlText w:val="•"/>
      <w:numFmt w:val="bullet"/>
      <w:start w:val="1"/>
    </w:lvl>
  </w:abstractNum>
  <w:abstractNum w:abstractNumId="85">
    <w:nsid w:val="634C574C"/>
    <w:multiLevelType w:val="hybridMultilevel"/>
    <w:lvl w:ilvl="0">
      <w:lvlJc w:val="left"/>
      <w:lvlText w:val="•"/>
      <w:numFmt w:val="bullet"/>
      <w:start w:val="1"/>
    </w:lvl>
  </w:abstractNum>
  <w:abstractNum w:abstractNumId="86">
    <w:nsid w:val="24E99DD7"/>
    <w:multiLevelType w:val="hybridMultilevel"/>
    <w:lvl w:ilvl="0">
      <w:lvlJc w:val="left"/>
      <w:lvlText w:val="•"/>
      <w:numFmt w:val="bullet"/>
      <w:start w:val="1"/>
    </w:lvl>
  </w:abstractNum>
  <w:abstractNum w:abstractNumId="87">
    <w:nsid w:val="2A31B62D"/>
    <w:multiLevelType w:val="hybridMultilevel"/>
    <w:lvl w:ilvl="0">
      <w:lvlJc w:val="left"/>
      <w:lvlText w:val="•"/>
      <w:numFmt w:val="bullet"/>
      <w:start w:val="1"/>
    </w:lvl>
  </w:abstractNum>
  <w:abstractNum w:abstractNumId="88">
    <w:nsid w:val="1849C29B"/>
    <w:multiLevelType w:val="hybridMultilevel"/>
    <w:lvl w:ilvl="0">
      <w:lvlJc w:val="left"/>
      <w:lvlText w:val="•"/>
      <w:numFmt w:val="bullet"/>
      <w:start w:val="1"/>
    </w:lvl>
  </w:abstractNum>
  <w:abstractNum w:abstractNumId="89">
    <w:nsid w:val="7DFF9D09"/>
    <w:multiLevelType w:val="hybridMultilevel"/>
    <w:lvl w:ilvl="0">
      <w:lvlJc w:val="left"/>
      <w:lvlText w:val="•"/>
      <w:numFmt w:val="bullet"/>
      <w:start w:val="1"/>
    </w:lvl>
  </w:abstractNum>
  <w:abstractNum w:abstractNumId="90">
    <w:nsid w:val="754342"/>
    <w:multiLevelType w:val="hybridMultilevel"/>
    <w:lvl w:ilvl="0">
      <w:lvlJc w:val="left"/>
      <w:lvlText w:val="(%1)"/>
      <w:numFmt w:val="decimal"/>
      <w:start w:val="2"/>
    </w:lvl>
  </w:abstractNum>
  <w:abstractNum w:abstractNumId="91">
    <w:nsid w:val="69E7F3E5"/>
    <w:multiLevelType w:val="hybridMultilevel"/>
    <w:lvl w:ilvl="0">
      <w:lvlJc w:val="left"/>
      <w:lvlText w:val="(%1)"/>
      <w:numFmt w:val="decimal"/>
      <w:start w:val="2"/>
    </w:lvl>
    <w:lvl w:ilvl="1">
      <w:lvlJc w:val="left"/>
      <w:lvlText w:val="•"/>
      <w:numFmt w:val="bullet"/>
      <w:start w:val="1"/>
    </w:lvl>
  </w:abstractNum>
  <w:abstractNum w:abstractNumId="92">
    <w:nsid w:val="2A6DE806"/>
    <w:multiLevelType w:val="hybridMultilevel"/>
    <w:lvl w:ilvl="0">
      <w:lvlJc w:val="left"/>
      <w:lvlText w:val="•"/>
      <w:numFmt w:val="bullet"/>
      <w:start w:val="1"/>
    </w:lvl>
  </w:abstractNum>
  <w:abstractNum w:abstractNumId="93">
    <w:nsid w:val="1816F8C4"/>
    <w:multiLevelType w:val="hybridMultilevel"/>
    <w:lvl w:ilvl="0">
      <w:lvlJc w:val="left"/>
      <w:lvlText w:val="•"/>
      <w:numFmt w:val="bullet"/>
      <w:start w:val="1"/>
    </w:lvl>
  </w:abstractNum>
  <w:abstractNum w:abstractNumId="94">
    <w:nsid w:val="37DF2233"/>
    <w:multiLevelType w:val="hybridMultilevel"/>
    <w:lvl w:ilvl="0">
      <w:lvlJc w:val="left"/>
      <w:lvlText w:val="*"/>
      <w:numFmt w:val="bullet"/>
      <w:start w:val="1"/>
    </w:lvl>
  </w:abstractNum>
  <w:abstractNum w:abstractNumId="95">
    <w:nsid w:val="7AB49DAF"/>
    <w:multiLevelType w:val="hybridMultilevel"/>
    <w:lvl w:ilvl="0">
      <w:lvlJc w:val="left"/>
      <w:lvlText w:val="•"/>
      <w:numFmt w:val="bullet"/>
      <w:start w:val="1"/>
    </w:lvl>
  </w:abstractNum>
  <w:abstractNum w:abstractNumId="96">
    <w:nsid w:val="759F82CD"/>
    <w:multiLevelType w:val="hybridMultilevel"/>
    <w:lvl w:ilvl="0">
      <w:lvlJc w:val="left"/>
      <w:lvlText w:val="%1."/>
      <w:numFmt w:val="decimal"/>
      <w:start w:val="1"/>
    </w:lvl>
  </w:abstractNum>
  <w:abstractNum w:abstractNumId="97">
    <w:nsid w:val="61E74EA3"/>
    <w:multiLevelType w:val="hybridMultilevel"/>
    <w:lvl w:ilvl="0">
      <w:lvlJc w:val="left"/>
      <w:lvlText w:val="%1."/>
      <w:numFmt w:val="decimal"/>
      <w:start w:val="3"/>
    </w:lvl>
  </w:abstractNum>
  <w:abstractNum w:abstractNumId="98">
    <w:nsid w:val="597B4D84"/>
    <w:multiLevelType w:val="hybridMultilevel"/>
    <w:lvl w:ilvl="0">
      <w:lvlJc w:val="left"/>
      <w:lvlText w:val="(%1)"/>
      <w:numFmt w:val="lowerRoman"/>
      <w:start w:val="1"/>
    </w:lvl>
  </w:abstractNum>
  <w:abstractNum w:abstractNumId="99">
    <w:nsid w:val="F819E7F"/>
    <w:multiLevelType w:val="hybridMultilevel"/>
    <w:lvl w:ilvl="0">
      <w:lvlJc w:val="left"/>
      <w:lvlText w:val="(%1)"/>
      <w:numFmt w:val="lowerLetter"/>
      <w:start w:val="1"/>
    </w:lvl>
  </w:abstractNum>
  <w:abstractNum w:abstractNumId="100">
    <w:nsid w:val="57C7D42D"/>
    <w:multiLevelType w:val="hybridMultilevel"/>
    <w:lvl w:ilvl="0">
      <w:lvlJc w:val="left"/>
      <w:lvlText w:val="(%1)"/>
      <w:numFmt w:val="lowerLetter"/>
      <w:start w:val="2"/>
    </w:lvl>
  </w:abstractNum>
  <w:abstractNum w:abstractNumId="101">
    <w:nsid w:val="312167AD"/>
    <w:multiLevelType w:val="hybridMultilevel"/>
    <w:lvl w:ilvl="0">
      <w:lvlJc w:val="left"/>
      <w:lvlText w:val="(%1)"/>
      <w:numFmt w:val="lowerRoman"/>
      <w:start w:val="2"/>
    </w:lvl>
  </w:abstractNum>
  <w:abstractNum w:abstractNumId="102">
    <w:nsid w:val="631B64D4"/>
    <w:multiLevelType w:val="hybridMultilevel"/>
    <w:lvl w:ilvl="0">
      <w:lvlJc w:val="left"/>
      <w:lvlText w:val="(%1)"/>
      <w:numFmt w:val="lowerRoman"/>
      <w:start w:val="2"/>
    </w:lvl>
  </w:abstractNum>
  <w:abstractNum w:abstractNumId="103">
    <w:nsid w:val="78B5E776"/>
    <w:multiLevelType w:val="hybridMultilevel"/>
    <w:lvl w:ilvl="0">
      <w:lvlJc w:val="left"/>
      <w:lvlText w:val="(%1)"/>
      <w:numFmt w:val="lowerLetter"/>
      <w:start w:val="1"/>
    </w:lvl>
  </w:abstractNum>
  <w:abstractNum w:abstractNumId="104">
    <w:nsid w:val="75486E47"/>
    <w:multiLevelType w:val="hybridMultilevel"/>
    <w:lvl w:ilvl="0">
      <w:lvlJc w:val="left"/>
      <w:lvlText w:val="(%1)"/>
      <w:numFmt w:val="lowerLetter"/>
      <w:start w:val="1"/>
    </w:lvl>
  </w:abstractNum>
  <w:abstractNum w:abstractNumId="105">
    <w:nsid w:val="6E534CDE"/>
    <w:multiLevelType w:val="hybridMultilevel"/>
    <w:lvl w:ilvl="0">
      <w:lvlJc w:val="left"/>
      <w:lvlText w:val="(%1)"/>
      <w:numFmt w:val="lowerLetter"/>
      <w:start w:val="1"/>
    </w:lvl>
  </w:abstractNum>
  <w:abstractNum w:abstractNumId="106">
    <w:nsid w:val="1A0DDE32"/>
    <w:multiLevelType w:val="hybridMultilevel"/>
    <w:lvl w:ilvl="0">
      <w:lvlJc w:val="left"/>
      <w:lvlText w:val="%1"/>
      <w:numFmt w:val="upperLetter"/>
      <w:start w:val="68"/>
    </w:lvl>
  </w:abstractNum>
  <w:abstractNum w:abstractNumId="107">
    <w:nsid w:val="65968C1C"/>
    <w:multiLevelType w:val="hybridMultilevel"/>
    <w:lvl w:ilvl="0">
      <w:lvlJc w:val="left"/>
      <w:lvlText w:val="%1."/>
      <w:numFmt w:val="decimal"/>
      <w:start w:val="10"/>
    </w:lvl>
  </w:abstractNum>
  <w:abstractNum w:abstractNumId="108">
    <w:nsid w:val="46263DEC"/>
    <w:multiLevelType w:val="hybridMultilevel"/>
    <w:lvl w:ilvl="0">
      <w:lvlJc w:val="left"/>
      <w:lvlText w:val="(%1)"/>
      <w:numFmt w:val="lowerLetter"/>
      <w:start w:val="1"/>
    </w:lvl>
  </w:abstractNum>
  <w:abstractNum w:abstractNumId="109">
    <w:nsid w:val="260D8C4A"/>
    <w:multiLevelType w:val="hybridMultilevel"/>
    <w:lvl w:ilvl="0">
      <w:lvlJc w:val="left"/>
      <w:lvlText w:val="(%1)"/>
      <w:numFmt w:val="decimal"/>
      <w:start w:val="1"/>
    </w:lvl>
  </w:abstractNum>
  <w:abstractNum w:abstractNumId="110">
    <w:nsid w:val="73D4D3C4"/>
    <w:multiLevelType w:val="hybridMultilevel"/>
    <w:lvl w:ilvl="0">
      <w:lvlJc w:val="left"/>
      <w:lvlText w:val="[%1]"/>
      <w:numFmt w:val="upperLetter"/>
      <w:start w:val="1"/>
    </w:lvl>
  </w:abstractNum>
  <w:abstractNum w:abstractNumId="111">
    <w:nsid w:val="746F2E30"/>
    <w:multiLevelType w:val="hybridMultilevel"/>
    <w:lvl w:ilvl="0">
      <w:lvlJc w:val="left"/>
      <w:lvlText w:val="[%1]"/>
      <w:numFmt w:val="upperLetter"/>
      <w:start w:val="3"/>
    </w:lvl>
  </w:abstractNum>
  <w:abstractNum w:abstractNumId="112">
    <w:nsid w:val="6FDE8AF6"/>
    <w:multiLevelType w:val="hybridMultilevel"/>
    <w:lvl w:ilvl="0">
      <w:lvlJc w:val="left"/>
      <w:lvlText w:val="•"/>
      <w:numFmt w:val="bullet"/>
      <w:start w:val="1"/>
    </w:lvl>
  </w:abstractNum>
  <w:abstractNum w:abstractNumId="113">
    <w:nsid w:val="3FC32E20"/>
    <w:multiLevelType w:val="hybridMultilevel"/>
    <w:lvl w:ilvl="0">
      <w:lvlJc w:val="left"/>
      <w:lvlText w:val="%1."/>
      <w:numFmt w:val="decimal"/>
      <w:start w:val="12"/>
    </w:lvl>
    <w:lvl w:ilvl="1">
      <w:lvlJc w:val="left"/>
      <w:lvlText w:val="•"/>
      <w:numFmt w:val="bullet"/>
      <w:start w:val="1"/>
    </w:lvl>
  </w:abstractNum>
  <w:abstractNum w:abstractNumId="114">
    <w:nsid w:val="49C0E823"/>
    <w:multiLevelType w:val="hybridMultilevel"/>
    <w:lvl w:ilvl="0">
      <w:lvlJc w:val="left"/>
      <w:lvlText w:val="(%1)"/>
      <w:numFmt w:val="lowerRoman"/>
      <w:start w:val="1"/>
    </w:lvl>
  </w:abstractNum>
  <w:abstractNum w:abstractNumId="115">
    <w:nsid w:val="14D53685"/>
    <w:multiLevelType w:val="hybridMultilevel"/>
    <w:lvl w:ilvl="0">
      <w:lvlJc w:val="left"/>
      <w:lvlText w:val="•"/>
      <w:numFmt w:val="bullet"/>
      <w:start w:val="1"/>
    </w:lvl>
  </w:abstractNum>
  <w:abstractNum w:abstractNumId="116">
    <w:nsid w:val="230F856C"/>
    <w:multiLevelType w:val="hybridMultilevel"/>
    <w:lvl w:ilvl="0">
      <w:lvlJc w:val="left"/>
      <w:lvlText w:val="(%1)"/>
      <w:numFmt w:val="lowerLetter"/>
      <w:start w:val="1"/>
    </w:lvl>
    <w:lvl w:ilvl="1">
      <w:lvlJc w:val="left"/>
      <w:lvlText w:val="(%2)"/>
      <w:numFmt w:val="lowerLetter"/>
      <w:start w:val="2"/>
    </w:lvl>
  </w:abstractNum>
  <w:abstractNum w:abstractNumId="117">
    <w:nsid w:val="6EAA85FB"/>
    <w:multiLevelType w:val="hybridMultilevel"/>
    <w:lvl w:ilvl="0">
      <w:lvlJc w:val="left"/>
      <w:lvlText w:val="(%1)"/>
      <w:numFmt w:val="lowerLetter"/>
      <w:start w:val="4"/>
    </w:lvl>
    <w:lvl w:ilvl="1">
      <w:lvlJc w:val="left"/>
      <w:lvlText w:val="(%2)"/>
      <w:numFmt w:val="lowerLetter"/>
      <w:start w:val="1"/>
    </w:lvl>
  </w:abstractNum>
  <w:abstractNum w:abstractNumId="118">
    <w:nsid w:val="3F06ECB2"/>
    <w:multiLevelType w:val="hybridMultilevel"/>
    <w:lvl w:ilvl="0">
      <w:lvlJc w:val="left"/>
      <w:lvlText w:val="(%1)"/>
      <w:numFmt w:val="lowerLetter"/>
      <w:start w:val="10"/>
    </w:lvl>
  </w:abstractNum>
  <w:abstractNum w:abstractNumId="119">
    <w:nsid w:val="3B594807"/>
    <w:multiLevelType w:val="hybridMultilevel"/>
    <w:lvl w:ilvl="0">
      <w:lvlJc w:val="left"/>
      <w:lvlText w:val="•"/>
      <w:numFmt w:val="bullet"/>
      <w:start w:val="1"/>
    </w:lvl>
  </w:abstractNum>
  <w:abstractNum w:abstractNumId="120">
    <w:nsid w:val="6CAA2304"/>
    <w:multiLevelType w:val="hybridMultilevel"/>
    <w:lvl w:ilvl="0">
      <w:lvlJc w:val="left"/>
      <w:lvlText w:val="•"/>
      <w:numFmt w:val="bullet"/>
      <w:start w:val="1"/>
    </w:lvl>
  </w:abstractNum>
  <w:abstractNum w:abstractNumId="121">
    <w:nsid w:val="3F7C2FF4"/>
    <w:multiLevelType w:val="hybridMultilevel"/>
    <w:lvl w:ilvl="0">
      <w:lvlJc w:val="left"/>
      <w:lvlText w:val="*"/>
      <w:numFmt w:val="bullet"/>
      <w:start w:val="1"/>
    </w:lvl>
  </w:abstractNum>
  <w:abstractNum w:abstractNumId="122">
    <w:nsid w:val="25413BEC"/>
    <w:multiLevelType w:val="hybridMultilevel"/>
    <w:lvl w:ilvl="0">
      <w:lvlJc w:val="left"/>
      <w:lvlText w:val="†"/>
      <w:numFmt w:val="bullet"/>
      <w:start w:val="1"/>
    </w:lvl>
  </w:abstractNum>
  <w:abstractNum w:abstractNumId="123">
    <w:nsid w:val="17180B0B"/>
    <w:multiLevelType w:val="hybridMultilevel"/>
    <w:lvl w:ilvl="0">
      <w:lvlJc w:val="left"/>
      <w:lvlText w:val="+"/>
      <w:numFmt w:val="bullet"/>
      <w:start w:val="1"/>
    </w:lvl>
  </w:abstractNum>
  <w:abstractNum w:abstractNumId="124">
    <w:nsid w:val="579328B9"/>
    <w:multiLevelType w:val="hybridMultilevel"/>
    <w:lvl w:ilvl="0">
      <w:lvlJc w:val="left"/>
      <w:lvlText w:val="^"/>
      <w:numFmt w:val="bullet"/>
      <w:start w:val="1"/>
    </w:lvl>
  </w:abstractNum>
  <w:abstractNum w:abstractNumId="125">
    <w:nsid w:val="5D205E20"/>
    <w:multiLevelType w:val="hybridMultilevel"/>
    <w:lvl w:ilvl="0">
      <w:lvlJc w:val="left"/>
      <w:lvlText w:val="(%1)"/>
      <w:numFmt w:val="decimal"/>
      <w:start w:val="1"/>
    </w:lvl>
  </w:abstractNum>
  <w:abstractNum w:abstractNumId="126">
    <w:nsid w:val="11CCA8BA"/>
    <w:multiLevelType w:val="hybridMultilevel"/>
    <w:lvl w:ilvl="0">
      <w:lvlJc w:val="left"/>
      <w:lvlText w:val="(%1)"/>
      <w:numFmt w:val="decimal"/>
      <w:start w:val="3"/>
    </w:lvl>
  </w:abstractNum>
  <w:abstractNum w:abstractNumId="127">
    <w:nsid w:val="4D32AB86"/>
    <w:multiLevelType w:val="hybridMultilevel"/>
    <w:lvl w:ilvl="0">
      <w:lvlJc w:val="left"/>
      <w:lvlText w:val="(%1)"/>
      <w:numFmt w:val="decimal"/>
      <w:start w:val="5"/>
    </w:lvl>
    <w:lvl w:ilvl="1">
      <w:lvlJc w:val="left"/>
      <w:lvlText w:val="(%2)"/>
      <w:numFmt w:val="lowerLetter"/>
      <w:start w:val="1"/>
    </w:lvl>
  </w:abstractNum>
  <w:abstractNum w:abstractNumId="128">
    <w:nsid w:val="3F07ACC3"/>
    <w:multiLevelType w:val="hybridMultilevel"/>
    <w:lvl w:ilvl="0">
      <w:lvlJc w:val="left"/>
      <w:lvlText w:val="(%1)"/>
      <w:numFmt w:val="lowerLetter"/>
      <w:start w:val="1"/>
    </w:lvl>
  </w:abstractNum>
  <w:abstractNum w:abstractNumId="129">
    <w:nsid w:val="6B47F63E"/>
    <w:multiLevelType w:val="hybridMultilevel"/>
    <w:lvl w:ilvl="0">
      <w:lvlJc w:val="left"/>
      <w:lvlText w:val="(%1)"/>
      <w:numFmt w:val="lowerLetter"/>
      <w:start w:val="1"/>
    </w:lvl>
  </w:abstractNum>
  <w:abstractNum w:abstractNumId="130">
    <w:nsid w:val="5CB44A05"/>
    <w:multiLevelType w:val="hybridMultilevel"/>
    <w:lvl w:ilvl="0">
      <w:lvlJc w:val="left"/>
      <w:lvlText w:val="(%1)"/>
      <w:numFmt w:val="lowerLetter"/>
      <w:start w:val="3"/>
    </w:lvl>
  </w:abstractNum>
  <w:abstractNum w:abstractNumId="131">
    <w:nsid w:val="16CF80F1"/>
    <w:multiLevelType w:val="hybridMultilevel"/>
    <w:lvl w:ilvl="0">
      <w:lvlJc w:val="left"/>
      <w:lvlText w:val="%1."/>
      <w:numFmt w:val="decimal"/>
      <w:start w:val="1"/>
    </w:lvl>
  </w:abstractNum>
  <w:abstractNum w:abstractNumId="132">
    <w:nsid w:val="1C695DEC"/>
    <w:multiLevelType w:val="hybridMultilevel"/>
    <w:lvl w:ilvl="0">
      <w:lvlJc w:val="left"/>
      <w:lvlText w:val="%1."/>
      <w:numFmt w:val="decimal"/>
      <w:start w:val="3"/>
    </w:lvl>
  </w:abstractNum>
  <w:abstractNum w:abstractNumId="133">
    <w:nsid w:val="3FCFAED9"/>
    <w:multiLevelType w:val="hybridMultilevel"/>
    <w:lvl w:ilvl="0">
      <w:lvlJc w:val="left"/>
      <w:lvlText w:val="%1."/>
      <w:numFmt w:val="decimal"/>
      <w:start w:val="1"/>
    </w:lvl>
  </w:abstractNum>
  <w:abstractNum w:abstractNumId="134">
    <w:nsid w:val="F856867"/>
    <w:multiLevelType w:val="hybridMultilevel"/>
    <w:lvl w:ilvl="0">
      <w:lvlJc w:val="left"/>
      <w:lvlText w:val="%1."/>
      <w:numFmt w:val="decimal"/>
      <w:start w:val="2"/>
    </w:lvl>
  </w:abstractNum>
  <w:abstractNum w:abstractNumId="135">
    <w:nsid w:val="11B1CC33"/>
    <w:multiLevelType w:val="hybridMultilevel"/>
    <w:lvl w:ilvl="0">
      <w:lvlJc w:val="left"/>
      <w:lvlText w:val="%1."/>
      <w:numFmt w:val="decimal"/>
      <w:start w:val="3"/>
    </w:lvl>
    <w:lvl w:ilvl="1">
      <w:lvlJc w:val="left"/>
      <w:lvlText w:val="(%2)"/>
      <w:numFmt w:val="lowerLetter"/>
      <w:start w:val="1"/>
    </w:lvl>
  </w:abstractNum>
  <w:abstractNum w:abstractNumId="136">
    <w:nsid w:val="2E22FBB7"/>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37">
    <w:nsid w:val="29934699"/>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38">
    <w:nsid w:val="77485850"/>
    <w:multiLevelType w:val="hybridMultilevel"/>
    <w:lvl w:ilvl="0">
      <w:lvlJc w:val="left"/>
      <w:lvlText w:val="(%1)"/>
      <w:numFmt w:val="lowerLetter"/>
      <w:start w:val="3"/>
    </w:lvl>
    <w:lvl w:ilvl="1">
      <w:lvlJc w:val="left"/>
      <w:lvlText w:val="(%2)"/>
      <w:numFmt w:val="decimal"/>
      <w:start w:val="1"/>
    </w:lvl>
    <w:lvl w:ilvl="2">
      <w:lvlJc w:val="left"/>
      <w:lvlText w:val="-"/>
      <w:numFmt w:val="bullet"/>
      <w:start w:val="1"/>
    </w:lvl>
  </w:abstractNum>
  <w:abstractNum w:abstractNumId="139">
    <w:nsid w:val="744939A3"/>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40">
    <w:nsid w:val="4FA0D2E3"/>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141">
    <w:nsid w:val="6B1D2C14"/>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lvl w:ilvl="3">
      <w:lvlJc w:val="left"/>
      <w:lvlText w:val="-"/>
      <w:numFmt w:val="bullet"/>
      <w:start w:val="1"/>
    </w:lvl>
  </w:abstractNum>
  <w:abstractNum w:abstractNumId="142">
    <w:nsid w:val="68B867D3"/>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143">
    <w:nsid w:val="3F7F5DD9"/>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144">
    <w:nsid w:val="2AE05A34"/>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145">
    <w:nsid w:val="32794FF7"/>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46">
    <w:nsid w:val="5454945E"/>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147">
    <w:nsid w:val="4DEFDFA0"/>
    <w:multiLevelType w:val="hybridMultilevel"/>
    <w:lvl w:ilvl="0">
      <w:lvlJc w:val="left"/>
      <w:lvlText w:val="(%1)"/>
      <w:numFmt w:val="lowerLetter"/>
      <w:start w:val="9"/>
    </w:lvl>
    <w:lvl w:ilvl="1">
      <w:lvlJc w:val="left"/>
      <w:lvlText w:val="(%2)"/>
      <w:numFmt w:val="lowerLetter"/>
      <w:start w:val="6"/>
    </w:lvl>
    <w:lvl w:ilvl="2">
      <w:lvlJc w:val="left"/>
      <w:lvlText w:val="-"/>
      <w:numFmt w:val="bullet"/>
      <w:start w:val="1"/>
    </w:lvl>
  </w:abstractNum>
  <w:abstractNum w:abstractNumId="148">
    <w:nsid w:val="2123D5F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49">
    <w:nsid w:val="135B8110"/>
    <w:multiLevelType w:val="hybridMultilevel"/>
    <w:lvl w:ilvl="0">
      <w:lvlJc w:val="left"/>
      <w:lvlText w:val="%1."/>
      <w:numFmt w:val="decimal"/>
      <w:start w:val="1"/>
    </w:lvl>
  </w:abstractNum>
  <w:abstractNum w:abstractNumId="150">
    <w:nsid w:val="94927A8"/>
    <w:multiLevelType w:val="hybridMultilevel"/>
    <w:lvl w:ilvl="0">
      <w:lvlJc w:val="left"/>
      <w:lvlText w:val="%1."/>
      <w:numFmt w:val="decimal"/>
      <w:start w:val="3"/>
    </w:lvl>
  </w:abstractNum>
  <w:abstractNum w:abstractNumId="151">
    <w:nsid w:val="DCDF8F6"/>
    <w:multiLevelType w:val="hybridMultilevel"/>
    <w:lvl w:ilvl="0">
      <w:lvlJc w:val="left"/>
      <w:lvlText w:val="%1."/>
      <w:numFmt w:val="decimal"/>
      <w:start w:val="4"/>
    </w:lvl>
  </w:abstractNum>
  <w:abstractNum w:abstractNumId="152">
    <w:nsid w:val="52D7B105"/>
    <w:multiLevelType w:val="hybridMultilevel"/>
    <w:lvl w:ilvl="0">
      <w:lvlJc w:val="left"/>
      <w:lvlText w:val="%1."/>
      <w:numFmt w:val="decimal"/>
      <w:start w:val="5"/>
    </w:lvl>
  </w:abstractNum>
  <w:abstractNum w:abstractNumId="153">
    <w:nsid w:val="2E8A6394"/>
    <w:multiLevelType w:val="hybridMultilevel"/>
    <w:lvl w:ilvl="0">
      <w:lvlJc w:val="left"/>
      <w:lvlText w:val="%1."/>
      <w:numFmt w:val="decimal"/>
      <w:start w:val="6"/>
    </w:lvl>
  </w:abstractNum>
  <w:abstractNum w:abstractNumId="154">
    <w:nsid w:val="24E60401"/>
    <w:multiLevelType w:val="hybridMultilevel"/>
    <w:lvl w:ilvl="0">
      <w:lvlJc w:val="left"/>
      <w:lvlText w:val="%1."/>
      <w:numFmt w:val="decimal"/>
      <w:start w:val="7"/>
    </w:lvl>
  </w:abstractNum>
  <w:abstractNum w:abstractNumId="155">
    <w:nsid w:val="2A6AD9BE"/>
    <w:multiLevelType w:val="hybridMultilevel"/>
    <w:lvl w:ilvl="0">
      <w:lvlJc w:val="left"/>
      <w:lvlText w:val="%1."/>
      <w:numFmt w:val="decimal"/>
      <w:start w:val="8"/>
    </w:lvl>
  </w:abstractNum>
  <w:abstractNum w:abstractNumId="156">
    <w:nsid w:val="BAAC1B4"/>
    <w:multiLevelType w:val="hybridMultilevel"/>
    <w:lvl w:ilvl="0">
      <w:lvlJc w:val="left"/>
      <w:lvlText w:val="(%1)"/>
      <w:numFmt w:val="lowerLetter"/>
      <w:start w:val="1"/>
    </w:lvl>
  </w:abstractNum>
  <w:abstractNum w:abstractNumId="157">
    <w:nsid w:val="36B2ACBC"/>
    <w:multiLevelType w:val="hybridMultilevel"/>
    <w:lvl w:ilvl="0">
      <w:lvlJc w:val="left"/>
      <w:lvlText w:val="%1."/>
      <w:numFmt w:val="decimal"/>
      <w:start w:val="9"/>
    </w:lvl>
  </w:abstractNum>
  <w:abstractNum w:abstractNumId="158">
    <w:nsid w:val="779D8544"/>
    <w:multiLevelType w:val="hybridMultilevel"/>
    <w:lvl w:ilvl="0">
      <w:lvlJc w:val="left"/>
      <w:lvlText w:val="%1."/>
      <w:numFmt w:val="decimal"/>
      <w:start w:val="10"/>
    </w:lvl>
  </w:abstractNum>
  <w:abstractNum w:abstractNumId="159">
    <w:nsid w:val="4AB26E78"/>
    <w:multiLevelType w:val="hybridMultilevel"/>
    <w:lvl w:ilvl="0">
      <w:lvlJc w:val="left"/>
      <w:lvlText w:val="%1."/>
      <w:numFmt w:val="decimal"/>
      <w:start w:val="11"/>
    </w:lvl>
  </w:abstractNum>
  <w:abstractNum w:abstractNumId="160">
    <w:nsid w:val="21FAA2FA"/>
    <w:multiLevelType w:val="hybridMultilevel"/>
    <w:lvl w:ilvl="0">
      <w:lvlJc w:val="left"/>
      <w:lvlText w:val="(%1)"/>
      <w:numFmt w:val="lowerLetter"/>
      <w:start w:val="1"/>
    </w:lvl>
  </w:abstractNum>
  <w:abstractNum w:abstractNumId="161">
    <w:nsid w:val="5451CF49"/>
    <w:multiLevelType w:val="hybridMultilevel"/>
    <w:lvl w:ilvl="0">
      <w:lvlJc w:val="left"/>
      <w:lvlText w:val="(%1)"/>
      <w:numFmt w:val="lowerLetter"/>
      <w:start w:val="6"/>
    </w:lvl>
  </w:abstractNum>
  <w:abstractNum w:abstractNumId="162">
    <w:nsid w:val="6181EF69"/>
    <w:multiLevelType w:val="hybridMultilevel"/>
    <w:lvl w:ilvl="0">
      <w:lvlJc w:val="left"/>
      <w:lvlText w:val="%1."/>
      <w:numFmt w:val="decimal"/>
      <w:start w:val="12"/>
    </w:lvl>
  </w:abstractNum>
  <w:abstractNum w:abstractNumId="163">
    <w:nsid w:val="3E6400E6"/>
    <w:multiLevelType w:val="hybridMultilevel"/>
    <w:lvl w:ilvl="0">
      <w:lvlJc w:val="left"/>
      <w:lvlText w:val="(%1)"/>
      <w:numFmt w:val="lowerLetter"/>
      <w:start w:val="1"/>
    </w:lvl>
  </w:abstractNum>
  <w:abstractNum w:abstractNumId="164">
    <w:nsid w:val="14217E23"/>
    <w:multiLevelType w:val="hybridMultilevel"/>
    <w:lvl w:ilvl="0">
      <w:lvlJc w:val="left"/>
      <w:lvlText w:val="(%1)"/>
      <w:numFmt w:val="lowerLetter"/>
      <w:start w:val="5"/>
    </w:lvl>
  </w:abstractNum>
  <w:abstractNum w:abstractNumId="165">
    <w:nsid w:val="710757D0"/>
    <w:multiLevelType w:val="hybridMultilevel"/>
    <w:lvl w:ilvl="0">
      <w:lvlJc w:val="left"/>
      <w:lvlText w:val="%1."/>
      <w:numFmt w:val="decimal"/>
      <w:start w:val="13"/>
    </w:lvl>
  </w:abstractNum>
  <w:abstractNum w:abstractNumId="166">
    <w:nsid w:val="5015CD1A"/>
    <w:multiLevelType w:val="hybridMultilevel"/>
    <w:lvl w:ilvl="0">
      <w:lvlJc w:val="left"/>
      <w:lvlText w:val="%1."/>
      <w:numFmt w:val="decimal"/>
      <w:start w:val="14"/>
    </w:lvl>
    <w:lvl w:ilvl="1">
      <w:lvlJc w:val="left"/>
      <w:lvlText w:val="(%2)"/>
      <w:numFmt w:val="lowerLetter"/>
      <w:start w:val="1"/>
    </w:lvl>
  </w:abstractNum>
  <w:abstractNum w:abstractNumId="167">
    <w:nsid w:val="424479DA"/>
    <w:multiLevelType w:val="hybridMultilevel"/>
    <w:lvl w:ilvl="0">
      <w:lvlJc w:val="left"/>
      <w:lvlText w:val="(%1)"/>
      <w:numFmt w:val="lowerLetter"/>
      <w:start w:val="1"/>
    </w:lvl>
  </w:abstractNum>
  <w:abstractNum w:abstractNumId="168">
    <w:nsid w:val="1A9A9E69"/>
    <w:multiLevelType w:val="hybridMultilevel"/>
    <w:lvl w:ilvl="0">
      <w:lvlJc w:val="left"/>
      <w:lvlText w:val="(%1)"/>
      <w:numFmt w:val="lowerLetter"/>
      <w:start w:val="2"/>
    </w:lvl>
  </w:abstractNum>
  <w:abstractNum w:abstractNumId="169">
    <w:nsid w:val="475E256A"/>
    <w:multiLevelType w:val="hybridMultilevel"/>
    <w:lvl w:ilvl="0">
      <w:lvlJc w:val="left"/>
      <w:lvlText w:val="%1."/>
      <w:numFmt w:val="decimal"/>
      <w:start w:val="1"/>
    </w:lvl>
  </w:abstractNum>
  <w:abstractNum w:abstractNumId="170">
    <w:nsid w:val="368DB37E"/>
    <w:multiLevelType w:val="hybridMultilevel"/>
    <w:lvl w:ilvl="0">
      <w:lvlJc w:val="left"/>
      <w:lvlText w:val="%1."/>
      <w:numFmt w:val="decimal"/>
      <w:start w:val="2"/>
    </w:lvl>
  </w:abstractNum>
  <w:abstractNum w:abstractNumId="171">
    <w:nsid w:val="6A3B714C"/>
    <w:multiLevelType w:val="hybridMultilevel"/>
    <w:lvl w:ilvl="0">
      <w:lvlJc w:val="left"/>
      <w:lvlText w:val="%1."/>
      <w:numFmt w:val="decimal"/>
      <w:start w:val="3"/>
    </w:lvl>
  </w:abstractNum>
  <w:abstractNum w:abstractNumId="172">
    <w:nsid w:val="327B517E"/>
    <w:multiLevelType w:val="hybridMultilevel"/>
    <w:lvl w:ilvl="0">
      <w:lvlJc w:val="left"/>
      <w:lvlText w:val="%1."/>
      <w:numFmt w:val="decimal"/>
      <w:start w:val="4"/>
    </w:lvl>
  </w:abstractNum>
  <w:abstractNum w:abstractNumId="173">
    <w:nsid w:val="1F461B51"/>
    <w:multiLevelType w:val="hybridMultilevel"/>
    <w:lvl w:ilvl="0">
      <w:lvlJc w:val="left"/>
      <w:lvlText w:val="(%1)"/>
      <w:numFmt w:val="lowerRoman"/>
      <w:start w:val="1"/>
    </w:lvl>
  </w:abstractNum>
  <w:abstractNum w:abstractNumId="174">
    <w:nsid w:val="29BACF25"/>
    <w:multiLevelType w:val="hybridMultilevel"/>
    <w:lvl w:ilvl="0">
      <w:lvlJc w:val="left"/>
      <w:lvlText w:val="%1."/>
      <w:numFmt w:val="decimal"/>
      <w:start w:val="5"/>
    </w:lvl>
  </w:abstractNum>
  <w:abstractNum w:abstractNumId="175">
    <w:nsid w:val="5D5BABB3"/>
    <w:multiLevelType w:val="hybridMultilevel"/>
    <w:lvl w:ilvl="0">
      <w:lvlJc w:val="left"/>
      <w:lvlText w:val="%1."/>
      <w:numFmt w:val="decimal"/>
      <w:start w:val="6"/>
    </w:lvl>
  </w:abstractNum>
  <w:abstractNum w:abstractNumId="176">
    <w:nsid w:val="51BF6B48"/>
    <w:multiLevelType w:val="hybridMultilevel"/>
    <w:lvl w:ilvl="0">
      <w:lvlJc w:val="left"/>
      <w:lvlText w:val="(%1)"/>
      <w:numFmt w:val="lowerLetter"/>
      <w:start w:val="1"/>
    </w:lvl>
  </w:abstractNum>
  <w:abstractNum w:abstractNumId="177">
    <w:nsid w:val="7E0F6384"/>
    <w:multiLevelType w:val="hybridMultilevel"/>
    <w:lvl w:ilvl="0">
      <w:lvlJc w:val="left"/>
      <w:lvlText w:val="%1."/>
      <w:numFmt w:val="decimal"/>
      <w:start w:val="7"/>
    </w:lvl>
  </w:abstractNum>
  <w:abstractNum w:abstractNumId="178">
    <w:nsid w:val="2B4B8B53"/>
    <w:multiLevelType w:val="hybridMultilevel"/>
    <w:lvl w:ilvl="0">
      <w:lvlJc w:val="left"/>
      <w:lvlText w:val="%1."/>
      <w:numFmt w:val="decimal"/>
      <w:start w:val="8"/>
    </w:lvl>
  </w:abstractNum>
  <w:abstractNum w:abstractNumId="179">
    <w:nsid w:val="72E3413A"/>
    <w:multiLevelType w:val="hybridMultilevel"/>
    <w:lvl w:ilvl="0">
      <w:lvlJc w:val="left"/>
      <w:lvlText w:val="%1."/>
      <w:numFmt w:val="decimal"/>
      <w:start w:val="9"/>
    </w:lvl>
  </w:abstractNum>
  <w:abstractNum w:abstractNumId="180">
    <w:nsid w:val="116AE494"/>
    <w:multiLevelType w:val="hybridMultilevel"/>
    <w:lvl w:ilvl="0">
      <w:lvlJc w:val="left"/>
      <w:lvlText w:val="%1."/>
      <w:numFmt w:val="decimal"/>
      <w:start w:val="1"/>
    </w:lvl>
  </w:abstractNum>
  <w:abstractNum w:abstractNumId="181">
    <w:nsid w:val="3494B2FB"/>
    <w:multiLevelType w:val="hybridMultilevel"/>
    <w:lvl w:ilvl="0">
      <w:lvlJc w:val="left"/>
      <w:lvlText w:val="%1."/>
      <w:numFmt w:val="decimal"/>
      <w:start w:val="2"/>
    </w:lvl>
  </w:abstractNum>
  <w:abstractNum w:abstractNumId="182">
    <w:nsid w:val="B13A31"/>
    <w:multiLevelType w:val="hybridMultilevel"/>
    <w:lvl w:ilvl="0">
      <w:lvlJc w:val="left"/>
      <w:lvlText w:val="%1."/>
      <w:numFmt w:val="decimal"/>
      <w:start w:val="3"/>
    </w:lvl>
  </w:abstractNum>
  <w:abstractNum w:abstractNumId="183">
    <w:nsid w:val="64429599"/>
    <w:multiLevelType w:val="hybridMultilevel"/>
    <w:lvl w:ilvl="0">
      <w:lvlJc w:val="left"/>
      <w:lvlText w:val="%1."/>
      <w:numFmt w:val="decimal"/>
      <w:start w:val="4"/>
    </w:lvl>
  </w:abstractNum>
  <w:abstractNum w:abstractNumId="184">
    <w:nsid w:val="631F1690"/>
    <w:multiLevelType w:val="hybridMultilevel"/>
    <w:lvl w:ilvl="0">
      <w:lvlJc w:val="left"/>
      <w:lvlText w:val="%1."/>
      <w:numFmt w:val="decimal"/>
      <w:start w:val="5"/>
    </w:lvl>
  </w:abstractNum>
  <w:abstractNum w:abstractNumId="185">
    <w:nsid w:val="25973E32"/>
    <w:multiLevelType w:val="hybridMultilevel"/>
    <w:lvl w:ilvl="0">
      <w:lvlJc w:val="left"/>
      <w:lvlText w:val="%1."/>
      <w:numFmt w:val="decimal"/>
      <w:start w:val="6"/>
    </w:lvl>
  </w:abstractNum>
  <w:abstractNum w:abstractNumId="186">
    <w:nsid w:val="EAD6F57"/>
    <w:multiLevelType w:val="hybridMultilevel"/>
    <w:lvl w:ilvl="0">
      <w:lvlJc w:val="left"/>
      <w:lvlText w:val="%1."/>
      <w:numFmt w:val="decimal"/>
      <w:start w:val="7"/>
    </w:lvl>
  </w:abstractNum>
  <w:abstractNum w:abstractNumId="187">
    <w:nsid w:val="6EC9D844"/>
    <w:multiLevelType w:val="hybridMultilevel"/>
    <w:lvl w:ilvl="0">
      <w:lvlJc w:val="left"/>
      <w:lvlText w:val="(%1)"/>
      <w:numFmt w:val="lowerLetter"/>
      <w:start w:val="1"/>
    </w:lvl>
  </w:abstractNum>
  <w:abstractNum w:abstractNumId="188">
    <w:nsid w:val="5C49EAEE"/>
    <w:multiLevelType w:val="hybridMultilevel"/>
    <w:lvl w:ilvl="0">
      <w:lvlJc w:val="left"/>
      <w:lvlText w:val="%1."/>
      <w:numFmt w:val="decimal"/>
      <w:start w:val="8"/>
    </w:lvl>
  </w:abstractNum>
  <w:abstractNum w:abstractNumId="189">
    <w:nsid w:val="64AF49B"/>
    <w:multiLevelType w:val="hybridMultilevel"/>
    <w:lvl w:ilvl="0">
      <w:lvlJc w:val="left"/>
      <w:lvlText w:val="%1."/>
      <w:numFmt w:val="decimal"/>
      <w:start w:val="9"/>
    </w:lvl>
  </w:abstractNum>
  <w:abstractNum w:abstractNumId="190">
    <w:nsid w:val="397C46B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7"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jpeg"/><Relationship Id="rId238" Type="http://schemas.openxmlformats.org/officeDocument/2006/relationships/image" Target="media/image217.jpeg"/><Relationship Id="rId239" Type="http://schemas.openxmlformats.org/officeDocument/2006/relationships/image" Target="media/image218.png"/><Relationship Id="rId240" Type="http://schemas.openxmlformats.org/officeDocument/2006/relationships/image" Target="media/image219.jpeg"/><Relationship Id="rId241" Type="http://schemas.openxmlformats.org/officeDocument/2006/relationships/image" Target="media/image220.png"/><Relationship Id="rId242" Type="http://schemas.openxmlformats.org/officeDocument/2006/relationships/image" Target="media/image221.jpe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png"/><Relationship Id="rId262" Type="http://schemas.openxmlformats.org/officeDocument/2006/relationships/image" Target="media/image241.png"/><Relationship Id="rId263" Type="http://schemas.openxmlformats.org/officeDocument/2006/relationships/image" Target="media/image242.png"/><Relationship Id="rId264" Type="http://schemas.openxmlformats.org/officeDocument/2006/relationships/image" Target="media/image243.png"/><Relationship Id="rId265" Type="http://schemas.openxmlformats.org/officeDocument/2006/relationships/image" Target="media/image244.png"/><Relationship Id="rId266" Type="http://schemas.openxmlformats.org/officeDocument/2006/relationships/image" Target="media/image245.png"/><Relationship Id="rId267" Type="http://schemas.openxmlformats.org/officeDocument/2006/relationships/image" Target="media/image246.png"/><Relationship Id="rId268" Type="http://schemas.openxmlformats.org/officeDocument/2006/relationships/image" Target="media/image247.png"/><Relationship Id="rId269" Type="http://schemas.openxmlformats.org/officeDocument/2006/relationships/image" Target="media/image248.png"/><Relationship Id="rId270" Type="http://schemas.openxmlformats.org/officeDocument/2006/relationships/image" Target="media/image249.png"/><Relationship Id="rId271" Type="http://schemas.openxmlformats.org/officeDocument/2006/relationships/image" Target="media/image250.png"/><Relationship Id="rId272" Type="http://schemas.openxmlformats.org/officeDocument/2006/relationships/image" Target="media/image251.png"/><Relationship Id="rId273" Type="http://schemas.openxmlformats.org/officeDocument/2006/relationships/image" Target="media/image252.jpeg"/><Relationship Id="rId274" Type="http://schemas.openxmlformats.org/officeDocument/2006/relationships/image" Target="media/image253.jpeg"/><Relationship Id="rId275" Type="http://schemas.openxmlformats.org/officeDocument/2006/relationships/image" Target="media/image254.jpeg"/><Relationship Id="rId276" Type="http://schemas.openxmlformats.org/officeDocument/2006/relationships/image" Target="media/image255.jpeg"/><Relationship Id="rId277" Type="http://schemas.openxmlformats.org/officeDocument/2006/relationships/image" Target="media/image256.png"/><Relationship Id="rId278" Type="http://schemas.openxmlformats.org/officeDocument/2006/relationships/image" Target="media/image257.png"/><Relationship Id="rId279" Type="http://schemas.openxmlformats.org/officeDocument/2006/relationships/image" Target="media/image258.jpeg"/><Relationship Id="rId280" Type="http://schemas.openxmlformats.org/officeDocument/2006/relationships/image" Target="media/image259.png"/><Relationship Id="rId281" Type="http://schemas.openxmlformats.org/officeDocument/2006/relationships/image" Target="media/image260.jpeg"/><Relationship Id="rId282" Type="http://schemas.openxmlformats.org/officeDocument/2006/relationships/image" Target="media/image261.jpeg"/><Relationship Id="rId283" Type="http://schemas.openxmlformats.org/officeDocument/2006/relationships/image" Target="media/image262.jpeg"/><Relationship Id="rId284" Type="http://schemas.openxmlformats.org/officeDocument/2006/relationships/image" Target="media/image263.png"/><Relationship Id="rId285" Type="http://schemas.openxmlformats.org/officeDocument/2006/relationships/image" Target="media/image264.png"/><Relationship Id="rId286" Type="http://schemas.openxmlformats.org/officeDocument/2006/relationships/image" Target="media/image265.png"/><Relationship Id="rId213" Type="http://schemas.openxmlformats.org/officeDocument/2006/relationships/hyperlink" Target="https://www.sec.gov/Archives/edgar/data/1822145/000121390021058217/ea150262ex2-1_ventouxccm.htm" TargetMode="External"/><Relationship Id="rId214" Type="http://schemas.openxmlformats.org/officeDocument/2006/relationships/hyperlink" Target="https://www.sec.gov/Archives/edgar/data/1822145/000121390022017828/ea157923ex2-1_ventoux.htm" TargetMode="External"/><Relationship Id="rId215" Type="http://schemas.openxmlformats.org/officeDocument/2006/relationships/hyperlink" Target="https://www.sec.gov/Archives/edgar/data/1822145/000121390022041523/ea163294ex2-1_ventoux.htm" TargetMode="External"/><Relationship Id="rId216" Type="http://schemas.openxmlformats.org/officeDocument/2006/relationships/hyperlink" Target="https://www.sec.gov/Archives/edgar/data/1822145/000121390022059478/ea166244ex3-1_prestoauto.htm" TargetMode="External"/><Relationship Id="rId217" Type="http://schemas.openxmlformats.org/officeDocument/2006/relationships/hyperlink" Target="https://www.sec.gov/Archives/edgar/data/1822145/000121390022059478/ea166244ex3-2_prestoauto.htm" TargetMode="External"/><Relationship Id="rId218" Type="http://schemas.openxmlformats.org/officeDocument/2006/relationships/hyperlink" Target="https://www.sec.gov/Archives/edgar/data/1822145/000121390022059478/ea166244ex10-1_prestoauto.htm" TargetMode="External"/><Relationship Id="rId219" Type="http://schemas.openxmlformats.org/officeDocument/2006/relationships/hyperlink" Target="http://www.sec.gov/Archives/edgar/data/1822145/000121390022059478/ea166244ex10-2_prestoauto.htm" TargetMode="External"/><Relationship Id="rId220" Type="http://schemas.openxmlformats.org/officeDocument/2006/relationships/hyperlink" Target="https://www.sec.gov/Archives/edgar/data/1822145/000121390022059478/ea166244ex10-3_prestoauto.htm" TargetMode="External"/><Relationship Id="rId221" Type="http://schemas.openxmlformats.org/officeDocument/2006/relationships/hyperlink" Target="https://www.sec.gov/Archives/edgar/data/1822145/000121390022059478/ea166244ex10-4_prestoauto.htm" TargetMode="External"/><Relationship Id="rId222" Type="http://schemas.openxmlformats.org/officeDocument/2006/relationships/hyperlink" Target="http://www.sec.gov/Archives/edgar/data/1822145/000121390022059478/ea166244ex10-5_prestoauto.htm" TargetMode="External"/><Relationship Id="rId225" Type="http://schemas.openxmlformats.org/officeDocument/2006/relationships/hyperlink" Target="https://www.sec.gov/Archives/edgar/data/1822145/000121390022059478/ea166244ex10-6_prestoauto.htm" TargetMode="External"/><Relationship Id="rId226" Type="http://schemas.openxmlformats.org/officeDocument/2006/relationships/hyperlink" Target="http://www.sec.gov/Archives/edgar/data/1822145/000121390022059478/ea166244ex10-7_prestoauto.htm" TargetMode="External"/><Relationship Id="rId228" Type="http://schemas.openxmlformats.org/officeDocument/2006/relationships/hyperlink" Target="http://www.sec.gov/Archives/edgar/data/1822145/000121390022041523/ea163294ex10-2_ventoux.htm" TargetMode="External"/><Relationship Id="rId229" Type="http://schemas.openxmlformats.org/officeDocument/2006/relationships/hyperlink" Target="http://www.sec.gov/Archives/edgar/data/1822145/000121390022041523/ea163294ex10-3_ventou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2022-10-21T16:30:45Z</dcterms:created>
  <dcterms:modified xsi:type="dcterms:W3CDTF">2022-10-21T16:30:45Z</dcterms:modified>
</cp:coreProperties>
</file>