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8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2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Casanova Xavier</w:t>
              </w:r>
            </w:hyperlink>
          </w:p>
        </w:tc>
        <w:tc>
          <w:tcPr>
            <w:tcW w:w="1580" w:type="dxa"/>
            <w:vAlign w:val="bottom"/>
          </w:tcPr>
          <w:p>
            <w:pPr>
              <w:ind w:left="20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20" w:type="dxa"/>
            <w:vAlign w:val="bottom"/>
            <w:gridSpan w:val="2"/>
            <w:vMerge w:val="continue"/>
          </w:tcPr>
          <w:p>
            <w:pPr>
              <w:spacing w:after="0"/>
              <w:rPr>
                <w:sz w:val="13"/>
                <w:szCs w:val="13"/>
                <w:color w:val="auto"/>
              </w:rPr>
            </w:pPr>
          </w:p>
        </w:tc>
        <w:tc>
          <w:tcPr>
            <w:tcW w:w="1580" w:type="dxa"/>
            <w:vAlign w:val="bottom"/>
          </w:tcPr>
          <w:p>
            <w:pPr>
              <w:ind w:left="20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Presto Automation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PRST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82"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jc w:val="right"/>
        <w:ind w:right="19"/>
        <w:spacing w:after="0"/>
        <w:rPr>
          <w:sz w:val="20"/>
          <w:szCs w:val="20"/>
          <w:color w:val="auto"/>
        </w:rPr>
      </w:pPr>
      <w:r>
        <w:rPr>
          <w:rFonts w:ascii="Arial" w:cs="Arial" w:eastAsia="Arial" w:hAnsi="Arial"/>
          <w:sz w:val="20"/>
          <w:szCs w:val="20"/>
          <w:color w:val="0000FF"/>
        </w:rPr>
        <w:t>03/24/2023</w:t>
      </w:r>
    </w:p>
    <w:p>
      <w:pPr>
        <w:spacing w:after="0" w:line="149"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985 INDUSTRIAL ROAD</w:t>
            </w:r>
          </w:p>
        </w:tc>
        <w:tc>
          <w:tcPr>
            <w:tcW w:w="0" w:type="dxa"/>
            <w:vAlign w:val="bottom"/>
          </w:tcPr>
          <w:p>
            <w:pPr>
              <w:spacing w:after="0"/>
              <w:rPr>
                <w:sz w:val="1"/>
                <w:szCs w:val="1"/>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40" w:type="dxa"/>
            <w:vAlign w:val="bottom"/>
          </w:tcPr>
          <w:p>
            <w:pPr>
              <w:ind w:left="40"/>
              <w:spacing w:after="0"/>
              <w:rPr>
                <w:sz w:val="20"/>
                <w:szCs w:val="20"/>
                <w:color w:val="auto"/>
              </w:rPr>
            </w:pPr>
            <w:r>
              <w:rPr>
                <w:rFonts w:ascii="Arial" w:cs="Arial" w:eastAsia="Arial" w:hAnsi="Arial"/>
                <w:sz w:val="20"/>
                <w:szCs w:val="20"/>
                <w:color w:val="0000FF"/>
              </w:rPr>
              <w:t>SAN</w:t>
            </w:r>
          </w:p>
        </w:tc>
        <w:tc>
          <w:tcPr>
            <w:tcW w:w="860" w:type="dxa"/>
            <w:vAlign w:val="bottom"/>
            <w:vMerge w:val="restart"/>
          </w:tcPr>
          <w:p>
            <w:pPr>
              <w:ind w:left="120"/>
              <w:spacing w:after="0"/>
              <w:rPr>
                <w:sz w:val="20"/>
                <w:szCs w:val="20"/>
                <w:color w:val="auto"/>
              </w:rPr>
            </w:pPr>
            <w:r>
              <w:rPr>
                <w:rFonts w:ascii="Arial" w:cs="Arial" w:eastAsia="Arial" w:hAnsi="Arial"/>
                <w:sz w:val="20"/>
                <w:szCs w:val="20"/>
                <w:color w:val="0000FF"/>
              </w:rPr>
              <w:t>CA</w:t>
            </w:r>
          </w:p>
        </w:tc>
        <w:tc>
          <w:tcPr>
            <w:tcW w:w="1300" w:type="dxa"/>
            <w:vAlign w:val="bottom"/>
            <w:vMerge w:val="restart"/>
          </w:tcPr>
          <w:p>
            <w:pPr>
              <w:ind w:left="300"/>
              <w:spacing w:after="0"/>
              <w:rPr>
                <w:sz w:val="20"/>
                <w:szCs w:val="20"/>
                <w:color w:val="auto"/>
              </w:rPr>
            </w:pPr>
            <w:r>
              <w:rPr>
                <w:rFonts w:ascii="Arial" w:cs="Arial" w:eastAsia="Arial" w:hAnsi="Arial"/>
                <w:sz w:val="20"/>
                <w:szCs w:val="20"/>
                <w:color w:val="0000FF"/>
              </w:rPr>
              <w:t>94070</w:t>
            </w:r>
          </w:p>
        </w:tc>
        <w:tc>
          <w:tcPr>
            <w:tcW w:w="0" w:type="dxa"/>
            <w:vAlign w:val="bottom"/>
          </w:tcPr>
          <w:p>
            <w:pPr>
              <w:spacing w:after="0"/>
              <w:rPr>
                <w:sz w:val="1"/>
                <w:szCs w:val="1"/>
                <w:color w:val="auto"/>
              </w:rPr>
            </w:pPr>
          </w:p>
        </w:tc>
      </w:tr>
      <w:tr>
        <w:trPr>
          <w:trHeight w:val="128"/>
        </w:trPr>
        <w:tc>
          <w:tcPr>
            <w:tcW w:w="940" w:type="dxa"/>
            <w:vAlign w:val="bottom"/>
            <w:vMerge w:val="restart"/>
          </w:tcPr>
          <w:p>
            <w:pPr>
              <w:ind w:left="40"/>
              <w:spacing w:after="0"/>
              <w:rPr>
                <w:sz w:val="20"/>
                <w:szCs w:val="20"/>
                <w:color w:val="auto"/>
              </w:rPr>
            </w:pPr>
            <w:r>
              <w:rPr>
                <w:rFonts w:ascii="Arial" w:cs="Arial" w:eastAsia="Arial" w:hAnsi="Arial"/>
                <w:sz w:val="20"/>
                <w:szCs w:val="20"/>
                <w:color w:val="0000FF"/>
              </w:rPr>
              <w:t>CARLOS</w:t>
            </w:r>
          </w:p>
        </w:tc>
        <w:tc>
          <w:tcPr>
            <w:tcW w:w="86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ind w:left="1" w:right="280" w:hanging="1"/>
        <w:spacing w:after="0" w:line="236" w:lineRule="auto"/>
        <w:tabs>
          <w:tab w:leader="none" w:pos="167"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1"/>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tbl>
      <w:tblPr>
        <w:tblLayout w:type="fixed"/>
        <w:tblInd w:w="181"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29"/>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281"/>
        <w:spacing w:after="0"/>
        <w:rPr>
          <w:sz w:val="20"/>
          <w:szCs w:val="20"/>
          <w:color w:val="auto"/>
        </w:rPr>
      </w:pPr>
      <w:r>
        <w:rPr>
          <w:rFonts w:ascii="Arial" w:cs="Arial" w:eastAsia="Arial" w:hAnsi="Arial"/>
          <w:sz w:val="18"/>
          <w:szCs w:val="18"/>
          <w:color w:val="0000FF"/>
        </w:rPr>
        <w:t>CHIEF OPERATING OFFICER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ind w:left="8" w:right="440" w:hanging="8"/>
        <w:spacing w:after="0" w:line="253" w:lineRule="auto"/>
        <w:tabs>
          <w:tab w:leader="none" w:pos="175"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26" w:lineRule="exact"/>
        <w:rPr>
          <w:rFonts w:ascii="Arial" w:cs="Arial" w:eastAsia="Arial" w:hAnsi="Arial"/>
          <w:sz w:val="15"/>
          <w:szCs w:val="15"/>
          <w:color w:val="auto"/>
        </w:rPr>
      </w:pPr>
    </w:p>
    <w:p>
      <w:pPr>
        <w:ind w:left="8" w:right="480" w:hanging="8"/>
        <w:spacing w:after="0" w:line="246" w:lineRule="auto"/>
        <w:tabs>
          <w:tab w:leader="none" w:pos="175"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48" w:right="340" w:hanging="302"/>
        <w:spacing w:after="0" w:line="185" w:lineRule="auto"/>
        <w:tabs>
          <w:tab w:leader="none" w:pos="448"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48" w:right="30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182" w:lineRule="exact"/>
        <w:rPr>
          <w:sz w:val="24"/>
          <w:szCs w:val="24"/>
          <w:color w:val="auto"/>
        </w:rPr>
      </w:pPr>
    </w:p>
    <w:p>
      <w:pPr>
        <w:sectPr>
          <w:pgSz w:w="11900" w:h="16838" w:orient="portrait"/>
          <w:cols w:equalWidth="0" w:num="3">
            <w:col w:w="4279" w:space="720"/>
            <w:col w:w="3001" w:space="272"/>
            <w:col w:w="2668"/>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60" w:type="dxa"/>
            <w:vAlign w:val="bottom"/>
            <w:gridSpan w:val="2"/>
          </w:tcPr>
          <w:p>
            <w:pPr>
              <w:ind w:left="740"/>
              <w:spacing w:after="0"/>
              <w:rPr>
                <w:sz w:val="20"/>
                <w:szCs w:val="20"/>
                <w:color w:val="auto"/>
              </w:rPr>
            </w:pPr>
            <w:r>
              <w:rPr>
                <w:rFonts w:ascii="Arial" w:cs="Arial" w:eastAsia="Arial" w:hAnsi="Arial"/>
                <w:sz w:val="15"/>
                <w:szCs w:val="15"/>
                <w:b w:val="1"/>
                <w:bCs w:val="1"/>
                <w:color w:val="auto"/>
              </w:rPr>
              <w:t>2. Amount of Securities</w:t>
            </w:r>
          </w:p>
        </w:tc>
        <w:tc>
          <w:tcPr>
            <w:tcW w:w="1340" w:type="dxa"/>
            <w:vAlign w:val="bottom"/>
            <w:gridSpan w:val="3"/>
          </w:tcPr>
          <w:p>
            <w:pPr>
              <w:ind w:left="1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60" w:type="dxa"/>
            <w:vAlign w:val="bottom"/>
            <w:gridSpan w:val="2"/>
          </w:tcPr>
          <w:p>
            <w:pPr>
              <w:ind w:left="7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4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ind w:left="740"/>
              <w:spacing w:after="0" w:line="165" w:lineRule="exact"/>
              <w:rPr>
                <w:sz w:val="20"/>
                <w:szCs w:val="20"/>
                <w:color w:val="auto"/>
              </w:rPr>
            </w:pPr>
            <w:r>
              <w:rPr>
                <w:rFonts w:ascii="Arial" w:cs="Arial" w:eastAsia="Arial" w:hAnsi="Arial"/>
                <w:sz w:val="15"/>
                <w:szCs w:val="15"/>
                <w:b w:val="1"/>
                <w:bCs w:val="1"/>
                <w:color w:val="auto"/>
              </w:rPr>
              <w:t>4)</w:t>
            </w:r>
          </w:p>
        </w:tc>
        <w:tc>
          <w:tcPr>
            <w:tcW w:w="1760" w:type="dxa"/>
            <w:vAlign w:val="bottom"/>
          </w:tcPr>
          <w:p>
            <w:pPr>
              <w:spacing w:after="0"/>
              <w:rPr>
                <w:sz w:val="14"/>
                <w:szCs w:val="14"/>
                <w:color w:val="auto"/>
              </w:rPr>
            </w:pPr>
          </w:p>
        </w:tc>
        <w:tc>
          <w:tcPr>
            <w:tcW w:w="134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gridSpan w:val="3"/>
          </w:tcPr>
          <w:p>
            <w:pPr>
              <w:ind w:left="140"/>
              <w:spacing w:after="0"/>
              <w:rPr>
                <w:sz w:val="20"/>
                <w:szCs w:val="20"/>
                <w:color w:val="auto"/>
              </w:rPr>
            </w:pPr>
            <w:r>
              <w:rPr>
                <w:rFonts w:ascii="Arial" w:cs="Arial" w:eastAsia="Arial" w:hAnsi="Arial"/>
                <w:sz w:val="15"/>
                <w:szCs w:val="15"/>
                <w:b w:val="1"/>
                <w:bCs w:val="1"/>
                <w:color w:val="auto"/>
              </w:rPr>
              <w:t>(I) (Instr. 5)</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409,287</w:t>
            </w:r>
            <w:r>
              <w:rPr>
                <w:rFonts w:ascii="Arial" w:cs="Arial" w:eastAsia="Arial" w:hAnsi="Arial"/>
                <w:sz w:val="25"/>
                <w:szCs w:val="25"/>
                <w:color w:val="008000"/>
                <w:vertAlign w:val="superscript"/>
              </w:rPr>
              <w:t>(1)</w:t>
            </w:r>
          </w:p>
        </w:tc>
        <w:tc>
          <w:tcPr>
            <w:tcW w:w="7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rPr>
              <w:t>D</w:t>
            </w:r>
          </w:p>
        </w:tc>
        <w:tc>
          <w:tcPr>
            <w:tcW w:w="5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5000" w:type="dxa"/>
            <w:vAlign w:val="bottom"/>
            <w:tcBorders>
              <w:top w:val="single" w:sz="8" w:color="2C2C2C"/>
            </w:tcBorders>
            <w:gridSpan w:val="6"/>
          </w:tcPr>
          <w:p>
            <w:pPr>
              <w:ind w:left="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6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24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80" w:type="dxa"/>
            <w:vAlign w:val="bottom"/>
          </w:tcPr>
          <w:p>
            <w:pPr>
              <w:spacing w:after="0"/>
              <w:rPr>
                <w:sz w:val="17"/>
                <w:szCs w:val="17"/>
                <w:color w:val="auto"/>
              </w:rPr>
            </w:pPr>
          </w:p>
        </w:tc>
        <w:tc>
          <w:tcPr>
            <w:tcW w:w="190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780" w:type="dxa"/>
            <w:vAlign w:val="bottom"/>
            <w:gridSpan w:val="2"/>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760" w:type="dxa"/>
            <w:vAlign w:val="bottom"/>
            <w:vMerge w:val="continue"/>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(i) 235,811 restricted stock units ("RSUs") granted on February 17, 2023, that vest 25% on July 25, 2023, with the remainder vesting in 25% increments annually through July 25, 2026, and (ii) 173,476 RSUs granted on July 25, 2022, that vest 25% on July 18, 2023, with the remainder vesting in 25% increments annually through July 18, 2026. Each RSU represents the right to receive one share of PRST common stock upon vesting.</w:t>
      </w:r>
    </w:p>
    <w:p>
      <w:pPr>
        <w:spacing w:after="0" w:line="4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/s/ Xavier Casanova</w:t>
            </w:r>
          </w:p>
        </w:tc>
        <w:tc>
          <w:tcPr>
            <w:tcW w:w="62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5"/>
              </w:rPr>
              <w:t>07/20/2023</w:t>
            </w: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p>
        </w:tc>
        <w:tc>
          <w:tcPr>
            <w:tcW w:w="220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220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220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78" w:lineRule="exact"/>
        <w:rPr>
          <w:sz w:val="20"/>
          <w:szCs w:val="20"/>
          <w:color w:val="auto"/>
        </w:rPr>
      </w:pPr>
    </w:p>
    <w:p>
      <w:pPr>
        <w:jc w:val="both"/>
        <w:ind w:firstLine="720"/>
        <w:spacing w:after="0" w:line="254" w:lineRule="auto"/>
        <w:rPr>
          <w:sz w:val="20"/>
          <w:szCs w:val="20"/>
          <w:color w:val="auto"/>
        </w:rPr>
      </w:pPr>
      <w:r>
        <w:rPr>
          <w:rFonts w:ascii="Arial" w:cs="Arial" w:eastAsia="Arial" w:hAnsi="Arial"/>
          <w:sz w:val="22"/>
          <w:szCs w:val="22"/>
          <w:color w:val="auto"/>
        </w:rPr>
        <w:t>The undersigned constitutes and appoints Krishna Gupta, Dan Mosher, and Susan Shinoff, or any of them acting singly, as the undersigned’s true and lawful attorneys-in-fact and agents, with full power of substitution and resubstitution, for the undersigned and in the undersigned’s name, place and stead, to:</w:t>
      </w:r>
    </w:p>
    <w:p>
      <w:pPr>
        <w:spacing w:after="0" w:line="232" w:lineRule="exact"/>
        <w:rPr>
          <w:sz w:val="20"/>
          <w:szCs w:val="20"/>
          <w:color w:val="auto"/>
        </w:rPr>
      </w:pPr>
    </w:p>
    <w:p>
      <w:pPr>
        <w:jc w:val="both"/>
        <w:ind w:left="1080" w:hanging="360"/>
        <w:spacing w:after="0" w:line="245" w:lineRule="auto"/>
        <w:tabs>
          <w:tab w:leader="none" w:pos="1142" w:val="left"/>
        </w:tabs>
        <w:numPr>
          <w:ilvl w:val="0"/>
          <w:numId w:val="6"/>
        </w:numPr>
        <w:rPr>
          <w:rFonts w:ascii="Arial" w:cs="Arial" w:eastAsia="Arial" w:hAnsi="Arial"/>
          <w:sz w:val="22"/>
          <w:szCs w:val="22"/>
          <w:color w:val="auto"/>
        </w:rPr>
      </w:pPr>
      <w:r>
        <w:rPr>
          <w:rFonts w:ascii="Arial" w:cs="Arial" w:eastAsia="Arial" w:hAnsi="Arial"/>
          <w:sz w:val="22"/>
          <w:szCs w:val="22"/>
          <w:color w:val="auto"/>
        </w:rPr>
        <w:t>prepare, sign, and submit to the Securities and Exchange Commission (the “</w:t>
      </w:r>
      <w:r>
        <w:rPr>
          <w:rFonts w:ascii="Arial" w:cs="Arial" w:eastAsia="Arial" w:hAnsi="Arial"/>
          <w:sz w:val="22"/>
          <w:szCs w:val="22"/>
          <w:u w:val="single" w:color="auto"/>
          <w:color w:val="auto"/>
        </w:rPr>
        <w:t>SEC</w:t>
      </w:r>
      <w:r>
        <w:rPr>
          <w:rFonts w:ascii="Arial" w:cs="Arial" w:eastAsia="Arial" w:hAnsi="Arial"/>
          <w:sz w:val="22"/>
          <w:szCs w:val="22"/>
          <w:color w:val="auto"/>
        </w:rPr>
        <w:t>”) on its Electronic Data Gathering, Analysis, and Retrieval (“</w:t>
      </w:r>
      <w:r>
        <w:rPr>
          <w:rFonts w:ascii="Arial" w:cs="Arial" w:eastAsia="Arial" w:hAnsi="Arial"/>
          <w:sz w:val="22"/>
          <w:szCs w:val="22"/>
          <w:u w:val="single" w:color="auto"/>
          <w:color w:val="auto"/>
        </w:rPr>
        <w:t>EDGAR</w:t>
      </w:r>
      <w:r>
        <w:rPr>
          <w:rFonts w:ascii="Arial" w:cs="Arial" w:eastAsia="Arial" w:hAnsi="Arial"/>
          <w:sz w:val="22"/>
          <w:szCs w:val="22"/>
          <w:color w:val="auto"/>
        </w:rPr>
        <w:t>”)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242" w:lineRule="exact"/>
        <w:rPr>
          <w:rFonts w:ascii="Arial" w:cs="Arial" w:eastAsia="Arial" w:hAnsi="Arial"/>
          <w:sz w:val="22"/>
          <w:szCs w:val="22"/>
          <w:color w:val="auto"/>
        </w:rPr>
      </w:pPr>
    </w:p>
    <w:p>
      <w:pPr>
        <w:jc w:val="both"/>
        <w:ind w:left="1080" w:hanging="360"/>
        <w:spacing w:after="0" w:line="244" w:lineRule="auto"/>
        <w:tabs>
          <w:tab w:leader="none" w:pos="1050" w:val="left"/>
        </w:tabs>
        <w:numPr>
          <w:ilvl w:val="0"/>
          <w:numId w:val="6"/>
        </w:numPr>
        <w:rPr>
          <w:rFonts w:ascii="Arial" w:cs="Arial" w:eastAsia="Arial" w:hAnsi="Arial"/>
          <w:sz w:val="22"/>
          <w:szCs w:val="22"/>
          <w:color w:val="auto"/>
        </w:rPr>
      </w:pPr>
      <w:r>
        <w:rPr>
          <w:rFonts w:ascii="Arial" w:cs="Arial" w:eastAsia="Arial" w:hAnsi="Arial"/>
          <w:sz w:val="22"/>
          <w:szCs w:val="22"/>
          <w:color w:val="auto"/>
        </w:rPr>
        <w:t>sign any and all SEC statements of beneficial ownership of securities of Presto Automation Inc. (the “</w:t>
      </w:r>
      <w:r>
        <w:rPr>
          <w:rFonts w:ascii="Arial" w:cs="Arial" w:eastAsia="Arial" w:hAnsi="Arial"/>
          <w:sz w:val="22"/>
          <w:szCs w:val="22"/>
          <w:u w:val="single" w:color="auto"/>
          <w:color w:val="auto"/>
        </w:rPr>
        <w:t>Company</w:t>
      </w:r>
      <w:r>
        <w:rPr>
          <w:rFonts w:ascii="Arial" w:cs="Arial" w:eastAsia="Arial" w:hAnsi="Arial"/>
          <w:sz w:val="22"/>
          <w:szCs w:val="22"/>
          <w:color w:val="auto"/>
        </w:rPr>
        <w:t>”) on Schedule 13G or 13D as required under Section 13(d) and Forms 3, 4 and 5 as required under Section 16(a) of the Securities Exchange Act of 1934, as amended (the “Exchange Act”),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13(d) and Section 16(a) of the Exchange Act, as fully and to all intents and purposes as the undersigned might or could do in person, hereby ratifying and confirming all that said attorneys-in-fact and agents, and each of them, may lawfully do or cause to be done by virtue hereof.</w:t>
      </w:r>
    </w:p>
    <w:p>
      <w:pPr>
        <w:spacing w:after="0" w:line="234" w:lineRule="exact"/>
        <w:rPr>
          <w:sz w:val="20"/>
          <w:szCs w:val="20"/>
          <w:color w:val="auto"/>
        </w:rPr>
      </w:pPr>
    </w:p>
    <w:p>
      <w:pPr>
        <w:jc w:val="both"/>
        <w:ind w:firstLine="720"/>
        <w:spacing w:after="0" w:line="291" w:lineRule="auto"/>
        <w:rPr>
          <w:sz w:val="20"/>
          <w:szCs w:val="20"/>
          <w:color w:val="auto"/>
        </w:rPr>
      </w:pPr>
      <w:r>
        <w:rPr>
          <w:rFonts w:ascii="Arial" w:cs="Arial" w:eastAsia="Arial" w:hAnsi="Arial"/>
          <w:sz w:val="21"/>
          <w:szCs w:val="21"/>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180" w:lineRule="exact"/>
        <w:rPr>
          <w:sz w:val="20"/>
          <w:szCs w:val="20"/>
          <w:color w:val="auto"/>
        </w:rPr>
      </w:pPr>
    </w:p>
    <w:p>
      <w:pPr>
        <w:jc w:val="both"/>
        <w:ind w:firstLine="720"/>
        <w:spacing w:after="0" w:line="254" w:lineRule="auto"/>
        <w:rPr>
          <w:sz w:val="20"/>
          <w:szCs w:val="20"/>
          <w:color w:val="auto"/>
        </w:rPr>
      </w:pPr>
      <w:r>
        <w:rPr>
          <w:rFonts w:ascii="Arial" w:cs="Arial" w:eastAsia="Arial" w:hAnsi="Arial"/>
          <w:sz w:val="22"/>
          <w:szCs w:val="22"/>
          <w:color w:val="auto"/>
        </w:rPr>
        <w:t>The authority granted hereby shall in no event be deemed to impose or create any duty on behalf of the attorneys-in-fact with respect to the undersigned’s obligations to file a Form ID, Schedule 13G or Schedule 13D as required under Section 13(d) of the Exchange Act or any Form 3, 4 or 5 with the SEC.</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Dated: July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/s/ Xavier Casanova</w:t>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Xavier Casanova</w:t>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86110"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2023-07-21T16:07:17Z</dcterms:created>
  <dcterms:modified xsi:type="dcterms:W3CDTF">2023-07-21T16:07:17Z</dcterms:modified>
</cp:coreProperties>
</file>