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0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465-9000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3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5.07 Submission of Matters to a Vote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On September 14, 2022, Ventoux CCM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4,463,152 shares of common stock were present virtually or by proxy, representing 80.16% of the voting power of the 5,567,518 shares of the Company’s issued and outstanding shares of common stock entitled to vote at the Special Meeting at the close of business on August 9,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“Stockholders”). A summary of the voting results at the Special Meeting for each of the proposals is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Business Combination Proposal</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4,450,835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3"/>
              </w:rPr>
              <w:t>9,111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Charter Amendment Proposal</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4,449,900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9,721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3,531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A</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4,450,800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9,371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2,981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B</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4,436,421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20,733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5,998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C</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4,448,899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12,172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D</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4,441,283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18,281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E</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4,446,148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13,890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3,114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F</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4,445,396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15,369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G</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4,439,853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17,025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6,274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Governance Proposal H</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4"/>
                <w:szCs w:val="24"/>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4,436,944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21,383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4,825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Stock Issuance Proposal</w:t>
            </w: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4,445,550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14,314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PIPE Proposal</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4,445,603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13,555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3,994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Directors Proposal</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Withhold</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K. Gupta</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4,452,613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4,450,613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4,452,713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4,450,023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Rajat Suri</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4,451,973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Gail Zauder</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4,450,862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Axel Lopdrup</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4,452,182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Incentive Plan Proposal</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4,436,995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19,882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6,275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2022 Employee Stock Purchase Plan Proposal</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4,446,306</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13,285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3,561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Adjournment Proposal</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80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4,451,295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8,356</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3,501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7.01. Regulation FD Disclosure</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Special Meeting, stockholders holding 323,877 shares of common stock elected to and tendered their stock for redemption. In connection thereto, the Company will pay to redeeming shareholders approximately $10.20 per share, or $3,303,545.40 in the aggregate. Following the redemption, the Company will have 5,243,641 shares of common stock outstanding, which consists of 931,141 shares sold in the Company’s IPO and 4,312,500 privately placed founder shares.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September 14, 2022, the Company issued a press release announcing that the proposed merger with E La Carte (d/b/a Presto) (“Presto”) was approved by its stockholders. A copy of the press release is attached hereto as Exhibit 99.1.</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expects to consummate the business combination with E La Carte, Inc. (d/b/a Presto), on or about September 20, 2022. Upon the closing of the business combination, the amount remaining in trust of approximately $9.5 million will be disbursed to the Company.</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is furnished and shall not be deemed “filed” for purposes of Section 18 of the Securities Exchange Act of 1934, as amended (“Exchange Act”), or otherwise subject to the liabilities of that section, and shall not be deemed incorporated by reference into any filing under the Securities Act of 1933, as amended, or the Exchange Act, regardless of any general incorporation language in such filings. This Current Report on Form 8-K will not be deemed an admission as to the materiality of any information of the information contained in this Item 7.01.</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September 14, 2022 by Ventoux CCM Acquisition Corp. Relating to Special Meeting Results</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8"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 Scheetz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 Stockholders Approve Proposed Business Combination with Presto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Expected to Close on September 20, 2022</w:t>
      </w:r>
    </w:p>
    <w:p>
      <w:pPr>
        <w:spacing w:after="0" w:line="22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w:t>
      </w:r>
      <w:r>
        <w:rPr>
          <w:rFonts w:ascii="Times New Roman" w:cs="Times New Roman" w:eastAsia="Times New Roman" w:hAnsi="Times New Roman"/>
          <w:sz w:val="18"/>
          <w:szCs w:val="18"/>
          <w:color w:val="auto"/>
        </w:rPr>
        <w:t>– Ventoux CCM Acquisition Corp. (“Ventoux”) (NASDAQ: VTAQ), a publicly traded special purpose acquisition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Ventoux’s stockholders have approved its proposed merger with E La Carte (d/b/a Presto) (“Presto”), one of the largest labor automation technology providers in the hospitality industry, at a Special Meeting of its stockholders held on September 14, 2022.</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Approximately 99% of the votes cast at the Special Meeting, representing approximately 80% of Ventoux’s outstanding shares of common stock entitled to vote at the Special Meeting, were cast in favor of the proposal to approve the Business Combination. The formal results of the Special Meeting will be included in a Current Report on Form 8-K to be filed by Ventoux with the Securities and Exchange Commission (the “SEC”).</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closing of the business combination is expected to take place on September 20, 2022. It is anticipated that the transaction will result in at least approximately $92.1 million in gross proceeds for the post-closing company, including proceeds from Ventoux’s trust account and the previously announced committed private placement. Upon the closing of the Business Combination, the combined company (the “Company”) will be renamed “Presto Automation Inc.” and its common stock and warrants are expected to begin trading on the Nasdaq Stock Market beginning on September 21, 2022 under the ticker symbols “PRST” and “PRSTW” respectively.</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capital anticipated to be raised by this transaction will put Presto well on our way to funding our expected growth and the future of our industry leading labor automation technology,” Said Raj Suri, CEO and Founder of Presto. “We believe that Presto is now well positioned to succeed in the public markets and look forward to updating the entire investment community on our progress.”</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pleased with the outcome of the vote and are now poised to join forces with Presto and begin life as a publicly traded company. We continue to believe that the combined Company has a very desirable profile for investors and look forward to working together with the Presto team to maximize shareholder value and create a sustainable growth runway for the future,” said Ed Scheetz, CEO and Chairman of Ventoux.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Ventoux CCM Acquisition Corp.</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Presto</w:t>
      </w:r>
    </w:p>
    <w:p>
      <w:pPr>
        <w:spacing w:after="0" w:line="22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business combination involving Ventoux and Presto, Ventoux has filed a registration statement, which includes a proxy statement/prospectus, with the SEC.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including capital raised in connection with the business combination,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2" w:lineRule="exact"/>
        <w:rPr>
          <w:sz w:val="20"/>
          <w:szCs w:val="20"/>
          <w:color w:val="auto"/>
        </w:rPr>
      </w:pPr>
    </w:p>
    <w:p>
      <w:pPr>
        <w:ind w:firstLine="45"/>
        <w:spacing w:after="0" w:line="251" w:lineRule="auto"/>
        <w:rPr>
          <w:sz w:val="20"/>
          <w:szCs w:val="20"/>
          <w:color w:val="auto"/>
        </w:rPr>
      </w:pPr>
      <w:r>
        <w:rPr>
          <w:rFonts w:ascii="Times New Roman" w:cs="Times New Roman" w:eastAsia="Times New Roman" w:hAnsi="Times New Roman"/>
          <w:sz w:val="18"/>
          <w:szCs w:val="18"/>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of Presto to satisfy other conditions to closing; (4) changes to the proposed structure of the proposed business combination that may be required or appropriate as a result of applicable laws or regulations or as a condition to obtaining regulatory approval of the proposed business combination; (5) the ability to meet stock exchange listing standards in connection with and following the consummation of the proposed business combination; (6) the risk that the proposed business combination disrupts current plans and operations of Presto as a result of the announcement and consummation of the proposed business combination; (7)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(8) the impact of the COVID-19 pandemic on the business of Presto and the Company (including the effects of the ongoing global supply chain shortage); (8) Presto’s limited operating history and history of net losses; (10) Presto’s customer concentration and reliance on a limited number of key technology providers and payment processors facilitating payments to and by Presto’s customers; (11) costs related to proposed business combination; (12) changes in applicable laws or regulations; (13) the possibility that Presto or the Company may be adversely affected by other economic, business, regulatory, and/or competitive factors;</w:t>
      </w:r>
    </w:p>
    <w:p>
      <w:pPr>
        <w:spacing w:after="0" w:line="11" w:lineRule="exact"/>
        <w:rPr>
          <w:sz w:val="20"/>
          <w:szCs w:val="20"/>
          <w:color w:val="auto"/>
        </w:rPr>
      </w:pPr>
    </w:p>
    <w:p>
      <w:pPr>
        <w:ind w:right="60" w:firstLine="8"/>
        <w:spacing w:after="0" w:line="253" w:lineRule="auto"/>
        <w:tabs>
          <w:tab w:leader="none" w:pos="3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estimates of expenses and profitability; (15) the evolution of the markets in which Presto competes; (16) the ability of Presto to implement its strategic initiatives and continue to innovate its existing products; (17) the ability of Presto to adhere to legal requirements with respect to the protection of personal data and privacy laws; (18) cybersecurity risks, data loss and other breaches of Presto’s network security and the disclosure of personal information; (19) the risk of regulatory lawsuits or proceedings relating to Presto’s products or services; and (20) Presto’s ability to meet the initial listing requirements of the Nasdaq Stock Market.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2022-09-14T16:05:06Z</dcterms:created>
  <dcterms:modified xsi:type="dcterms:W3CDTF">2022-09-14T16:05:06Z</dcterms:modified>
</cp:coreProperties>
</file>