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left="29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left="29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left="2900"/>
        <w:spacing w:after="0"/>
        <w:rPr>
          <w:sz w:val="20"/>
          <w:szCs w:val="20"/>
          <w:color w:val="auto"/>
        </w:rPr>
      </w:pPr>
      <w:r>
        <w:rPr>
          <w:rFonts w:ascii="Arial" w:cs="Arial" w:eastAsia="Arial" w:hAnsi="Arial"/>
          <w:sz w:val="18"/>
          <w:szCs w:val="18"/>
          <w:b w:val="1"/>
          <w:bCs w:val="1"/>
          <w:color w:val="auto"/>
        </w:rPr>
        <w:t>FORM 12b-25</w:t>
      </w:r>
    </w:p>
    <w:p>
      <w:pPr>
        <w:spacing w:after="0" w:line="27" w:lineRule="exact"/>
        <w:rPr>
          <w:sz w:val="24"/>
          <w:szCs w:val="24"/>
          <w:color w:val="auto"/>
        </w:rPr>
      </w:pPr>
    </w:p>
    <w:p>
      <w:pPr>
        <w:jc w:val="center"/>
        <w:ind w:left="2900"/>
        <w:spacing w:after="0"/>
        <w:rPr>
          <w:sz w:val="20"/>
          <w:szCs w:val="20"/>
          <w:color w:val="auto"/>
        </w:rPr>
      </w:pPr>
      <w:r>
        <w:rPr>
          <w:rFonts w:ascii="Arial" w:cs="Arial" w:eastAsia="Arial" w:hAnsi="Arial"/>
          <w:sz w:val="18"/>
          <w:szCs w:val="18"/>
          <w:b w:val="1"/>
          <w:bCs w:val="1"/>
          <w:color w:val="auto"/>
        </w:rPr>
        <w:t>NOTIFICATION OF LATE FILING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line="207" w:lineRule="exact"/>
        <w:tabs>
          <w:tab w:leader="none" w:pos="1280" w:val="left"/>
        </w:tabs>
        <w:rPr>
          <w:sz w:val="20"/>
          <w:szCs w:val="20"/>
          <w:color w:val="auto"/>
        </w:rPr>
      </w:pPr>
      <w:r>
        <w:rPr>
          <w:rFonts w:ascii="Arial" w:cs="Arial" w:eastAsia="Arial" w:hAnsi="Arial"/>
          <w:sz w:val="18"/>
          <w:szCs w:val="18"/>
          <w:i w:val="1"/>
          <w:iCs w:val="1"/>
          <w:color w:val="auto"/>
        </w:rPr>
        <w:t>(Check One)</w:t>
      </w:r>
      <w:r>
        <w:rPr>
          <w:rFonts w:ascii="Arial" w:cs="Arial" w:eastAsia="Arial" w:hAnsi="Arial"/>
          <w:sz w:val="18"/>
          <w:szCs w:val="18"/>
          <w:color w:val="auto"/>
        </w:rPr>
        <w: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10-K</w:t>
      </w:r>
      <w:r>
        <w:rPr>
          <w:rFonts w:ascii="MS PGothic" w:cs="MS PGothic" w:eastAsia="MS PGothic" w:hAnsi="MS PGothic"/>
          <w:sz w:val="17"/>
          <w:szCs w:val="17"/>
          <w:color w:val="auto"/>
        </w:rPr>
        <w:t xml:space="preserve">  ☐ </w:t>
      </w:r>
      <w:r>
        <w:rPr>
          <w:rFonts w:ascii="Arial" w:cs="Arial" w:eastAsia="Arial" w:hAnsi="Arial"/>
          <w:sz w:val="17"/>
          <w:szCs w:val="17"/>
          <w:color w:val="auto"/>
        </w:rPr>
        <w:t>Form 20-F</w:t>
      </w:r>
      <w:r>
        <w:rPr>
          <w:rFonts w:ascii="MS PGothic" w:cs="MS PGothic" w:eastAsia="MS PGothic" w:hAnsi="MS PGothic"/>
          <w:sz w:val="17"/>
          <w:szCs w:val="17"/>
          <w:color w:val="auto"/>
        </w:rPr>
        <w:t xml:space="preserve">  ☐ </w:t>
      </w:r>
      <w:r>
        <w:rPr>
          <w:rFonts w:ascii="Arial" w:cs="Arial" w:eastAsia="Arial" w:hAnsi="Arial"/>
          <w:sz w:val="17"/>
          <w:szCs w:val="17"/>
          <w:color w:val="auto"/>
        </w:rPr>
        <w:t>Form 11-K</w:t>
      </w:r>
      <w:r>
        <w:rPr>
          <w:rFonts w:ascii="MS PGothic" w:cs="MS PGothic" w:eastAsia="MS PGothic" w:hAnsi="MS PGothic"/>
          <w:sz w:val="17"/>
          <w:szCs w:val="17"/>
          <w:color w:val="auto"/>
        </w:rPr>
        <w:t xml:space="preserve">  ☒ </w:t>
      </w:r>
      <w:r>
        <w:rPr>
          <w:rFonts w:ascii="Arial" w:cs="Arial" w:eastAsia="Arial" w:hAnsi="Arial"/>
          <w:sz w:val="17"/>
          <w:szCs w:val="17"/>
          <w:color w:val="auto"/>
        </w:rPr>
        <w:t>Form 10-Q</w:t>
      </w:r>
      <w:r>
        <w:rPr>
          <w:rFonts w:ascii="MS PGothic" w:cs="MS PGothic" w:eastAsia="MS PGothic" w:hAnsi="MS PGothic"/>
          <w:sz w:val="17"/>
          <w:szCs w:val="17"/>
          <w:color w:val="auto"/>
        </w:rPr>
        <w:t xml:space="preserve">  ☐ </w:t>
      </w:r>
      <w:r>
        <w:rPr>
          <w:rFonts w:ascii="Arial" w:cs="Arial" w:eastAsia="Arial" w:hAnsi="Arial"/>
          <w:sz w:val="17"/>
          <w:szCs w:val="17"/>
          <w:color w:val="auto"/>
        </w:rPr>
        <w:t>Form N-SAR</w:t>
      </w:r>
    </w:p>
    <w:p>
      <w:pPr>
        <w:spacing w:after="0" w:line="51" w:lineRule="exact"/>
        <w:rPr>
          <w:sz w:val="24"/>
          <w:szCs w:val="24"/>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Form N-CSR</w:t>
      </w:r>
    </w:p>
    <w:p>
      <w:pPr>
        <w:spacing w:after="0" w:line="21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b w:val="1"/>
          <w:bCs w:val="1"/>
          <w:u w:val="single" w:color="auto"/>
          <w:color w:val="auto"/>
        </w:rPr>
        <w:t>March 31, 2021</w:t>
      </w:r>
    </w:p>
    <w:p>
      <w:pPr>
        <w:spacing w:after="0" w:line="229" w:lineRule="exact"/>
        <w:rPr>
          <w:sz w:val="24"/>
          <w:szCs w:val="24"/>
          <w:color w:val="auto"/>
        </w:rPr>
      </w:pPr>
    </w:p>
    <w:p>
      <w:pPr>
        <w:ind w:left="1640" w:hanging="336"/>
        <w:spacing w:after="0"/>
        <w:tabs>
          <w:tab w:leader="none" w:pos="1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1640" w:hanging="336"/>
        <w:spacing w:after="0"/>
        <w:tabs>
          <w:tab w:leader="none" w:pos="1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640" w:hanging="336"/>
        <w:spacing w:after="0"/>
        <w:tabs>
          <w:tab w:leader="none" w:pos="1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640" w:hanging="336"/>
        <w:spacing w:after="0"/>
        <w:tabs>
          <w:tab w:leader="none" w:pos="1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1640" w:hanging="336"/>
        <w:spacing w:after="0"/>
        <w:tabs>
          <w:tab w:leader="none" w:pos="1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-398145</wp:posOffset>
            </wp:positionH>
            <wp:positionV relativeFrom="paragraph">
              <wp:posOffset>-123190</wp:posOffset>
            </wp:positionV>
            <wp:extent cx="1791335" cy="977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1335" cy="9772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001-39830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92280L 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92280L 119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92280L 127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92280L 200</w:t>
      </w:r>
    </w:p>
    <w:p>
      <w:pPr>
        <w:spacing w:after="0" w:line="2591" w:lineRule="exact"/>
        <w:rPr>
          <w:sz w:val="24"/>
          <w:szCs w:val="24"/>
          <w:color w:val="auto"/>
        </w:rPr>
      </w:pPr>
    </w:p>
    <w:p>
      <w:pPr>
        <w:sectPr>
          <w:pgSz w:w="11900" w:h="16838" w:orient="portrait"/>
          <w:cols w:equalWidth="0" w:num="2">
            <w:col w:w="8340" w:space="720"/>
            <w:col w:w="1560"/>
          </w:cols>
          <w:pgMar w:left="320" w:top="675" w:right="959" w:bottom="1440" w:gutter="0" w:footer="0" w:header="0"/>
        </w:sectPr>
      </w:pP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For the Transition Period Ended: 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32"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619"/>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REGISTRANT INFORMATION</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Ventoux CCM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1 East Putnam Avenue, Floor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Greenwich, CT 06830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675" w:right="9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12b-25(b) AND (c)</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1300" w:hanging="644"/>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1300" w:hanging="644"/>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w:t>
      </w:r>
    </w:p>
    <w:p>
      <w:pPr>
        <w:spacing w:after="0" w:line="32" w:lineRule="exact"/>
        <w:rPr>
          <w:rFonts w:ascii="Arial" w:cs="Arial" w:eastAsia="Arial" w:hAnsi="Arial"/>
          <w:sz w:val="16"/>
          <w:szCs w:val="16"/>
          <w:color w:val="auto"/>
        </w:rPr>
      </w:pPr>
    </w:p>
    <w:p>
      <w:pPr>
        <w:jc w:val="both"/>
        <w:ind w:left="1300" w:hanging="1292"/>
        <w:spacing w:after="0" w:line="200" w:lineRule="auto"/>
        <w:tabs>
          <w:tab w:leader="none" w:pos="1300" w:val="left"/>
        </w:tabs>
        <w:numPr>
          <w:ilvl w:val="0"/>
          <w:numId w:val="3"/>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N-CSR, or the transition report or portion thereof, could not be filed within the prescribed time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on Form 10-Q of Ventoux CCM Acquisition Corp. (the “Company”) for the quarterly period ended March 31, 2021 cannot be filed within the prescribed time period because the Company requires additional time to prepare and review its financial statements to insure adequate disclosure of the financial information required to be included in the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11" w:lineRule="exact"/>
        <w:rPr>
          <w:sz w:val="20"/>
          <w:szCs w:val="20"/>
          <w:color w:val="auto"/>
        </w:rPr>
      </w:pPr>
    </w:p>
    <w:p>
      <w:pPr>
        <w:ind w:left="180"/>
        <w:spacing w:after="0"/>
        <w:tabs>
          <w:tab w:leader="none" w:pos="5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and telephone number of person to contact in regard to this notification</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3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Edward Scheetz</w:t>
            </w:r>
          </w:p>
        </w:tc>
        <w:tc>
          <w:tcPr>
            <w:tcW w:w="3480" w:type="dxa"/>
            <w:vAlign w:val="bottom"/>
          </w:tcPr>
          <w:p>
            <w:pPr>
              <w:jc w:val="right"/>
              <w:ind w:right="151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0"/>
                <w:szCs w:val="20"/>
                <w:color w:val="auto"/>
              </w:rPr>
            </w:pPr>
          </w:p>
        </w:tc>
        <w:tc>
          <w:tcPr>
            <w:tcW w:w="3460" w:type="dxa"/>
            <w:vAlign w:val="bottom"/>
          </w:tcPr>
          <w:p>
            <w:pPr>
              <w:jc w:val="right"/>
              <w:ind w:right="1290"/>
              <w:spacing w:after="0"/>
              <w:rPr>
                <w:sz w:val="20"/>
                <w:szCs w:val="20"/>
                <w:color w:val="auto"/>
              </w:rPr>
            </w:pPr>
            <w:r>
              <w:rPr>
                <w:rFonts w:ascii="Arial" w:cs="Arial" w:eastAsia="Arial" w:hAnsi="Arial"/>
                <w:sz w:val="18"/>
                <w:szCs w:val="18"/>
                <w:color w:val="auto"/>
              </w:rPr>
              <w:t>465-9000</w:t>
            </w:r>
          </w:p>
        </w:tc>
      </w:tr>
      <w:tr>
        <w:trPr>
          <w:trHeight w:val="230"/>
        </w:trPr>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120" w:type="dxa"/>
            <w:vAlign w:val="bottom"/>
          </w:tcPr>
          <w:p>
            <w:pPr>
              <w:spacing w:after="0"/>
              <w:rPr>
                <w:sz w:val="20"/>
                <w:szCs w:val="20"/>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(Area Code)</w:t>
            </w:r>
          </w:p>
        </w:tc>
        <w:tc>
          <w:tcPr>
            <w:tcW w:w="12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sectPr>
          <w:pgSz w:w="11900" w:h="16838" w:orient="portrait"/>
          <w:cols w:equalWidth="0" w:num="1">
            <w:col w:w="11240"/>
          </w:cols>
          <w:pgMar w:left="320" w:top="796" w:right="339" w:bottom="1440" w:gutter="0" w:footer="0" w:header="0"/>
        </w:sectPr>
      </w:pPr>
    </w:p>
    <w:p>
      <w:pPr>
        <w:jc w:val="both"/>
        <w:ind w:left="580" w:hanging="393"/>
        <w:spacing w:after="0" w:line="263"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83" w:lineRule="exact"/>
        <w:rPr>
          <w:rFonts w:ascii="Arial" w:cs="Arial" w:eastAsia="Arial" w:hAnsi="Arial"/>
          <w:sz w:val="18"/>
          <w:szCs w:val="18"/>
          <w:color w:val="auto"/>
        </w:rPr>
      </w:pPr>
    </w:p>
    <w:p>
      <w:pPr>
        <w:ind w:left="580" w:hanging="393"/>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0"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60"/>
        <w:spacing w:after="0" w:line="207" w:lineRule="exact"/>
        <w:tabs>
          <w:tab w:leader="none" w:pos="2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0" w:lineRule="exact"/>
        <w:rPr>
          <w:sz w:val="20"/>
          <w:szCs w:val="20"/>
          <w:color w:val="auto"/>
        </w:rPr>
      </w:pPr>
    </w:p>
    <w:p>
      <w:pPr>
        <w:spacing w:after="0" w:line="349" w:lineRule="exact"/>
        <w:rPr>
          <w:sz w:val="20"/>
          <w:szCs w:val="20"/>
          <w:color w:val="auto"/>
        </w:rPr>
      </w:pPr>
    </w:p>
    <w:p>
      <w:pPr>
        <w:jc w:val="center"/>
        <w:ind w:right="260"/>
        <w:spacing w:after="0" w:line="207" w:lineRule="exact"/>
        <w:tabs>
          <w:tab w:leader="none" w:pos="2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ectPr>
          <w:pgSz w:w="11900" w:h="16838" w:orient="portrait"/>
          <w:cols w:equalWidth="0" w:num="2">
            <w:col w:w="9560" w:space="260"/>
            <w:col w:w="1420"/>
          </w:cols>
          <w:pgMar w:left="320" w:top="796"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46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6"/>
          <w:szCs w:val="16"/>
          <w:color w:val="auto"/>
        </w:rPr>
        <w:t>By: /s/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4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ATTENTION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INSTRUCTIONS</w:t>
      </w:r>
    </w:p>
    <w:p>
      <w:pPr>
        <w:spacing w:after="0" w:line="229" w:lineRule="exact"/>
        <w:rPr>
          <w:sz w:val="20"/>
          <w:szCs w:val="20"/>
          <w:color w:val="auto"/>
        </w:rPr>
      </w:pPr>
    </w:p>
    <w:p>
      <w:pPr>
        <w:ind w:left="460" w:hanging="398"/>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form is required by Rule 12b-25 (17 CFR 240.12b-25) of the General Rules and Regulations under the Securities Exchange Act of 1934.</w:t>
      </w:r>
    </w:p>
    <w:p>
      <w:pPr>
        <w:spacing w:after="0" w:line="236" w:lineRule="exact"/>
        <w:rPr>
          <w:rFonts w:ascii="Arial" w:cs="Arial" w:eastAsia="Arial" w:hAnsi="Arial"/>
          <w:sz w:val="17"/>
          <w:szCs w:val="17"/>
          <w:color w:val="auto"/>
        </w:rPr>
      </w:pPr>
    </w:p>
    <w:p>
      <w:pPr>
        <w:jc w:val="both"/>
        <w:ind w:left="460" w:hanging="398"/>
        <w:spacing w:after="0" w:line="26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p>
      <w:pPr>
        <w:spacing w:after="0" w:line="183" w:lineRule="exact"/>
        <w:rPr>
          <w:rFonts w:ascii="Arial" w:cs="Arial" w:eastAsia="Arial" w:hAnsi="Arial"/>
          <w:sz w:val="18"/>
          <w:szCs w:val="18"/>
          <w:color w:val="auto"/>
        </w:rPr>
      </w:pPr>
    </w:p>
    <w:p>
      <w:pPr>
        <w:ind w:left="460" w:hanging="398"/>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manually signed copy of the form and amendments thereto shall be filed with each national securities exchange on which any class of securities of the registrant is registered.</w:t>
      </w:r>
    </w:p>
    <w:p>
      <w:pPr>
        <w:spacing w:after="0" w:line="170" w:lineRule="exact"/>
        <w:rPr>
          <w:rFonts w:ascii="Arial" w:cs="Arial" w:eastAsia="Arial" w:hAnsi="Arial"/>
          <w:sz w:val="18"/>
          <w:szCs w:val="18"/>
          <w:color w:val="auto"/>
        </w:rPr>
      </w:pPr>
    </w:p>
    <w:p>
      <w:pPr>
        <w:ind w:left="460" w:right="20" w:hanging="398"/>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Amendments to the notifications must also be filed on form 12b-25 but need not restate information that has been correctly furnished. The form shall be clearly identified as an amended notification.</w:t>
      </w:r>
    </w:p>
    <w:p>
      <w:pPr>
        <w:spacing w:after="0" w:line="170" w:lineRule="exact"/>
        <w:rPr>
          <w:rFonts w:ascii="Arial" w:cs="Arial" w:eastAsia="Arial" w:hAnsi="Arial"/>
          <w:sz w:val="18"/>
          <w:szCs w:val="18"/>
          <w:color w:val="auto"/>
        </w:rPr>
      </w:pPr>
    </w:p>
    <w:p>
      <w:pPr>
        <w:jc w:val="both"/>
        <w:ind w:left="460" w:hanging="398"/>
        <w:spacing w:after="0" w:line="26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Interactive data submissions</w:t>
      </w:r>
      <w:r>
        <w:rPr>
          <w:rFonts w:ascii="Arial" w:cs="Arial" w:eastAsia="Arial" w:hAnsi="Arial"/>
          <w:sz w:val="18"/>
          <w:szCs w:val="18"/>
          <w:color w:val="auto"/>
        </w:rPr>
        <w:t>. This form shall not be used by electronic filers with respect to the submission or posting of an Interactive Data File (§232.11 of this chapter). Electronic filers unable to submit or post an Interactive Data File within the time period prescribed should comply with either Rule 201 or 202 of Regulation S-T (§232.201 and §232.202 of this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3"/>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2021-05-14T16:15:22Z</dcterms:created>
  <dcterms:modified xsi:type="dcterms:W3CDTF">2021-05-14T16:15:22Z</dcterms:modified>
</cp:coreProperties>
</file>