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Macdonald Matthew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20"/>
        <w:spacing w:after="0" w:line="373" w:lineRule="auto"/>
        <w:rPr>
          <w:sz w:val="20"/>
          <w:szCs w:val="20"/>
          <w:color w:val="auto"/>
        </w:rPr>
      </w:pPr>
      <w:r>
        <w:rPr>
          <w:rFonts w:ascii="Times New Roman" w:cs="Times New Roman" w:eastAsia="Times New Roman" w:hAnsi="Times New Roman"/>
          <w:sz w:val="16"/>
          <w:szCs w:val="16"/>
          <w:color w:val="0000FF"/>
        </w:rPr>
        <w:t>C/O VENTOUX CCM ACQUISITION CORP. 1 EAST PUTNAM AVENUE, FLOOR 4</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06830</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2"/>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Ventoux CCM Acquisition Corp.</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VTAQU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9"/>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01/05/2021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CFO, Secretary</w:t>
            </w:r>
          </w:p>
        </w:tc>
        <w:tc>
          <w:tcPr>
            <w:tcW w:w="0" w:type="dxa"/>
            <w:vAlign w:val="bottom"/>
          </w:tcPr>
          <w:p>
            <w:pPr>
              <w:spacing w:after="0"/>
              <w:rPr>
                <w:sz w:val="1"/>
                <w:szCs w:val="1"/>
                <w:color w:val="auto"/>
              </w:rPr>
            </w:pPr>
          </w:p>
        </w:tc>
      </w:tr>
      <w:tr>
        <w:trPr>
          <w:trHeight w:val="312"/>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180340</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341"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916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1643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Warrants</w:t>
            </w: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450,000</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72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58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01/05/2021</w:t>
            </w:r>
          </w:p>
        </w:tc>
        <w:tc>
          <w:tcPr>
            <w:tcW w:w="112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P</w:t>
            </w:r>
          </w:p>
        </w:tc>
        <w:tc>
          <w:tcPr>
            <w:tcW w:w="108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color w:val="0000FF"/>
              </w:rPr>
              <w:t>450,000</w:t>
            </w:r>
          </w:p>
        </w:tc>
        <w:tc>
          <w:tcPr>
            <w:tcW w:w="7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4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w:t>
            </w: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4,450,000</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vMerge w:val="restart"/>
          </w:tcPr>
          <w:p>
            <w:pPr>
              <w:ind w:left="20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6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become exercisable on the later of (i) twelve (12) months from the closing of the registrant's initial public offering or (ii) the consummation of the registrant's initial business combination.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expire five (5) years after the completion of the registrant's initial business combination.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Warrants owned by Ventoux Acquisition Holdings LLC, for which Edward Scheetz and Matthew MacDonald are the managing members.</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MacDonald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7141"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2021-01-05T15:26:59Z</dcterms:created>
  <dcterms:modified xsi:type="dcterms:W3CDTF">2021-01-05T15:26:59Z</dcterms:modified>
</cp:coreProperties>
</file>