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628015</wp:posOffset>
            </wp:positionH>
            <wp:positionV relativeFrom="page">
              <wp:posOffset>637540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706120</wp:posOffset>
            </wp:positionV>
            <wp:extent cx="6292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 10-K/A</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(Amendment No. 1)</w:t>
      </w:r>
    </w:p>
    <w:p>
      <w:pPr>
        <w:spacing w:after="0" w:line="165" w:lineRule="exact"/>
        <w:rPr>
          <w:sz w:val="24"/>
          <w:szCs w:val="24"/>
          <w:color w:val="auto"/>
        </w:rPr>
      </w:pPr>
    </w:p>
    <w:p>
      <w:pPr>
        <w:jc w:val="center"/>
        <w:spacing w:after="0" w:line="184"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6"/>
          <w:szCs w:val="16"/>
          <w:b w:val="1"/>
          <w:bCs w:val="1"/>
          <w:color w:val="auto"/>
        </w:rPr>
        <w:t>ANNUAL REPORT UNDER SECTION 13 OR 15(d) OF THE SECURITIES EXCHANGE ACT OF 1934</w:t>
      </w:r>
    </w:p>
    <w:p>
      <w:pPr>
        <w:spacing w:after="0" w:line="15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fscal year ended June 30, 2023</w:t>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63" w:lineRule="exact"/>
        <w:rPr>
          <w:sz w:val="24"/>
          <w:szCs w:val="24"/>
          <w:color w:val="auto"/>
        </w:rPr>
      </w:pPr>
    </w:p>
    <w:p>
      <w:pPr>
        <w:ind w:left="2020" w:hanging="170"/>
        <w:spacing w:after="0"/>
        <w:tabs>
          <w:tab w:leader="none" w:pos="202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63" w:lineRule="exact"/>
        <w:rPr>
          <w:sz w:val="24"/>
          <w:szCs w:val="24"/>
          <w:color w:val="auto"/>
        </w:rPr>
      </w:pPr>
    </w:p>
    <w:p>
      <w:pPr>
        <w:ind w:left="3840"/>
        <w:spacing w:after="0"/>
        <w:tabs>
          <w:tab w:leader="none" w:pos="5940" w:val="left"/>
        </w:tabs>
        <w:rPr>
          <w:sz w:val="20"/>
          <w:szCs w:val="20"/>
          <w:color w:val="auto"/>
        </w:rPr>
      </w:pPr>
      <w:r>
        <w:rPr>
          <w:rFonts w:ascii="Arial" w:cs="Arial" w:eastAsia="Arial" w:hAnsi="Arial"/>
          <w:sz w:val="14"/>
          <w:szCs w:val="14"/>
          <w:b w:val="1"/>
          <w:bCs w:val="1"/>
          <w:color w:val="auto"/>
        </w:rPr>
        <w:t>For the transiton period from</w:t>
      </w:r>
      <w:r>
        <w:rPr>
          <w:sz w:val="20"/>
          <w:szCs w:val="20"/>
          <w:color w:val="auto"/>
        </w:rPr>
        <w:tab/>
      </w:r>
      <w:r>
        <w:rPr>
          <w:rFonts w:ascii="Arial" w:cs="Arial" w:eastAsia="Arial" w:hAnsi="Arial"/>
          <w:sz w:val="12"/>
          <w:szCs w:val="12"/>
          <w:b w:val="1"/>
          <w:bCs w:val="1"/>
          <w:color w:val="auto"/>
        </w:rPr>
        <w:t>to</w:t>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PRESTO AUTOMATION INC.</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specifed in its charter)</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4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Delaware</w:t>
            </w:r>
          </w:p>
        </w:tc>
        <w:tc>
          <w:tcPr>
            <w:tcW w:w="228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rPr>
              <w:t>001-39830</w:t>
            </w:r>
          </w:p>
        </w:tc>
        <w:tc>
          <w:tcPr>
            <w:tcW w:w="240" w:type="dxa"/>
            <w:vAlign w:val="bottom"/>
          </w:tcPr>
          <w:p>
            <w:pPr>
              <w:spacing w:after="0"/>
              <w:rPr>
                <w:sz w:val="16"/>
                <w:szCs w:val="16"/>
                <w:color w:val="auto"/>
              </w:rPr>
            </w:pPr>
          </w:p>
        </w:tc>
        <w:tc>
          <w:tcPr>
            <w:tcW w:w="3080" w:type="dxa"/>
            <w:vAlign w:val="bottom"/>
          </w:tcPr>
          <w:p>
            <w:pPr>
              <w:jc w:val="right"/>
              <w:ind w:right="1128"/>
              <w:spacing w:after="0"/>
              <w:rPr>
                <w:sz w:val="20"/>
                <w:szCs w:val="20"/>
                <w:color w:val="auto"/>
              </w:rPr>
            </w:pPr>
            <w:r>
              <w:rPr>
                <w:rFonts w:ascii="Arial" w:cs="Arial" w:eastAsia="Arial" w:hAnsi="Arial"/>
                <w:sz w:val="14"/>
                <w:szCs w:val="14"/>
                <w:b w:val="1"/>
                <w:bCs w:val="1"/>
                <w:color w:val="auto"/>
              </w:rPr>
              <w:t>84-2968594</w:t>
            </w:r>
          </w:p>
        </w:tc>
      </w:tr>
      <w:tr>
        <w:trPr>
          <w:trHeight w:val="186"/>
        </w:trPr>
        <w:tc>
          <w:tcPr>
            <w:tcW w:w="40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80" w:type="dxa"/>
            <w:vAlign w:val="bottom"/>
          </w:tcPr>
          <w:p>
            <w:pPr>
              <w:spacing w:after="0"/>
              <w:rPr>
                <w:sz w:val="16"/>
                <w:szCs w:val="16"/>
                <w:color w:val="auto"/>
              </w:rPr>
            </w:pPr>
          </w:p>
        </w:tc>
        <w:tc>
          <w:tcPr>
            <w:tcW w:w="228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(Commission File Number)</w:t>
            </w:r>
          </w:p>
        </w:tc>
        <w:tc>
          <w:tcPr>
            <w:tcW w:w="240" w:type="dxa"/>
            <w:vAlign w:val="bottom"/>
          </w:tcPr>
          <w:p>
            <w:pPr>
              <w:spacing w:after="0"/>
              <w:rPr>
                <w:sz w:val="16"/>
                <w:szCs w:val="16"/>
                <w:color w:val="auto"/>
              </w:rPr>
            </w:pPr>
          </w:p>
        </w:tc>
        <w:tc>
          <w:tcPr>
            <w:tcW w:w="30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615"/>
        </w:trPr>
        <w:tc>
          <w:tcPr>
            <w:tcW w:w="4320" w:type="dxa"/>
            <w:vAlign w:val="bottom"/>
            <w:gridSpan w:val="2"/>
          </w:tcPr>
          <w:p>
            <w:pPr>
              <w:jc w:val="center"/>
              <w:ind w:left="488"/>
              <w:spacing w:after="0"/>
              <w:rPr>
                <w:sz w:val="20"/>
                <w:szCs w:val="20"/>
                <w:color w:val="auto"/>
              </w:rPr>
            </w:pPr>
            <w:r>
              <w:rPr>
                <w:rFonts w:ascii="Arial" w:cs="Arial" w:eastAsia="Arial" w:hAnsi="Arial"/>
                <w:sz w:val="14"/>
                <w:szCs w:val="14"/>
                <w:b w:val="1"/>
                <w:bCs w:val="1"/>
                <w:color w:val="auto"/>
                <w:w w:val="95"/>
              </w:rPr>
              <w:t>985 Industrial Road</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192"/>
        </w:trPr>
        <w:tc>
          <w:tcPr>
            <w:tcW w:w="4320" w:type="dxa"/>
            <w:vAlign w:val="bottom"/>
            <w:tcBorders>
              <w:bottom w:val="single" w:sz="8" w:color="auto"/>
            </w:tcBorders>
            <w:gridSpan w:val="2"/>
          </w:tcPr>
          <w:p>
            <w:pPr>
              <w:jc w:val="center"/>
              <w:ind w:left="488"/>
              <w:spacing w:after="0"/>
              <w:rPr>
                <w:sz w:val="20"/>
                <w:szCs w:val="20"/>
                <w:color w:val="auto"/>
              </w:rPr>
            </w:pPr>
            <w:r>
              <w:rPr>
                <w:rFonts w:ascii="Arial" w:cs="Arial" w:eastAsia="Arial" w:hAnsi="Arial"/>
                <w:sz w:val="14"/>
                <w:szCs w:val="14"/>
                <w:b w:val="1"/>
                <w:bCs w:val="1"/>
                <w:color w:val="auto"/>
                <w:w w:val="93"/>
              </w:rPr>
              <w:t>San Carlos, California</w:t>
            </w:r>
          </w:p>
        </w:tc>
        <w:tc>
          <w:tcPr>
            <w:tcW w:w="5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tcPr>
          <w:p>
            <w:pPr>
              <w:jc w:val="right"/>
              <w:ind w:right="2188"/>
              <w:spacing w:after="0"/>
              <w:rPr>
                <w:sz w:val="20"/>
                <w:szCs w:val="20"/>
                <w:color w:val="auto"/>
              </w:rPr>
            </w:pPr>
            <w:r>
              <w:rPr>
                <w:rFonts w:ascii="Arial" w:cs="Arial" w:eastAsia="Arial" w:hAnsi="Arial"/>
                <w:sz w:val="14"/>
                <w:szCs w:val="14"/>
                <w:b w:val="1"/>
                <w:bCs w:val="1"/>
                <w:color w:val="auto"/>
              </w:rPr>
              <w:t>94070</w:t>
            </w:r>
          </w:p>
        </w:tc>
      </w:tr>
      <w:tr>
        <w:trPr>
          <w:trHeight w:val="186"/>
        </w:trPr>
        <w:tc>
          <w:tcPr>
            <w:tcW w:w="4320" w:type="dxa"/>
            <w:vAlign w:val="bottom"/>
            <w:gridSpan w:val="2"/>
          </w:tcPr>
          <w:p>
            <w:pPr>
              <w:jc w:val="center"/>
              <w:ind w:left="48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80" w:type="dxa"/>
            <w:vAlign w:val="bottom"/>
          </w:tcPr>
          <w:p>
            <w:pPr>
              <w:jc w:val="center"/>
              <w:ind w:right="1748"/>
              <w:spacing w:after="0"/>
              <w:rPr>
                <w:sz w:val="20"/>
                <w:szCs w:val="20"/>
                <w:color w:val="auto"/>
              </w:rPr>
            </w:pPr>
            <w:r>
              <w:rPr>
                <w:rFonts w:ascii="Arial" w:cs="Arial" w:eastAsia="Arial" w:hAnsi="Arial"/>
                <w:sz w:val="14"/>
                <w:szCs w:val="14"/>
                <w:b w:val="1"/>
                <w:bCs w:val="1"/>
                <w:color w:val="auto"/>
                <w:w w:val="95"/>
              </w:rPr>
              <w:t>(Zip Code)</w:t>
            </w:r>
          </w:p>
        </w:tc>
      </w:tr>
    </w:tbl>
    <w:p>
      <w:pPr>
        <w:spacing w:after="0" w:line="16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(650) 817-9012</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NOT APPLICABLE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3720" w:type="dxa"/>
            <w:vAlign w:val="bottom"/>
            <w:gridSpan w:val="2"/>
          </w:tcPr>
          <w:p>
            <w:pPr>
              <w:spacing w:after="0"/>
              <w:rPr>
                <w:sz w:val="20"/>
                <w:szCs w:val="20"/>
                <w:color w:val="auto"/>
              </w:rPr>
            </w:pPr>
            <w:r>
              <w:rPr>
                <w:rFonts w:ascii="Arial" w:cs="Arial" w:eastAsia="Arial" w:hAnsi="Arial"/>
                <w:sz w:val="14"/>
                <w:szCs w:val="14"/>
                <w:color w:val="auto"/>
              </w:rPr>
              <w:t>Securites registered pursuant to Secton 12(b) of the Act:</w:t>
            </w:r>
          </w:p>
        </w:tc>
        <w:tc>
          <w:tcPr>
            <w:tcW w:w="2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60" w:type="dxa"/>
            <w:vAlign w:val="bottom"/>
          </w:tcPr>
          <w:p>
            <w:pPr>
              <w:spacing w:after="0"/>
              <w:rPr>
                <w:sz w:val="15"/>
                <w:szCs w:val="15"/>
                <w:color w:val="auto"/>
              </w:rPr>
            </w:pPr>
          </w:p>
        </w:tc>
      </w:tr>
      <w:tr>
        <w:trPr>
          <w:trHeight w:val="333"/>
        </w:trPr>
        <w:tc>
          <w:tcPr>
            <w:tcW w:w="3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r>
      <w:tr>
        <w:trPr>
          <w:trHeight w:val="192"/>
        </w:trPr>
        <w:tc>
          <w:tcPr>
            <w:tcW w:w="3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Title of each class</w:t>
            </w:r>
          </w:p>
        </w:tc>
        <w:tc>
          <w:tcPr>
            <w:tcW w:w="3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Trading Symbol(s)</w:t>
            </w: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r>
      <w:tr>
        <w:trPr>
          <w:trHeight w:val="175"/>
        </w:trPr>
        <w:tc>
          <w:tcPr>
            <w:tcW w:w="3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Common Stock, par value $0.0001 per share</w:t>
            </w:r>
          </w:p>
        </w:tc>
        <w:tc>
          <w:tcPr>
            <w:tcW w:w="160" w:type="dxa"/>
            <w:vAlign w:val="bottom"/>
            <w:tcBorders>
              <w:top w:val="single" w:sz="8" w:color="CCEEFF"/>
            </w:tcBorders>
            <w:shd w:val="clear" w:color="auto" w:fill="CCEEFF"/>
          </w:tcPr>
          <w:p>
            <w:pPr>
              <w:spacing w:after="0"/>
              <w:rPr>
                <w:sz w:val="15"/>
                <w:szCs w:val="15"/>
                <w:color w:val="auto"/>
              </w:rPr>
            </w:pPr>
          </w:p>
        </w:tc>
        <w:tc>
          <w:tcPr>
            <w:tcW w:w="2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PRST</w:t>
            </w:r>
          </w:p>
        </w:tc>
        <w:tc>
          <w:tcPr>
            <w:tcW w:w="160" w:type="dxa"/>
            <w:vAlign w:val="bottom"/>
            <w:tcBorders>
              <w:top w:val="single" w:sz="8" w:color="CCEEFF"/>
            </w:tcBorders>
            <w:shd w:val="clear" w:color="auto" w:fill="CCEEFF"/>
          </w:tcPr>
          <w:p>
            <w:pPr>
              <w:spacing w:after="0"/>
              <w:rPr>
                <w:sz w:val="15"/>
                <w:szCs w:val="15"/>
                <w:color w:val="auto"/>
              </w:rPr>
            </w:pPr>
          </w:p>
        </w:tc>
        <w:tc>
          <w:tcPr>
            <w:tcW w:w="3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The Nasdaq Stock Market LLC</w:t>
            </w:r>
          </w:p>
        </w:tc>
      </w:tr>
      <w:tr>
        <w:trPr>
          <w:trHeight w:val="175"/>
        </w:trPr>
        <w:tc>
          <w:tcPr>
            <w:tcW w:w="3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60" w:type="dxa"/>
            <w:vAlign w:val="bottom"/>
          </w:tcPr>
          <w:p>
            <w:pPr>
              <w:spacing w:after="0"/>
              <w:rPr>
                <w:sz w:val="15"/>
                <w:szCs w:val="15"/>
                <w:color w:val="auto"/>
              </w:rPr>
            </w:pPr>
          </w:p>
        </w:tc>
      </w:tr>
      <w:tr>
        <w:trPr>
          <w:trHeight w:val="143"/>
        </w:trPr>
        <w:tc>
          <w:tcPr>
            <w:tcW w:w="3720" w:type="dxa"/>
            <w:vAlign w:val="bottom"/>
            <w:gridSpan w:val="2"/>
            <w:shd w:val="clear" w:color="auto" w:fill="CCEEFF"/>
          </w:tcPr>
          <w:p>
            <w:pPr>
              <w:jc w:val="center"/>
              <w:ind w:right="140"/>
              <w:spacing w:after="0" w:line="143" w:lineRule="exact"/>
              <w:rPr>
                <w:sz w:val="20"/>
                <w:szCs w:val="20"/>
                <w:color w:val="auto"/>
              </w:rPr>
            </w:pPr>
            <w:r>
              <w:rPr>
                <w:rFonts w:ascii="Arial" w:cs="Arial" w:eastAsia="Arial" w:hAnsi="Arial"/>
                <w:sz w:val="14"/>
                <w:szCs w:val="14"/>
                <w:color w:val="auto"/>
                <w:w w:val="92"/>
              </w:rPr>
              <w:t>Warrants, each whole warrant exercisable for one share of</w:t>
            </w:r>
          </w:p>
        </w:tc>
        <w:tc>
          <w:tcPr>
            <w:tcW w:w="2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60" w:type="dxa"/>
            <w:vAlign w:val="bottom"/>
            <w:shd w:val="clear" w:color="auto" w:fill="CCEEFF"/>
          </w:tcPr>
          <w:p>
            <w:pPr>
              <w:spacing w:after="0"/>
              <w:rPr>
                <w:sz w:val="12"/>
                <w:szCs w:val="12"/>
                <w:color w:val="auto"/>
              </w:rPr>
            </w:pPr>
          </w:p>
        </w:tc>
      </w:tr>
      <w:tr>
        <w:trPr>
          <w:trHeight w:val="194"/>
        </w:trPr>
        <w:tc>
          <w:tcPr>
            <w:tcW w:w="372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1"/>
              </w:rPr>
              <w:t>Common Stock, each at an exercise price of $8.21 per share</w:t>
            </w:r>
          </w:p>
        </w:tc>
        <w:tc>
          <w:tcPr>
            <w:tcW w:w="314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4"/>
              </w:rPr>
              <w:t>PRSTW</w:t>
            </w:r>
          </w:p>
        </w:tc>
        <w:tc>
          <w:tcPr>
            <w:tcW w:w="3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The Nasdaq Stock Market LLC</w:t>
            </w:r>
          </w:p>
        </w:tc>
      </w:tr>
    </w:tbl>
    <w:p>
      <w:pPr>
        <w:spacing w:after="0" w:line="16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defned in Rule 405 of the Securites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4"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20" w:lineRule="exact"/>
        <w:rPr>
          <w:sz w:val="24"/>
          <w:szCs w:val="24"/>
          <w:color w:val="auto"/>
        </w:rPr>
      </w:pPr>
    </w:p>
    <w:p>
      <w:pPr>
        <w:ind w:right="240"/>
        <w:spacing w:after="0" w:line="188" w:lineRule="exact"/>
        <w:rPr>
          <w:sz w:val="20"/>
          <w:szCs w:val="20"/>
          <w:color w:val="auto"/>
        </w:rPr>
      </w:pPr>
      <w:r>
        <w:rPr>
          <w:rFonts w:ascii="Arial" w:cs="Arial" w:eastAsia="Arial" w:hAnsi="Arial"/>
          <w:sz w:val="14"/>
          <w:szCs w:val="14"/>
          <w:color w:val="auto"/>
        </w:rPr>
        <w:t xml:space="preserve">Indicate by check mark whether the registrant (1) has fled all reports required to be fled by Secton 13 or 15(d) of the Securites Exchange Act of 1934 during the preceding 12 months (or for such shorter period that the registrant was required to fle such reports), and (2) has been subject to such fling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1" w:lineRule="exact"/>
        <w:rPr>
          <w:sz w:val="24"/>
          <w:szCs w:val="24"/>
          <w:color w:val="auto"/>
        </w:rPr>
      </w:pPr>
    </w:p>
    <w:p>
      <w:pPr>
        <w:ind w:right="240"/>
        <w:spacing w:after="0" w:line="200" w:lineRule="exact"/>
        <w:rPr>
          <w:sz w:val="20"/>
          <w:szCs w:val="20"/>
          <w:color w:val="auto"/>
        </w:rPr>
      </w:pPr>
      <w:r>
        <w:rPr>
          <w:rFonts w:ascii="Arial" w:cs="Arial" w:eastAsia="Arial" w:hAnsi="Arial"/>
          <w:sz w:val="13"/>
          <w:szCs w:val="13"/>
          <w:color w:val="auto"/>
        </w:rPr>
        <w:t xml:space="preserve">Indicate by check mark whether the registrant has submited electronically every Interactve Data File required to be submited pursuant to Rule 405 of Regulaton S-T (§232.405 of this chapter) during the preceding 12 months (or for such shorter period that the registrant was required to submit such fles).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40" w:lineRule="exact"/>
        <w:rPr>
          <w:sz w:val="24"/>
          <w:szCs w:val="24"/>
          <w:color w:val="auto"/>
        </w:rPr>
      </w:pPr>
    </w:p>
    <w:p>
      <w:pPr>
        <w:jc w:val="both"/>
        <w:ind w:right="80"/>
        <w:spacing w:after="0" w:line="267" w:lineRule="auto"/>
        <w:rPr>
          <w:sz w:val="20"/>
          <w:szCs w:val="20"/>
          <w:color w:val="auto"/>
        </w:rPr>
      </w:pPr>
      <w:r>
        <w:rPr>
          <w:rFonts w:ascii="Arial" w:cs="Arial" w:eastAsia="Arial" w:hAnsi="Arial"/>
          <w:sz w:val="14"/>
          <w:szCs w:val="14"/>
          <w:color w:val="auto"/>
        </w:rPr>
        <w:t>Indicate by check mark whether the registrant is a large accelerated fler, an accelerated fler, a non-accelerated fler, smaller reportng company, or an emerging growth company. See the defnitons of “large accelerated fler,” “accelerated fler,” “smaller reportng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22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58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4100" w:type="dxa"/>
            <w:vAlign w:val="bottom"/>
          </w:tcPr>
          <w:p>
            <w:pPr>
              <w:ind w:left="1760"/>
              <w:spacing w:after="0"/>
              <w:rPr>
                <w:sz w:val="20"/>
                <w:szCs w:val="20"/>
                <w:color w:val="auto"/>
              </w:rPr>
            </w:pPr>
            <w:r>
              <w:rPr>
                <w:rFonts w:ascii="Arial" w:cs="Arial" w:eastAsia="Arial" w:hAnsi="Arial"/>
                <w:sz w:val="14"/>
                <w:szCs w:val="14"/>
                <w:color w:val="auto"/>
              </w:rPr>
              <w:t>Accelerated filer</w:t>
            </w:r>
          </w:p>
        </w:tc>
        <w:tc>
          <w:tcPr>
            <w:tcW w:w="920" w:type="dxa"/>
            <w:vAlign w:val="bottom"/>
          </w:tcPr>
          <w:p>
            <w:pPr>
              <w:ind w:left="7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2280" w:type="dxa"/>
            <w:vAlign w:val="bottom"/>
          </w:tcPr>
          <w:p>
            <w:pPr>
              <w:spacing w:after="0"/>
              <w:rPr>
                <w:sz w:val="20"/>
                <w:szCs w:val="20"/>
                <w:color w:val="auto"/>
              </w:rPr>
            </w:pPr>
            <w:r>
              <w:rPr>
                <w:rFonts w:ascii="Arial" w:cs="Arial" w:eastAsia="Arial" w:hAnsi="Arial"/>
                <w:sz w:val="14"/>
                <w:szCs w:val="14"/>
                <w:color w:val="auto"/>
              </w:rPr>
              <w:t>Non-accelerated filer</w:t>
            </w:r>
          </w:p>
        </w:tc>
        <w:tc>
          <w:tcPr>
            <w:tcW w:w="258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4100" w:type="dxa"/>
            <w:vAlign w:val="bottom"/>
          </w:tcPr>
          <w:p>
            <w:pPr>
              <w:ind w:left="1760"/>
              <w:spacing w:after="0"/>
              <w:rPr>
                <w:sz w:val="20"/>
                <w:szCs w:val="20"/>
                <w:color w:val="auto"/>
              </w:rPr>
            </w:pPr>
            <w:r>
              <w:rPr>
                <w:rFonts w:ascii="Arial" w:cs="Arial" w:eastAsia="Arial" w:hAnsi="Arial"/>
                <w:sz w:val="14"/>
                <w:szCs w:val="14"/>
                <w:color w:val="auto"/>
              </w:rPr>
              <w:t>Smaller reporting company</w:t>
            </w:r>
          </w:p>
        </w:tc>
        <w:tc>
          <w:tcPr>
            <w:tcW w:w="920" w:type="dxa"/>
            <w:vAlign w:val="bottom"/>
          </w:tcPr>
          <w:p>
            <w:pPr>
              <w:ind w:left="7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228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58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4100" w:type="dxa"/>
            <w:vAlign w:val="bottom"/>
          </w:tcPr>
          <w:p>
            <w:pPr>
              <w:spacing w:after="0"/>
              <w:rPr>
                <w:sz w:val="21"/>
                <w:szCs w:val="21"/>
                <w:color w:val="auto"/>
              </w:rPr>
            </w:pPr>
          </w:p>
        </w:tc>
        <w:tc>
          <w:tcPr>
            <w:tcW w:w="920" w:type="dxa"/>
            <w:vAlign w:val="bottom"/>
          </w:tcPr>
          <w:p>
            <w:pPr>
              <w:spacing w:after="0"/>
              <w:rPr>
                <w:sz w:val="21"/>
                <w:szCs w:val="21"/>
                <w:color w:val="auto"/>
              </w:rPr>
            </w:pPr>
          </w:p>
        </w:tc>
      </w:tr>
    </w:tbl>
    <w:p>
      <w:pPr>
        <w:spacing w:after="0" w:line="166" w:lineRule="exact"/>
        <w:rPr>
          <w:sz w:val="24"/>
          <w:szCs w:val="24"/>
          <w:color w:val="auto"/>
        </w:rPr>
      </w:pPr>
    </w:p>
    <w:p>
      <w:pPr>
        <w:ind w:right="340"/>
        <w:spacing w:after="0" w:line="20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4"/>
          <w:szCs w:val="14"/>
          <w:color w:val="auto"/>
        </w:rPr>
        <w:t>☐</w:t>
      </w:r>
    </w:p>
    <w:p>
      <w:pPr>
        <w:spacing w:after="0" w:line="78" w:lineRule="exact"/>
        <w:rPr>
          <w:sz w:val="24"/>
          <w:szCs w:val="24"/>
          <w:color w:val="auto"/>
        </w:rPr>
      </w:pPr>
    </w:p>
    <w:p>
      <w:pPr>
        <w:ind w:right="120"/>
        <w:spacing w:after="0" w:line="191"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59" w:lineRule="exact"/>
        <w:rPr>
          <w:sz w:val="24"/>
          <w:szCs w:val="24"/>
          <w:color w:val="auto"/>
        </w:rPr>
      </w:pPr>
    </w:p>
    <w:p>
      <w:pPr>
        <w:jc w:val="both"/>
        <w:ind w:right="180"/>
        <w:spacing w:after="0" w:line="267" w:lineRule="auto"/>
        <w:rPr>
          <w:sz w:val="20"/>
          <w:szCs w:val="20"/>
          <w:color w:val="auto"/>
        </w:rPr>
      </w:pPr>
      <w:r>
        <w:rPr>
          <w:rFonts w:ascii="Arial" w:cs="Arial" w:eastAsia="Arial" w:hAnsi="Arial"/>
          <w:sz w:val="14"/>
          <w:szCs w:val="14"/>
          <w:color w:val="auto"/>
        </w:rPr>
        <w:t>The aggregate market value of the votng and non-votng stock held by non-afliates of the registrant as of December 31, 2022, the last business day of the registrant’s most recently completed second fscal quarter, was approximately $46.2 million, calculated by using the closing price of the registrant’s Common Stock on such date on the Nasdaq Stock Market LLC of $2.29.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55" w:right="999" w:bottom="1440" w:gutter="0" w:footer="0" w:header="0"/>
        </w:sectPr>
      </w:pPr>
    </w:p>
    <w:bookmarkStart w:id="1" w:name="page2"/>
    <w:bookmarkEnd w:id="1"/>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As of September 30, 2023, 57,855,594 shares of Common Stock, par value $0.0001 per share were issued and outstanding.</w:t>
      </w:r>
    </w:p>
    <w:p>
      <w:pPr>
        <w:spacing w:after="0" w:line="30"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DOCUMENTS INCORPORATED BY REFERENCE</w:t>
      </w:r>
    </w:p>
    <w:p>
      <w:pPr>
        <w:spacing w:after="0" w:line="86"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The registrant intends to file a proxy statement pursuant to Regulation 14A within 120 days of the end of the fiscal year ended June 30, 2023. Portions of such proxy statement are incorporated by reference into Part III of this Annual Report on Form 10-K.</w:t>
      </w:r>
    </w:p>
    <w:p>
      <w:pPr>
        <w:spacing w:after="0" w:line="129" w:lineRule="exact"/>
        <w:rPr>
          <w:sz w:val="20"/>
          <w:szCs w:val="20"/>
          <w:color w:val="auto"/>
        </w:rPr>
      </w:pPr>
    </w:p>
    <w:p>
      <w:pPr>
        <w:ind w:left="860"/>
        <w:spacing w:after="0"/>
        <w:tabs>
          <w:tab w:leader="none" w:pos="3620" w:val="left"/>
          <w:tab w:leader="none" w:pos="7720" w:val="left"/>
        </w:tabs>
        <w:rPr>
          <w:sz w:val="20"/>
          <w:szCs w:val="20"/>
          <w:color w:val="auto"/>
        </w:rPr>
      </w:pPr>
      <w:r>
        <w:rPr>
          <w:rFonts w:ascii="Arial" w:cs="Arial" w:eastAsia="Arial" w:hAnsi="Arial"/>
          <w:sz w:val="14"/>
          <w:szCs w:val="14"/>
          <w:b w:val="1"/>
          <w:bCs w:val="1"/>
          <w:color w:val="auto"/>
        </w:rPr>
        <w:t xml:space="preserve">Auditor Name: </w:t>
      </w:r>
      <w:r>
        <w:rPr>
          <w:rFonts w:ascii="Arial" w:cs="Arial" w:eastAsia="Arial" w:hAnsi="Arial"/>
          <w:sz w:val="14"/>
          <w:szCs w:val="14"/>
          <w:color w:val="auto"/>
        </w:rPr>
        <w:t>Moss Adams LLP</w:t>
      </w:r>
      <w:r>
        <w:rPr>
          <w:sz w:val="20"/>
          <w:szCs w:val="20"/>
          <w:color w:val="auto"/>
        </w:rPr>
        <w:tab/>
      </w:r>
      <w:r>
        <w:rPr>
          <w:rFonts w:ascii="Arial" w:cs="Arial" w:eastAsia="Arial" w:hAnsi="Arial"/>
          <w:sz w:val="14"/>
          <w:szCs w:val="14"/>
          <w:b w:val="1"/>
          <w:bCs w:val="1"/>
          <w:color w:val="auto"/>
        </w:rPr>
        <w:t xml:space="preserve">Auditor Location: </w:t>
      </w:r>
      <w:r>
        <w:rPr>
          <w:rFonts w:ascii="Arial" w:cs="Arial" w:eastAsia="Arial" w:hAnsi="Arial"/>
          <w:sz w:val="14"/>
          <w:szCs w:val="14"/>
          <w:color w:val="auto"/>
        </w:rPr>
        <w:t>San Francisco, California</w:t>
      </w:r>
      <w:r>
        <w:rPr>
          <w:sz w:val="20"/>
          <w:szCs w:val="20"/>
          <w:color w:val="auto"/>
        </w:rPr>
        <w:tab/>
      </w:r>
      <w:r>
        <w:rPr>
          <w:rFonts w:ascii="Arial" w:cs="Arial" w:eastAsia="Arial" w:hAnsi="Arial"/>
          <w:sz w:val="14"/>
          <w:szCs w:val="14"/>
          <w:b w:val="1"/>
          <w:bCs w:val="1"/>
          <w:color w:val="auto"/>
        </w:rPr>
        <w:t xml:space="preserve">Auditor Firm ID: </w:t>
      </w:r>
      <w:r>
        <w:rPr>
          <w:rFonts w:ascii="Arial" w:cs="Arial" w:eastAsia="Arial" w:hAnsi="Arial"/>
          <w:sz w:val="14"/>
          <w:szCs w:val="14"/>
          <w:color w:val="auto"/>
        </w:rPr>
        <w:t>659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598170</wp:posOffset>
            </wp:positionV>
            <wp:extent cx="62922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152400</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220980</wp:posOffset>
            </wp:positionV>
            <wp:extent cx="629221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00"/>
          </w:cols>
          <w:pgMar w:left="980" w:top="814" w:right="10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left="200" w:right="219" w:firstLine="648"/>
        <w:spacing w:after="0" w:line="284" w:lineRule="auto"/>
        <w:rPr>
          <w:sz w:val="20"/>
          <w:szCs w:val="20"/>
          <w:color w:val="auto"/>
        </w:rPr>
      </w:pPr>
      <w:r>
        <w:rPr>
          <w:rFonts w:ascii="Arial" w:cs="Arial" w:eastAsia="Arial" w:hAnsi="Arial"/>
          <w:sz w:val="16"/>
          <w:szCs w:val="16"/>
          <w:color w:val="auto"/>
        </w:rPr>
        <w:t>This Annual Report on Form 10-K/A constitutes Amendment No. 1 (the “Amendment”) to the Annual Report on Form 10-K of Presto Automation, Inc. (the “Company”) for the year ended June 30, 2023, which was originally filed with the Securities and Exchange Commission on October 11, 2023 (the “Original Filing”). This Amendment is being filed solely to amend the certification of the Principal Executive Officer of the Company required under Section 906 of the Sarbanes-Oxley Act of 2002 that was included as Exhibit 32.1 to the Original Filing (the “Certification”). Specifically, the introductory sentence of the Certification incorrectly referenced the name of the Company’s former Interim Chief Executive Officer, Krishna Gupta, rather than the name of the Company’s current Chief Executive Officer, Xavier Casanova. The Certification was properly executed by Xavier Casanova. A corrected copy of the certification of the Principal Executive Officer of the Company required under Section 906 of the Sarbanes-Oxley Act of 2002, dated October 12, 2023, is filed as Exhibit 32.3 to this Amendment.</w:t>
      </w:r>
    </w:p>
    <w:p>
      <w:pPr>
        <w:spacing w:after="0" w:line="172" w:lineRule="exact"/>
        <w:rPr>
          <w:sz w:val="20"/>
          <w:szCs w:val="20"/>
          <w:color w:val="auto"/>
        </w:rPr>
      </w:pPr>
    </w:p>
    <w:p>
      <w:pPr>
        <w:jc w:val="both"/>
        <w:ind w:left="200" w:right="219" w:firstLine="648"/>
        <w:spacing w:after="0" w:line="259" w:lineRule="auto"/>
        <w:rPr>
          <w:sz w:val="20"/>
          <w:szCs w:val="20"/>
          <w:color w:val="auto"/>
        </w:rPr>
      </w:pPr>
      <w:r>
        <w:rPr>
          <w:rFonts w:ascii="Arial" w:cs="Arial" w:eastAsia="Arial" w:hAnsi="Arial"/>
          <w:sz w:val="18"/>
          <w:szCs w:val="18"/>
          <w:color w:val="auto"/>
        </w:rPr>
        <w:t>The certifications required under Sections 302 and 906 of the Sarbanes-Oxley Act of 2002 that were filed and furnished, respectively, as Exhibits 31.1, 31.2 and 32.1 to the Original Filing have been re-executed and re-filed as of the date of this Amendment and are included as Exhibits 31.3, 31.4 and 32.3. Part IV, Item 15 of the Original Filing has been amended to reflect the new certifications.</w:t>
      </w:r>
    </w:p>
    <w:p>
      <w:pPr>
        <w:spacing w:after="0" w:line="254" w:lineRule="exact"/>
        <w:rPr>
          <w:sz w:val="20"/>
          <w:szCs w:val="20"/>
          <w:color w:val="auto"/>
        </w:rPr>
      </w:pPr>
    </w:p>
    <w:p>
      <w:pPr>
        <w:jc w:val="both"/>
        <w:ind w:left="200" w:right="219" w:firstLine="648"/>
        <w:spacing w:after="0" w:line="254" w:lineRule="auto"/>
        <w:rPr>
          <w:sz w:val="20"/>
          <w:szCs w:val="20"/>
          <w:color w:val="auto"/>
        </w:rPr>
      </w:pPr>
      <w:r>
        <w:rPr>
          <w:rFonts w:ascii="Arial" w:cs="Arial" w:eastAsia="Arial" w:hAnsi="Arial"/>
          <w:sz w:val="18"/>
          <w:szCs w:val="18"/>
          <w:color w:val="auto"/>
        </w:rPr>
        <w:t>Other than as described above, this Amendment does not amend, update or restate any information included in the Original Filing. This Amendment does not reflect events occurring after the Original Filing or modify or update disclosures in the Original Filing affected by subsequent events. This Amendment should be read in conjunction with the Original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498475</wp:posOffset>
            </wp:positionV>
            <wp:extent cx="545211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85"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15. Exhibits and Financial Statement.</w:t>
      </w:r>
    </w:p>
    <w:p>
      <w:pPr>
        <w:spacing w:after="0" w:line="22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 following exhibits are filed or furnished as an exhibit to this Annual Report on Form 10-K.</w:t>
      </w:r>
    </w:p>
    <w:p>
      <w:pPr>
        <w:spacing w:after="0" w:line="216"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10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4"/>
        </w:trPr>
        <w:tc>
          <w:tcPr>
            <w:tcW w:w="104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7540" w:type="dxa"/>
            <w:vAlign w:val="bottom"/>
            <w:gridSpan w:val="35"/>
          </w:tcPr>
          <w:p>
            <w:pPr>
              <w:spacing w:after="0"/>
              <w:rPr>
                <w:sz w:val="20"/>
                <w:szCs w:val="20"/>
                <w:color w:val="auto"/>
              </w:rPr>
            </w:pPr>
            <w:r>
              <w:rPr>
                <w:rFonts w:ascii="Arial" w:cs="Arial" w:eastAsia="Arial" w:hAnsi="Arial"/>
                <w:sz w:val="14"/>
                <w:szCs w:val="14"/>
                <w:b w:val="1"/>
                <w:bCs w:val="1"/>
                <w:color w:val="auto"/>
              </w:rPr>
              <w:t>Description</w:t>
            </w:r>
          </w:p>
        </w:tc>
      </w:tr>
      <w:tr>
        <w:trPr>
          <w:trHeight w:val="168"/>
        </w:trPr>
        <w:tc>
          <w:tcPr>
            <w:tcW w:w="1040" w:type="dxa"/>
            <w:vAlign w:val="bottom"/>
            <w:tcBorders>
              <w:bottom w:val="single" w:sz="8" w:color="CCEEFF"/>
            </w:tcBorders>
            <w:shd w:val="clear" w:color="auto" w:fill="CCEEFF"/>
          </w:tcPr>
          <w:p>
            <w:pPr>
              <w:spacing w:after="0" w:line="148" w:lineRule="exact"/>
              <w:rPr>
                <w:sz w:val="20"/>
                <w:szCs w:val="20"/>
                <w:color w:val="auto"/>
              </w:rPr>
            </w:pPr>
            <w:r>
              <w:rPr>
                <w:rFonts w:ascii="Arial" w:cs="Arial" w:eastAsia="Arial" w:hAnsi="Arial"/>
                <w:sz w:val="17"/>
                <w:szCs w:val="17"/>
                <w:color w:val="auto"/>
              </w:rPr>
              <w:t>2.1†</w:t>
            </w:r>
          </w:p>
        </w:tc>
        <w:tc>
          <w:tcPr>
            <w:tcW w:w="7060" w:type="dxa"/>
            <w:vAlign w:val="bottom"/>
            <w:tcBorders>
              <w:bottom w:val="single" w:sz="8" w:color="0000EE"/>
            </w:tcBorders>
            <w:gridSpan w:val="22"/>
            <w:shd w:val="clear" w:color="auto" w:fill="CCEEFF"/>
          </w:tcPr>
          <w:p>
            <w:pPr>
              <w:spacing w:after="0" w:line="148" w:lineRule="exact"/>
              <w:rPr>
                <w:rFonts w:ascii="Arial" w:cs="Arial" w:eastAsia="Arial" w:hAnsi="Arial"/>
                <w:sz w:val="17"/>
                <w:szCs w:val="17"/>
                <w:color w:val="0000EE"/>
                <w:w w:val="95"/>
              </w:rPr>
            </w:pPr>
            <w:hyperlink r:id="rId15">
              <w:r>
                <w:rPr>
                  <w:rFonts w:ascii="Arial" w:cs="Arial" w:eastAsia="Arial" w:hAnsi="Arial"/>
                  <w:sz w:val="17"/>
                  <w:szCs w:val="17"/>
                  <w:color w:val="0000EE"/>
                  <w:w w:val="95"/>
                </w:rPr>
                <w:t>Merger Agreement, dated as of November 10, 2021, by and among VTAQ, Ventoux Merger Sub I,</w:t>
              </w:r>
            </w:hyperlink>
          </w:p>
        </w:tc>
        <w:tc>
          <w:tcPr>
            <w:tcW w:w="480" w:type="dxa"/>
            <w:vAlign w:val="bottom"/>
            <w:tcBorders>
              <w:bottom w:val="single" w:sz="8" w:color="CCEEFF"/>
            </w:tcBorders>
            <w:gridSpan w:val="13"/>
            <w:shd w:val="clear" w:color="auto" w:fill="CCEEFF"/>
          </w:tcPr>
          <w:p>
            <w:pPr>
              <w:spacing w:after="0"/>
              <w:rPr>
                <w:sz w:val="14"/>
                <w:szCs w:val="14"/>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7040" w:type="dxa"/>
            <w:vAlign w:val="bottom"/>
            <w:tcBorders>
              <w:bottom w:val="single" w:sz="8" w:color="0000EE"/>
            </w:tcBorders>
            <w:gridSpan w:val="21"/>
            <w:shd w:val="clear" w:color="auto" w:fill="CCEEFF"/>
          </w:tcPr>
          <w:p>
            <w:pPr>
              <w:spacing w:after="0" w:line="196" w:lineRule="exact"/>
              <w:rPr>
                <w:rFonts w:ascii="Arial" w:cs="Arial" w:eastAsia="Arial" w:hAnsi="Arial"/>
                <w:sz w:val="18"/>
                <w:szCs w:val="18"/>
                <w:color w:val="0000EE"/>
                <w:w w:val="90"/>
              </w:rPr>
            </w:pPr>
            <w:hyperlink r:id="rId15">
              <w:r>
                <w:rPr>
                  <w:rFonts w:ascii="Arial" w:cs="Arial" w:eastAsia="Arial" w:hAnsi="Arial"/>
                  <w:sz w:val="18"/>
                  <w:szCs w:val="18"/>
                  <w:color w:val="0000EE"/>
                  <w:w w:val="90"/>
                </w:rPr>
                <w:t>Ventoux Merger Sub II and Legacy Presto (incorporated by reference to Exhibit 2.1 to the Current</w:t>
              </w:r>
            </w:hyperlink>
          </w:p>
        </w:tc>
        <w:tc>
          <w:tcPr>
            <w:tcW w:w="500" w:type="dxa"/>
            <w:vAlign w:val="bottom"/>
            <w:tcBorders>
              <w:bottom w:val="single" w:sz="8" w:color="CCEEFF"/>
            </w:tcBorders>
            <w:gridSpan w:val="14"/>
            <w:shd w:val="clear" w:color="auto" w:fill="CCEEFF"/>
          </w:tcPr>
          <w:p>
            <w:pPr>
              <w:spacing w:after="0"/>
              <w:rPr>
                <w:sz w:val="17"/>
                <w:szCs w:val="17"/>
                <w:color w:val="auto"/>
              </w:rPr>
            </w:pPr>
          </w:p>
        </w:tc>
      </w:tr>
      <w:tr>
        <w:trPr>
          <w:trHeight w:val="230"/>
        </w:trPr>
        <w:tc>
          <w:tcPr>
            <w:tcW w:w="1040" w:type="dxa"/>
            <w:vAlign w:val="bottom"/>
            <w:tcBorders>
              <w:bottom w:val="single" w:sz="8" w:color="CCEEFF"/>
            </w:tcBorders>
            <w:shd w:val="clear" w:color="auto" w:fill="CCEEFF"/>
          </w:tcPr>
          <w:p>
            <w:pPr>
              <w:spacing w:after="0"/>
              <w:rPr>
                <w:sz w:val="20"/>
                <w:szCs w:val="20"/>
                <w:color w:val="auto"/>
              </w:rPr>
            </w:pPr>
          </w:p>
        </w:tc>
        <w:tc>
          <w:tcPr>
            <w:tcW w:w="3600" w:type="dxa"/>
            <w:vAlign w:val="bottom"/>
            <w:tcBorders>
              <w:bottom w:val="single" w:sz="8" w:color="0000EE"/>
            </w:tcBorders>
            <w:gridSpan w:val="11"/>
            <w:shd w:val="clear" w:color="auto" w:fill="CCEEFF"/>
          </w:tcPr>
          <w:p>
            <w:pPr>
              <w:spacing w:after="0" w:line="196" w:lineRule="exact"/>
              <w:rPr>
                <w:rFonts w:ascii="Arial" w:cs="Arial" w:eastAsia="Arial" w:hAnsi="Arial"/>
                <w:sz w:val="18"/>
                <w:szCs w:val="18"/>
                <w:color w:val="0000EE"/>
                <w:w w:val="91"/>
              </w:rPr>
            </w:pPr>
            <w:hyperlink r:id="rId15">
              <w:r>
                <w:rPr>
                  <w:rFonts w:ascii="Arial" w:cs="Arial" w:eastAsia="Arial" w:hAnsi="Arial"/>
                  <w:sz w:val="18"/>
                  <w:szCs w:val="18"/>
                  <w:color w:val="0000EE"/>
                  <w:w w:val="91"/>
                </w:rPr>
                <w:t>Report on Form 8-K fled on November 10, 2021).</w:t>
              </w:r>
            </w:hyperlink>
          </w:p>
        </w:tc>
        <w:tc>
          <w:tcPr>
            <w:tcW w:w="3940" w:type="dxa"/>
            <w:vAlign w:val="bottom"/>
            <w:tcBorders>
              <w:bottom w:val="single" w:sz="8" w:color="CCEEFF"/>
            </w:tcBorders>
            <w:gridSpan w:val="24"/>
            <w:shd w:val="clear" w:color="auto" w:fill="CCEEFF"/>
          </w:tcPr>
          <w:p>
            <w:pPr>
              <w:spacing w:after="0"/>
              <w:rPr>
                <w:sz w:val="20"/>
                <w:szCs w:val="20"/>
                <w:color w:val="auto"/>
              </w:rPr>
            </w:pPr>
          </w:p>
        </w:tc>
      </w:tr>
      <w:tr>
        <w:trPr>
          <w:trHeight w:val="162"/>
        </w:trPr>
        <w:tc>
          <w:tcPr>
            <w:tcW w:w="1040" w:type="dxa"/>
            <w:vAlign w:val="bottom"/>
          </w:tcPr>
          <w:p>
            <w:pPr>
              <w:spacing w:after="0" w:line="142" w:lineRule="exact"/>
              <w:rPr>
                <w:sz w:val="20"/>
                <w:szCs w:val="20"/>
                <w:color w:val="auto"/>
              </w:rPr>
            </w:pPr>
            <w:r>
              <w:rPr>
                <w:rFonts w:ascii="Arial" w:cs="Arial" w:eastAsia="Arial" w:hAnsi="Arial"/>
                <w:sz w:val="16"/>
                <w:szCs w:val="16"/>
                <w:color w:val="auto"/>
              </w:rPr>
              <w:t>2.2</w:t>
            </w:r>
          </w:p>
        </w:tc>
        <w:tc>
          <w:tcPr>
            <w:tcW w:w="7080" w:type="dxa"/>
            <w:vAlign w:val="bottom"/>
            <w:tcBorders>
              <w:bottom w:val="single" w:sz="8" w:color="0000EE"/>
            </w:tcBorders>
            <w:gridSpan w:val="23"/>
          </w:tcPr>
          <w:p>
            <w:pPr>
              <w:spacing w:after="0" w:line="142" w:lineRule="exact"/>
              <w:rPr>
                <w:rFonts w:ascii="Arial" w:cs="Arial" w:eastAsia="Arial" w:hAnsi="Arial"/>
                <w:sz w:val="16"/>
                <w:szCs w:val="16"/>
                <w:color w:val="0000EE"/>
              </w:rPr>
            </w:pPr>
            <w:hyperlink r:id="rId16">
              <w:r>
                <w:rPr>
                  <w:rFonts w:ascii="Arial" w:cs="Arial" w:eastAsia="Arial" w:hAnsi="Arial"/>
                  <w:sz w:val="16"/>
                  <w:szCs w:val="16"/>
                  <w:color w:val="0000EE"/>
                </w:rPr>
                <w:t>Amendment No. 1 to Merger Agreement, dated as of April 1, 2022, by and among VTAQ, Ventoux</w:t>
              </w:r>
            </w:hyperlink>
          </w:p>
        </w:tc>
        <w:tc>
          <w:tcPr>
            <w:tcW w:w="460" w:type="dxa"/>
            <w:vAlign w:val="bottom"/>
            <w:gridSpan w:val="12"/>
          </w:tcPr>
          <w:p>
            <w:pPr>
              <w:spacing w:after="0"/>
              <w:rPr>
                <w:sz w:val="14"/>
                <w:szCs w:val="14"/>
                <w:color w:val="auto"/>
              </w:rPr>
            </w:pPr>
          </w:p>
        </w:tc>
      </w:tr>
      <w:tr>
        <w:trPr>
          <w:trHeight w:val="196"/>
        </w:trPr>
        <w:tc>
          <w:tcPr>
            <w:tcW w:w="1040" w:type="dxa"/>
            <w:vAlign w:val="bottom"/>
          </w:tcPr>
          <w:p>
            <w:pPr>
              <w:spacing w:after="0"/>
              <w:rPr>
                <w:sz w:val="17"/>
                <w:szCs w:val="17"/>
                <w:color w:val="auto"/>
              </w:rPr>
            </w:pPr>
          </w:p>
        </w:tc>
        <w:tc>
          <w:tcPr>
            <w:tcW w:w="7540" w:type="dxa"/>
            <w:vAlign w:val="bottom"/>
            <w:tcBorders>
              <w:bottom w:val="single" w:sz="8" w:color="0000EE"/>
            </w:tcBorders>
            <w:gridSpan w:val="35"/>
          </w:tcPr>
          <w:p>
            <w:pPr>
              <w:spacing w:after="0" w:line="196" w:lineRule="exact"/>
              <w:rPr>
                <w:rFonts w:ascii="Arial" w:cs="Arial" w:eastAsia="Arial" w:hAnsi="Arial"/>
                <w:sz w:val="18"/>
                <w:szCs w:val="18"/>
                <w:color w:val="0000EE"/>
                <w:w w:val="90"/>
              </w:rPr>
            </w:pPr>
            <w:hyperlink r:id="rId16">
              <w:r>
                <w:rPr>
                  <w:rFonts w:ascii="Arial" w:cs="Arial" w:eastAsia="Arial" w:hAnsi="Arial"/>
                  <w:sz w:val="18"/>
                  <w:szCs w:val="18"/>
                  <w:color w:val="0000EE"/>
                  <w:w w:val="90"/>
                </w:rPr>
                <w:t>Merger Sub I, Ventoux Merger Sub II and Presto (incorporated by reference to Exhibit 2.1 to the Current</w:t>
              </w:r>
            </w:hyperlink>
          </w:p>
        </w:tc>
      </w:tr>
      <w:tr>
        <w:trPr>
          <w:trHeight w:val="196"/>
        </w:trPr>
        <w:tc>
          <w:tcPr>
            <w:tcW w:w="1040" w:type="dxa"/>
            <w:vAlign w:val="bottom"/>
          </w:tcPr>
          <w:p>
            <w:pPr>
              <w:spacing w:after="0"/>
              <w:rPr>
                <w:sz w:val="17"/>
                <w:szCs w:val="17"/>
                <w:color w:val="auto"/>
              </w:rPr>
            </w:pPr>
          </w:p>
        </w:tc>
        <w:tc>
          <w:tcPr>
            <w:tcW w:w="7540" w:type="dxa"/>
            <w:vAlign w:val="bottom"/>
            <w:gridSpan w:val="35"/>
          </w:tcPr>
          <w:p>
            <w:pPr>
              <w:spacing w:after="0" w:line="196" w:lineRule="exact"/>
              <w:rPr>
                <w:rFonts w:ascii="Arial" w:cs="Arial" w:eastAsia="Arial" w:hAnsi="Arial"/>
                <w:sz w:val="18"/>
                <w:szCs w:val="18"/>
                <w:color w:val="0000EE"/>
              </w:rPr>
            </w:pPr>
            <w:hyperlink r:id="rId16">
              <w:r>
                <w:rPr>
                  <w:rFonts w:ascii="Arial" w:cs="Arial" w:eastAsia="Arial" w:hAnsi="Arial"/>
                  <w:sz w:val="18"/>
                  <w:szCs w:val="18"/>
                  <w:color w:val="0000EE"/>
                </w:rPr>
                <w:t>Report on Form 8-K fled on April 4, 2022).</w:t>
              </w:r>
            </w:hyperlink>
          </w:p>
        </w:tc>
      </w:tr>
      <w:tr>
        <w:trPr>
          <w:trHeight w:val="34"/>
        </w:trPr>
        <w:tc>
          <w:tcPr>
            <w:tcW w:w="1040" w:type="dxa"/>
            <w:vAlign w:val="bottom"/>
          </w:tcPr>
          <w:p>
            <w:pPr>
              <w:spacing w:after="0"/>
              <w:rPr>
                <w:sz w:val="2"/>
                <w:szCs w:val="2"/>
                <w:color w:val="auto"/>
              </w:rPr>
            </w:pPr>
          </w:p>
        </w:tc>
        <w:tc>
          <w:tcPr>
            <w:tcW w:w="15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1040" w:type="dxa"/>
            <w:vAlign w:val="bottom"/>
            <w:shd w:val="clear" w:color="auto" w:fill="CCEEFF"/>
          </w:tcPr>
          <w:p>
            <w:pPr>
              <w:spacing w:after="0" w:line="142" w:lineRule="exact"/>
              <w:rPr>
                <w:sz w:val="20"/>
                <w:szCs w:val="20"/>
                <w:color w:val="auto"/>
              </w:rPr>
            </w:pPr>
            <w:r>
              <w:rPr>
                <w:rFonts w:ascii="Arial" w:cs="Arial" w:eastAsia="Arial" w:hAnsi="Arial"/>
                <w:sz w:val="16"/>
                <w:szCs w:val="16"/>
                <w:color w:val="auto"/>
              </w:rPr>
              <w:t>2.3</w:t>
            </w:r>
          </w:p>
        </w:tc>
        <w:tc>
          <w:tcPr>
            <w:tcW w:w="7540" w:type="dxa"/>
            <w:vAlign w:val="bottom"/>
            <w:gridSpan w:val="35"/>
            <w:shd w:val="clear" w:color="auto" w:fill="CCEEFF"/>
          </w:tcPr>
          <w:p>
            <w:pPr>
              <w:spacing w:after="0" w:line="142" w:lineRule="exact"/>
              <w:rPr>
                <w:rFonts w:ascii="Arial" w:cs="Arial" w:eastAsia="Arial" w:hAnsi="Arial"/>
                <w:sz w:val="16"/>
                <w:szCs w:val="16"/>
                <w:color w:val="0000EE"/>
              </w:rPr>
            </w:pPr>
            <w:hyperlink r:id="rId17">
              <w:r>
                <w:rPr>
                  <w:rFonts w:ascii="Arial" w:cs="Arial" w:eastAsia="Arial" w:hAnsi="Arial"/>
                  <w:sz w:val="16"/>
                  <w:szCs w:val="16"/>
                  <w:color w:val="0000EE"/>
                </w:rPr>
                <w:t>Amendment No. 2 to Merger Agreement, dated as of July 25, 2022, by and among VTAQ, Ventoux</w:t>
              </w:r>
            </w:hyperlink>
          </w:p>
        </w:tc>
      </w:tr>
      <w:tr>
        <w:trPr>
          <w:trHeight w:val="20"/>
        </w:trPr>
        <w:tc>
          <w:tcPr>
            <w:tcW w:w="1040" w:type="dxa"/>
            <w:vAlign w:val="bottom"/>
            <w:shd w:val="clear" w:color="auto" w:fill="CCEEFF"/>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Borders>
              <w:right w:val="single" w:sz="8" w:color="CCEEFF"/>
            </w:tcBorders>
            <w:gridSpan w:val="4"/>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7540" w:type="dxa"/>
            <w:vAlign w:val="bottom"/>
            <w:tcBorders>
              <w:bottom w:val="single" w:sz="8" w:color="0000EE"/>
            </w:tcBorders>
            <w:gridSpan w:val="35"/>
            <w:shd w:val="clear" w:color="auto" w:fill="CCEEFF"/>
          </w:tcPr>
          <w:p>
            <w:pPr>
              <w:spacing w:after="0" w:line="196" w:lineRule="exact"/>
              <w:rPr>
                <w:rFonts w:ascii="Arial" w:cs="Arial" w:eastAsia="Arial" w:hAnsi="Arial"/>
                <w:sz w:val="18"/>
                <w:szCs w:val="18"/>
                <w:color w:val="0000EE"/>
                <w:w w:val="90"/>
              </w:rPr>
            </w:pPr>
            <w:hyperlink r:id="rId17">
              <w:r>
                <w:rPr>
                  <w:rFonts w:ascii="Arial" w:cs="Arial" w:eastAsia="Arial" w:hAnsi="Arial"/>
                  <w:sz w:val="18"/>
                  <w:szCs w:val="18"/>
                  <w:color w:val="0000EE"/>
                  <w:w w:val="90"/>
                </w:rPr>
                <w:t>Merger Sub I, Ventoux Merger Sub II and Presto (incorporated by reference to Exhibit 2.1 to the Current</w:t>
              </w:r>
            </w:hyperlink>
          </w:p>
        </w:tc>
      </w:tr>
      <w:tr>
        <w:trPr>
          <w:trHeight w:val="230"/>
        </w:trPr>
        <w:tc>
          <w:tcPr>
            <w:tcW w:w="1040" w:type="dxa"/>
            <w:vAlign w:val="bottom"/>
            <w:tcBorders>
              <w:bottom w:val="single" w:sz="8" w:color="CCEEFF"/>
            </w:tcBorders>
            <w:shd w:val="clear" w:color="auto" w:fill="CCEEFF"/>
          </w:tcPr>
          <w:p>
            <w:pPr>
              <w:spacing w:after="0"/>
              <w:rPr>
                <w:sz w:val="20"/>
                <w:szCs w:val="20"/>
                <w:color w:val="auto"/>
              </w:rPr>
            </w:pPr>
          </w:p>
        </w:tc>
        <w:tc>
          <w:tcPr>
            <w:tcW w:w="3100" w:type="dxa"/>
            <w:vAlign w:val="bottom"/>
            <w:tcBorders>
              <w:bottom w:val="single" w:sz="8" w:color="0000EE"/>
            </w:tcBorders>
            <w:gridSpan w:val="10"/>
            <w:shd w:val="clear" w:color="auto" w:fill="CCEEFF"/>
          </w:tcPr>
          <w:p>
            <w:pPr>
              <w:spacing w:after="0" w:line="196" w:lineRule="exact"/>
              <w:rPr>
                <w:rFonts w:ascii="Arial" w:cs="Arial" w:eastAsia="Arial" w:hAnsi="Arial"/>
                <w:sz w:val="18"/>
                <w:szCs w:val="18"/>
                <w:color w:val="0000EE"/>
                <w:w w:val="90"/>
              </w:rPr>
            </w:pPr>
            <w:hyperlink r:id="rId17">
              <w:r>
                <w:rPr>
                  <w:rFonts w:ascii="Arial" w:cs="Arial" w:eastAsia="Arial" w:hAnsi="Arial"/>
                  <w:sz w:val="18"/>
                  <w:szCs w:val="18"/>
                  <w:color w:val="0000EE"/>
                  <w:w w:val="90"/>
                </w:rPr>
                <w:t>Report on Form 8-K fled on July 26, 2022).</w:t>
              </w:r>
            </w:hyperlink>
          </w:p>
        </w:tc>
        <w:tc>
          <w:tcPr>
            <w:tcW w:w="4440" w:type="dxa"/>
            <w:vAlign w:val="bottom"/>
            <w:tcBorders>
              <w:bottom w:val="single" w:sz="8" w:color="CCEEFF"/>
            </w:tcBorders>
            <w:gridSpan w:val="25"/>
            <w:shd w:val="clear" w:color="auto" w:fill="CCEEFF"/>
          </w:tcPr>
          <w:p>
            <w:pPr>
              <w:spacing w:after="0"/>
              <w:rPr>
                <w:sz w:val="20"/>
                <w:szCs w:val="20"/>
                <w:color w:val="auto"/>
              </w:rPr>
            </w:pPr>
          </w:p>
        </w:tc>
      </w:tr>
      <w:tr>
        <w:trPr>
          <w:trHeight w:val="162"/>
        </w:trPr>
        <w:tc>
          <w:tcPr>
            <w:tcW w:w="1040" w:type="dxa"/>
            <w:vAlign w:val="bottom"/>
          </w:tcPr>
          <w:p>
            <w:pPr>
              <w:spacing w:after="0" w:line="142" w:lineRule="exact"/>
              <w:rPr>
                <w:sz w:val="20"/>
                <w:szCs w:val="20"/>
                <w:color w:val="auto"/>
              </w:rPr>
            </w:pPr>
            <w:r>
              <w:rPr>
                <w:rFonts w:ascii="Arial" w:cs="Arial" w:eastAsia="Arial" w:hAnsi="Arial"/>
                <w:sz w:val="16"/>
                <w:szCs w:val="16"/>
                <w:color w:val="auto"/>
              </w:rPr>
              <w:t>3.1</w:t>
            </w:r>
          </w:p>
        </w:tc>
        <w:tc>
          <w:tcPr>
            <w:tcW w:w="7320" w:type="dxa"/>
            <w:vAlign w:val="bottom"/>
            <w:tcBorders>
              <w:bottom w:val="single" w:sz="8" w:color="0000EE"/>
            </w:tcBorders>
            <w:gridSpan w:val="27"/>
          </w:tcPr>
          <w:p>
            <w:pPr>
              <w:spacing w:after="0" w:line="142" w:lineRule="exact"/>
              <w:rPr>
                <w:rFonts w:ascii="Arial" w:cs="Arial" w:eastAsia="Arial" w:hAnsi="Arial"/>
                <w:sz w:val="16"/>
                <w:szCs w:val="16"/>
                <w:color w:val="0000EE"/>
              </w:rPr>
            </w:pPr>
            <w:hyperlink r:id="rId18">
              <w:r>
                <w:rPr>
                  <w:rFonts w:ascii="Arial" w:cs="Arial" w:eastAsia="Arial" w:hAnsi="Arial"/>
                  <w:sz w:val="16"/>
                  <w:szCs w:val="16"/>
                  <w:color w:val="0000EE"/>
                </w:rPr>
                <w:t>Second Amended &amp; Restated Certfcate of Incorporaton (incorporated by reference to Exhibit 3.1 to</w:t>
              </w:r>
            </w:hyperlink>
          </w:p>
        </w:tc>
        <w:tc>
          <w:tcPr>
            <w:tcW w:w="220" w:type="dxa"/>
            <w:vAlign w:val="bottom"/>
            <w:gridSpan w:val="8"/>
          </w:tcPr>
          <w:p>
            <w:pPr>
              <w:spacing w:after="0"/>
              <w:rPr>
                <w:sz w:val="14"/>
                <w:szCs w:val="14"/>
                <w:color w:val="auto"/>
              </w:rPr>
            </w:pPr>
          </w:p>
        </w:tc>
      </w:tr>
      <w:tr>
        <w:trPr>
          <w:trHeight w:val="196"/>
        </w:trPr>
        <w:tc>
          <w:tcPr>
            <w:tcW w:w="1040" w:type="dxa"/>
            <w:vAlign w:val="bottom"/>
          </w:tcPr>
          <w:p>
            <w:pPr>
              <w:spacing w:after="0"/>
              <w:rPr>
                <w:sz w:val="17"/>
                <w:szCs w:val="17"/>
                <w:color w:val="auto"/>
              </w:rPr>
            </w:pPr>
          </w:p>
        </w:tc>
        <w:tc>
          <w:tcPr>
            <w:tcW w:w="7540" w:type="dxa"/>
            <w:vAlign w:val="bottom"/>
            <w:gridSpan w:val="35"/>
          </w:tcPr>
          <w:p>
            <w:pPr>
              <w:spacing w:after="0" w:line="196" w:lineRule="exact"/>
              <w:rPr>
                <w:rFonts w:ascii="Arial" w:cs="Arial" w:eastAsia="Arial" w:hAnsi="Arial"/>
                <w:sz w:val="18"/>
                <w:szCs w:val="18"/>
                <w:color w:val="0000EE"/>
              </w:rPr>
            </w:pPr>
            <w:hyperlink r:id="rId18">
              <w:r>
                <w:rPr>
                  <w:rFonts w:ascii="Arial" w:cs="Arial" w:eastAsia="Arial" w:hAnsi="Arial"/>
                  <w:sz w:val="18"/>
                  <w:szCs w:val="18"/>
                  <w:color w:val="0000EE"/>
                </w:rPr>
                <w:t>the Current Report on Form 8-K fled on September 27, 2022).</w:t>
              </w:r>
            </w:hyperlink>
          </w:p>
        </w:tc>
      </w:tr>
      <w:tr>
        <w:trPr>
          <w:trHeight w:val="34"/>
        </w:trPr>
        <w:tc>
          <w:tcPr>
            <w:tcW w:w="1040" w:type="dxa"/>
            <w:vAlign w:val="bottom"/>
          </w:tcPr>
          <w:p>
            <w:pPr>
              <w:spacing w:after="0"/>
              <w:rPr>
                <w:sz w:val="2"/>
                <w:szCs w:val="2"/>
                <w:color w:val="auto"/>
              </w:rPr>
            </w:pPr>
          </w:p>
        </w:tc>
        <w:tc>
          <w:tcPr>
            <w:tcW w:w="15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104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6"/>
                <w:szCs w:val="16"/>
                <w:color w:val="auto"/>
              </w:rPr>
              <w:t>3.2</w:t>
            </w:r>
          </w:p>
        </w:tc>
        <w:tc>
          <w:tcPr>
            <w:tcW w:w="7240" w:type="dxa"/>
            <w:vAlign w:val="bottom"/>
            <w:tcBorders>
              <w:bottom w:val="single" w:sz="8" w:color="0000EE"/>
            </w:tcBorders>
            <w:gridSpan w:val="25"/>
            <w:shd w:val="clear" w:color="auto" w:fill="CCEEFF"/>
          </w:tcPr>
          <w:p>
            <w:pPr>
              <w:spacing w:after="0" w:line="142" w:lineRule="exact"/>
              <w:rPr>
                <w:rFonts w:ascii="Arial" w:cs="Arial" w:eastAsia="Arial" w:hAnsi="Arial"/>
                <w:sz w:val="16"/>
                <w:szCs w:val="16"/>
                <w:color w:val="0000EE"/>
              </w:rPr>
            </w:pPr>
            <w:hyperlink r:id="rId19">
              <w:r>
                <w:rPr>
                  <w:rFonts w:ascii="Arial" w:cs="Arial" w:eastAsia="Arial" w:hAnsi="Arial"/>
                  <w:sz w:val="16"/>
                  <w:szCs w:val="16"/>
                  <w:color w:val="0000EE"/>
                </w:rPr>
                <w:t>Bylaws of Presto Automaton Inc. (incorporated by reference to Exhibit 3.2 to the Current Report on</w:t>
              </w:r>
            </w:hyperlink>
          </w:p>
        </w:tc>
        <w:tc>
          <w:tcPr>
            <w:tcW w:w="300" w:type="dxa"/>
            <w:vAlign w:val="bottom"/>
            <w:tcBorders>
              <w:bottom w:val="single" w:sz="8" w:color="CCEEFF"/>
            </w:tcBorders>
            <w:gridSpan w:val="10"/>
            <w:shd w:val="clear" w:color="auto" w:fill="CCEEFF"/>
          </w:tcPr>
          <w:p>
            <w:pPr>
              <w:spacing w:after="0"/>
              <w:rPr>
                <w:sz w:val="14"/>
                <w:szCs w:val="14"/>
                <w:color w:val="auto"/>
              </w:rPr>
            </w:pPr>
          </w:p>
        </w:tc>
      </w:tr>
      <w:tr>
        <w:trPr>
          <w:trHeight w:val="196"/>
        </w:trPr>
        <w:tc>
          <w:tcPr>
            <w:tcW w:w="1040" w:type="dxa"/>
            <w:vAlign w:val="bottom"/>
            <w:shd w:val="clear" w:color="auto" w:fill="CCEEFF"/>
          </w:tcPr>
          <w:p>
            <w:pPr>
              <w:spacing w:after="0"/>
              <w:rPr>
                <w:sz w:val="17"/>
                <w:szCs w:val="17"/>
                <w:color w:val="auto"/>
              </w:rPr>
            </w:pPr>
          </w:p>
        </w:tc>
        <w:tc>
          <w:tcPr>
            <w:tcW w:w="7540" w:type="dxa"/>
            <w:vAlign w:val="bottom"/>
            <w:gridSpan w:val="35"/>
            <w:shd w:val="clear" w:color="auto" w:fill="CCEEFF"/>
          </w:tcPr>
          <w:p>
            <w:pPr>
              <w:spacing w:after="0" w:line="196" w:lineRule="exact"/>
              <w:rPr>
                <w:rFonts w:ascii="Arial" w:cs="Arial" w:eastAsia="Arial" w:hAnsi="Arial"/>
                <w:sz w:val="18"/>
                <w:szCs w:val="18"/>
                <w:color w:val="0000EE"/>
              </w:rPr>
            </w:pPr>
            <w:hyperlink r:id="rId19">
              <w:r>
                <w:rPr>
                  <w:rFonts w:ascii="Arial" w:cs="Arial" w:eastAsia="Arial" w:hAnsi="Arial"/>
                  <w:sz w:val="18"/>
                  <w:szCs w:val="18"/>
                  <w:color w:val="0000EE"/>
                </w:rPr>
                <w:t>Form 8-K fled on September 27, 2022).</w:t>
              </w:r>
            </w:hyperlink>
          </w:p>
        </w:tc>
      </w:tr>
      <w:tr>
        <w:trPr>
          <w:trHeight w:val="34"/>
        </w:trPr>
        <w:tc>
          <w:tcPr>
            <w:tcW w:w="1040" w:type="dxa"/>
            <w:vAlign w:val="bottom"/>
            <w:tcBorders>
              <w:top w:val="single" w:sz="8" w:color="CCEEFF"/>
            </w:tcBorders>
            <w:shd w:val="clear" w:color="auto" w:fill="CCEEFF"/>
          </w:tcPr>
          <w:p>
            <w:pPr>
              <w:spacing w:after="0"/>
              <w:rPr>
                <w:sz w:val="2"/>
                <w:szCs w:val="2"/>
                <w:color w:val="auto"/>
              </w:rPr>
            </w:pPr>
          </w:p>
        </w:tc>
        <w:tc>
          <w:tcPr>
            <w:tcW w:w="15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lef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76"/>
        </w:trPr>
        <w:tc>
          <w:tcPr>
            <w:tcW w:w="1040" w:type="dxa"/>
            <w:vAlign w:val="bottom"/>
          </w:tcPr>
          <w:p>
            <w:pPr>
              <w:spacing w:after="0" w:line="176" w:lineRule="exact"/>
              <w:rPr>
                <w:sz w:val="20"/>
                <w:szCs w:val="20"/>
                <w:color w:val="auto"/>
              </w:rPr>
            </w:pPr>
            <w:r>
              <w:rPr>
                <w:rFonts w:ascii="Arial" w:cs="Arial" w:eastAsia="Arial" w:hAnsi="Arial"/>
                <w:sz w:val="18"/>
                <w:szCs w:val="18"/>
                <w:color w:val="auto"/>
              </w:rPr>
              <w:t>4.1</w:t>
            </w:r>
          </w:p>
        </w:tc>
        <w:tc>
          <w:tcPr>
            <w:tcW w:w="7380" w:type="dxa"/>
            <w:vAlign w:val="bottom"/>
            <w:tcBorders>
              <w:bottom w:val="single" w:sz="8" w:color="0000EE"/>
            </w:tcBorders>
            <w:gridSpan w:val="28"/>
          </w:tcPr>
          <w:p>
            <w:pPr>
              <w:spacing w:after="0" w:line="176" w:lineRule="exact"/>
              <w:rPr>
                <w:rFonts w:ascii="Arial" w:cs="Arial" w:eastAsia="Arial" w:hAnsi="Arial"/>
                <w:sz w:val="18"/>
                <w:szCs w:val="18"/>
                <w:color w:val="0000EE"/>
                <w:w w:val="91"/>
              </w:rPr>
            </w:pPr>
            <w:hyperlink r:id="rId20">
              <w:r>
                <w:rPr>
                  <w:rFonts w:ascii="Arial" w:cs="Arial" w:eastAsia="Arial" w:hAnsi="Arial"/>
                  <w:sz w:val="18"/>
                  <w:szCs w:val="18"/>
                  <w:color w:val="0000EE"/>
                  <w:w w:val="91"/>
                </w:rPr>
                <w:t>Description of Securities (incorporated by reference to Exhibit 4.1 to the Annual Report on Form 10-K</w:t>
              </w:r>
            </w:hyperlink>
          </w:p>
        </w:tc>
        <w:tc>
          <w:tcPr>
            <w:tcW w:w="160" w:type="dxa"/>
            <w:vAlign w:val="bottom"/>
            <w:gridSpan w:val="7"/>
          </w:tcPr>
          <w:p>
            <w:pPr>
              <w:spacing w:after="0"/>
              <w:rPr>
                <w:sz w:val="15"/>
                <w:szCs w:val="15"/>
                <w:color w:val="auto"/>
              </w:rPr>
            </w:pPr>
          </w:p>
        </w:tc>
      </w:tr>
      <w:tr>
        <w:trPr>
          <w:trHeight w:val="196"/>
        </w:trPr>
        <w:tc>
          <w:tcPr>
            <w:tcW w:w="1040" w:type="dxa"/>
            <w:vAlign w:val="bottom"/>
          </w:tcPr>
          <w:p>
            <w:pPr>
              <w:spacing w:after="0"/>
              <w:rPr>
                <w:sz w:val="17"/>
                <w:szCs w:val="17"/>
                <w:color w:val="auto"/>
              </w:rPr>
            </w:pPr>
          </w:p>
        </w:tc>
        <w:tc>
          <w:tcPr>
            <w:tcW w:w="7540" w:type="dxa"/>
            <w:vAlign w:val="bottom"/>
            <w:gridSpan w:val="35"/>
          </w:tcPr>
          <w:p>
            <w:pPr>
              <w:spacing w:after="0" w:line="196" w:lineRule="exact"/>
              <w:rPr>
                <w:rFonts w:ascii="Arial" w:cs="Arial" w:eastAsia="Arial" w:hAnsi="Arial"/>
                <w:sz w:val="18"/>
                <w:szCs w:val="18"/>
                <w:color w:val="0000EE"/>
              </w:rPr>
            </w:pPr>
            <w:hyperlink r:id="rId20">
              <w:r>
                <w:rPr>
                  <w:rFonts w:ascii="Arial" w:cs="Arial" w:eastAsia="Arial" w:hAnsi="Arial"/>
                  <w:sz w:val="18"/>
                  <w:szCs w:val="18"/>
                  <w:color w:val="0000EE"/>
                </w:rPr>
                <w:t>fled on October 10, 2023).</w:t>
              </w:r>
            </w:hyperlink>
          </w:p>
        </w:tc>
      </w:tr>
      <w:tr>
        <w:trPr>
          <w:trHeight w:val="34"/>
        </w:trPr>
        <w:tc>
          <w:tcPr>
            <w:tcW w:w="1040" w:type="dxa"/>
            <w:vAlign w:val="bottom"/>
          </w:tcPr>
          <w:p>
            <w:pPr>
              <w:spacing w:after="0"/>
              <w:rPr>
                <w:sz w:val="2"/>
                <w:szCs w:val="2"/>
                <w:color w:val="auto"/>
              </w:rPr>
            </w:pPr>
          </w:p>
        </w:tc>
        <w:tc>
          <w:tcPr>
            <w:tcW w:w="15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6"/>
        </w:trPr>
        <w:tc>
          <w:tcPr>
            <w:tcW w:w="10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w:t>
            </w:r>
          </w:p>
        </w:tc>
        <w:tc>
          <w:tcPr>
            <w:tcW w:w="7400" w:type="dxa"/>
            <w:vAlign w:val="bottom"/>
            <w:tcBorders>
              <w:bottom w:val="single" w:sz="8" w:color="0000EE"/>
            </w:tcBorders>
            <w:gridSpan w:val="29"/>
            <w:shd w:val="clear" w:color="auto" w:fill="CCEEFF"/>
          </w:tcPr>
          <w:p>
            <w:pPr>
              <w:spacing w:after="0" w:line="176" w:lineRule="exact"/>
              <w:rPr>
                <w:rFonts w:ascii="Arial" w:cs="Arial" w:eastAsia="Arial" w:hAnsi="Arial"/>
                <w:sz w:val="18"/>
                <w:szCs w:val="18"/>
                <w:color w:val="0000EE"/>
                <w:w w:val="90"/>
              </w:rPr>
            </w:pPr>
            <w:hyperlink r:id="rId21">
              <w:r>
                <w:rPr>
                  <w:rFonts w:ascii="Arial" w:cs="Arial" w:eastAsia="Arial" w:hAnsi="Arial"/>
                  <w:sz w:val="18"/>
                  <w:szCs w:val="18"/>
                  <w:color w:val="0000EE"/>
                  <w:w w:val="90"/>
                </w:rPr>
                <w:t>Credit Agreement, dated as of September 21, 2022, by and among New Presto, Surviving Corporation,</w:t>
              </w:r>
            </w:hyperlink>
          </w:p>
        </w:tc>
        <w:tc>
          <w:tcPr>
            <w:tcW w:w="140" w:type="dxa"/>
            <w:vAlign w:val="bottom"/>
            <w:tcBorders>
              <w:bottom w:val="single" w:sz="8" w:color="CCEEFF"/>
            </w:tcBorders>
            <w:gridSpan w:val="6"/>
            <w:shd w:val="clear" w:color="auto" w:fill="CCEEFF"/>
          </w:tcPr>
          <w:p>
            <w:pPr>
              <w:spacing w:after="0"/>
              <w:rPr>
                <w:sz w:val="15"/>
                <w:szCs w:val="15"/>
                <w:color w:val="auto"/>
              </w:rPr>
            </w:pPr>
          </w:p>
        </w:tc>
      </w:tr>
      <w:tr>
        <w:trPr>
          <w:trHeight w:val="196"/>
        </w:trPr>
        <w:tc>
          <w:tcPr>
            <w:tcW w:w="1040" w:type="dxa"/>
            <w:vAlign w:val="bottom"/>
            <w:shd w:val="clear" w:color="auto" w:fill="CCEEFF"/>
          </w:tcPr>
          <w:p>
            <w:pPr>
              <w:spacing w:after="0"/>
              <w:rPr>
                <w:sz w:val="17"/>
                <w:szCs w:val="17"/>
                <w:color w:val="auto"/>
              </w:rPr>
            </w:pPr>
          </w:p>
        </w:tc>
        <w:tc>
          <w:tcPr>
            <w:tcW w:w="7540" w:type="dxa"/>
            <w:vAlign w:val="bottom"/>
            <w:gridSpan w:val="35"/>
            <w:shd w:val="clear" w:color="auto" w:fill="CCEEFF"/>
          </w:tcPr>
          <w:p>
            <w:pPr>
              <w:spacing w:after="0" w:line="196" w:lineRule="exact"/>
              <w:rPr>
                <w:rFonts w:ascii="Arial" w:cs="Arial" w:eastAsia="Arial" w:hAnsi="Arial"/>
                <w:sz w:val="18"/>
                <w:szCs w:val="18"/>
                <w:color w:val="0000EE"/>
                <w:w w:val="92"/>
              </w:rPr>
            </w:pPr>
            <w:hyperlink r:id="rId21">
              <w:r>
                <w:rPr>
                  <w:rFonts w:ascii="Arial" w:cs="Arial" w:eastAsia="Arial" w:hAnsi="Arial"/>
                  <w:sz w:val="18"/>
                  <w:szCs w:val="18"/>
                  <w:color w:val="0000EE"/>
                  <w:w w:val="92"/>
                </w:rPr>
                <w:t>Metropolitan Partners Group Administration, LLC, as administrative, payment and collateral agent, and</w:t>
              </w:r>
            </w:hyperlink>
          </w:p>
        </w:tc>
      </w:tr>
      <w:tr>
        <w:trPr>
          <w:trHeight w:val="196"/>
        </w:trPr>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7160" w:type="dxa"/>
            <w:vAlign w:val="bottom"/>
            <w:tcBorders>
              <w:top w:val="single" w:sz="8" w:color="0000EE"/>
              <w:bottom w:val="single" w:sz="8" w:color="0000EE"/>
              <w:right w:val="single" w:sz="8" w:color="CCEEFF"/>
            </w:tcBorders>
            <w:gridSpan w:val="24"/>
            <w:shd w:val="clear" w:color="auto" w:fill="CCEEFF"/>
          </w:tcPr>
          <w:p>
            <w:pPr>
              <w:spacing w:after="0" w:line="196" w:lineRule="exact"/>
              <w:rPr>
                <w:rFonts w:ascii="Arial" w:cs="Arial" w:eastAsia="Arial" w:hAnsi="Arial"/>
                <w:sz w:val="18"/>
                <w:szCs w:val="18"/>
                <w:color w:val="0000EE"/>
                <w:w w:val="90"/>
              </w:rPr>
            </w:pPr>
            <w:hyperlink r:id="rId21">
              <w:r>
                <w:rPr>
                  <w:rFonts w:ascii="Arial" w:cs="Arial" w:eastAsia="Arial" w:hAnsi="Arial"/>
                  <w:sz w:val="18"/>
                  <w:szCs w:val="18"/>
                  <w:color w:val="0000EE"/>
                  <w:w w:val="90"/>
                </w:rPr>
                <w:t>the lenders from time-to-time party thereto (incorporated by reference to Exhibit 10.1 to the Current</w:t>
              </w:r>
            </w:hyperlink>
          </w:p>
        </w:tc>
        <w:tc>
          <w:tcPr>
            <w:tcW w:w="300" w:type="dxa"/>
            <w:vAlign w:val="bottom"/>
            <w:tcBorders>
              <w:top w:val="single" w:sz="8" w:color="0000EE"/>
              <w:left w:val="single" w:sz="8" w:color="CCEEFF"/>
              <w:bottom w:val="single" w:sz="8" w:color="CCEEFF"/>
            </w:tcBorders>
            <w:gridSpan w:val="7"/>
            <w:shd w:val="clear" w:color="auto" w:fill="CCEEFF"/>
          </w:tcPr>
          <w:p>
            <w:pPr>
              <w:spacing w:after="0"/>
              <w:rPr>
                <w:sz w:val="17"/>
                <w:szCs w:val="17"/>
                <w:color w:val="auto"/>
              </w:rPr>
            </w:pPr>
          </w:p>
        </w:tc>
        <w:tc>
          <w:tcPr>
            <w:tcW w:w="80" w:type="dxa"/>
            <w:vAlign w:val="bottom"/>
            <w:tcBorders>
              <w:top w:val="single" w:sz="8" w:color="CCEEFF"/>
              <w:bottom w:val="single" w:sz="8" w:color="CCEEFF"/>
            </w:tcBorders>
            <w:gridSpan w:val="4"/>
            <w:shd w:val="clear" w:color="auto" w:fill="CCEEFF"/>
          </w:tcPr>
          <w:p>
            <w:pPr>
              <w:spacing w:after="0"/>
              <w:rPr>
                <w:sz w:val="17"/>
                <w:szCs w:val="17"/>
                <w:color w:val="auto"/>
              </w:rPr>
            </w:pPr>
          </w:p>
        </w:tc>
      </w:tr>
      <w:tr>
        <w:trPr>
          <w:trHeight w:val="203"/>
        </w:trPr>
        <w:tc>
          <w:tcPr>
            <w:tcW w:w="1040" w:type="dxa"/>
            <w:vAlign w:val="bottom"/>
            <w:tcBorders>
              <w:bottom w:val="single" w:sz="8" w:color="CCEEFF"/>
            </w:tcBorders>
            <w:shd w:val="clear" w:color="auto" w:fill="CCEEFF"/>
          </w:tcPr>
          <w:p>
            <w:pPr>
              <w:spacing w:after="0"/>
              <w:rPr>
                <w:sz w:val="17"/>
                <w:szCs w:val="17"/>
                <w:color w:val="auto"/>
              </w:rPr>
            </w:pPr>
          </w:p>
        </w:tc>
        <w:tc>
          <w:tcPr>
            <w:tcW w:w="3660" w:type="dxa"/>
            <w:vAlign w:val="bottom"/>
            <w:tcBorders>
              <w:bottom w:val="single" w:sz="8" w:color="0000EE"/>
            </w:tcBorders>
            <w:gridSpan w:val="12"/>
            <w:shd w:val="clear" w:color="auto" w:fill="CCEEFF"/>
          </w:tcPr>
          <w:p>
            <w:pPr>
              <w:spacing w:after="0" w:line="196" w:lineRule="exact"/>
              <w:rPr>
                <w:rFonts w:ascii="Arial" w:cs="Arial" w:eastAsia="Arial" w:hAnsi="Arial"/>
                <w:sz w:val="18"/>
                <w:szCs w:val="18"/>
                <w:color w:val="0000EE"/>
                <w:w w:val="90"/>
              </w:rPr>
            </w:pPr>
            <w:hyperlink r:id="rId21">
              <w:r>
                <w:rPr>
                  <w:rFonts w:ascii="Arial" w:cs="Arial" w:eastAsia="Arial" w:hAnsi="Arial"/>
                  <w:sz w:val="18"/>
                  <w:szCs w:val="18"/>
                  <w:color w:val="0000EE"/>
                  <w:w w:val="90"/>
                </w:rPr>
                <w:t>Report on Form 8-K filed on September 27, 2022).</w:t>
              </w:r>
            </w:hyperlink>
          </w:p>
        </w:tc>
        <w:tc>
          <w:tcPr>
            <w:tcW w:w="3880" w:type="dxa"/>
            <w:vAlign w:val="bottom"/>
            <w:tcBorders>
              <w:bottom w:val="single" w:sz="8" w:color="CCEEFF"/>
            </w:tcBorders>
            <w:gridSpan w:val="23"/>
            <w:shd w:val="clear" w:color="auto" w:fill="CCEEFF"/>
          </w:tcPr>
          <w:p>
            <w:pPr>
              <w:spacing w:after="0"/>
              <w:rPr>
                <w:sz w:val="17"/>
                <w:szCs w:val="17"/>
                <w:color w:val="auto"/>
              </w:rPr>
            </w:pPr>
          </w:p>
        </w:tc>
      </w:tr>
      <w:tr>
        <w:trPr>
          <w:trHeight w:val="175"/>
        </w:trPr>
        <w:tc>
          <w:tcPr>
            <w:tcW w:w="1040" w:type="dxa"/>
            <w:vAlign w:val="bottom"/>
          </w:tcPr>
          <w:p>
            <w:pPr>
              <w:spacing w:after="0" w:line="176" w:lineRule="exact"/>
              <w:rPr>
                <w:sz w:val="20"/>
                <w:szCs w:val="20"/>
                <w:color w:val="auto"/>
              </w:rPr>
            </w:pPr>
            <w:r>
              <w:rPr>
                <w:rFonts w:ascii="Arial" w:cs="Arial" w:eastAsia="Arial" w:hAnsi="Arial"/>
                <w:sz w:val="18"/>
                <w:szCs w:val="18"/>
                <w:color w:val="auto"/>
              </w:rPr>
              <w:t>10.2</w:t>
            </w:r>
          </w:p>
        </w:tc>
        <w:tc>
          <w:tcPr>
            <w:tcW w:w="7540" w:type="dxa"/>
            <w:vAlign w:val="bottom"/>
            <w:gridSpan w:val="35"/>
          </w:tcPr>
          <w:p>
            <w:pPr>
              <w:spacing w:after="0" w:line="176" w:lineRule="exact"/>
              <w:rPr>
                <w:rFonts w:ascii="Arial" w:cs="Arial" w:eastAsia="Arial" w:hAnsi="Arial"/>
                <w:sz w:val="18"/>
                <w:szCs w:val="18"/>
                <w:color w:val="0000EE"/>
                <w:w w:val="93"/>
              </w:rPr>
            </w:pPr>
            <w:hyperlink r:id="rId22">
              <w:r>
                <w:rPr>
                  <w:rFonts w:ascii="Arial" w:cs="Arial" w:eastAsia="Arial" w:hAnsi="Arial"/>
                  <w:sz w:val="18"/>
                  <w:szCs w:val="18"/>
                  <w:color w:val="0000EE"/>
                  <w:w w:val="93"/>
                </w:rPr>
                <w:t>Amended &amp; Restated Registration Rights Agreement dated as of September 21, 2022, by and among</w:t>
              </w:r>
            </w:hyperlink>
          </w:p>
        </w:tc>
      </w:tr>
      <w:tr>
        <w:trPr>
          <w:trHeight w:val="20"/>
        </w:trPr>
        <w:tc>
          <w:tcPr>
            <w:tcW w:w="104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7540" w:type="dxa"/>
            <w:vAlign w:val="bottom"/>
            <w:gridSpan w:val="35"/>
          </w:tcPr>
          <w:p>
            <w:pPr>
              <w:spacing w:after="0" w:line="196" w:lineRule="exact"/>
              <w:rPr>
                <w:rFonts w:ascii="Arial" w:cs="Arial" w:eastAsia="Arial" w:hAnsi="Arial"/>
                <w:sz w:val="18"/>
                <w:szCs w:val="18"/>
                <w:color w:val="0000EE"/>
                <w:w w:val="92"/>
              </w:rPr>
            </w:pPr>
            <w:hyperlink r:id="rId22">
              <w:r>
                <w:rPr>
                  <w:rFonts w:ascii="Arial" w:cs="Arial" w:eastAsia="Arial" w:hAnsi="Arial"/>
                  <w:sz w:val="18"/>
                  <w:szCs w:val="18"/>
                  <w:color w:val="0000EE"/>
                  <w:w w:val="92"/>
                </w:rPr>
                <w:t>New Presto, the Sponsors, Cleveland Avenue, VTAQ’s officers and directors, Metropolitan and certain</w:t>
              </w:r>
            </w:hyperlink>
          </w:p>
        </w:tc>
      </w:tr>
      <w:tr>
        <w:trPr>
          <w:trHeight w:val="20"/>
        </w:trPr>
        <w:tc>
          <w:tcPr>
            <w:tcW w:w="104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4"/>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7480" w:type="dxa"/>
            <w:vAlign w:val="bottom"/>
            <w:tcBorders>
              <w:bottom w:val="single" w:sz="8" w:color="0000EE"/>
            </w:tcBorders>
            <w:gridSpan w:val="32"/>
          </w:tcPr>
          <w:p>
            <w:pPr>
              <w:spacing w:after="0" w:line="196" w:lineRule="exact"/>
              <w:rPr>
                <w:rFonts w:ascii="Arial" w:cs="Arial" w:eastAsia="Arial" w:hAnsi="Arial"/>
                <w:sz w:val="18"/>
                <w:szCs w:val="18"/>
                <w:color w:val="0000EE"/>
                <w:w w:val="90"/>
              </w:rPr>
            </w:pPr>
            <w:hyperlink r:id="rId22">
              <w:r>
                <w:rPr>
                  <w:rFonts w:ascii="Arial" w:cs="Arial" w:eastAsia="Arial" w:hAnsi="Arial"/>
                  <w:sz w:val="18"/>
                  <w:szCs w:val="18"/>
                  <w:color w:val="0000EE"/>
                  <w:w w:val="90"/>
                </w:rPr>
                <w:t>Legacy Presto stockholders (incorporated by reference to Exhibit 10.2 to the Current Report on Form 8-</w:t>
              </w:r>
            </w:hyperlink>
          </w:p>
        </w:tc>
        <w:tc>
          <w:tcPr>
            <w:tcW w:w="60" w:type="dxa"/>
            <w:vAlign w:val="bottom"/>
            <w:gridSpan w:val="3"/>
          </w:tcPr>
          <w:p>
            <w:pPr>
              <w:spacing w:after="0"/>
              <w:rPr>
                <w:sz w:val="17"/>
                <w:szCs w:val="17"/>
                <w:color w:val="auto"/>
              </w:rPr>
            </w:pPr>
          </w:p>
        </w:tc>
      </w:tr>
      <w:tr>
        <w:trPr>
          <w:trHeight w:val="203"/>
        </w:trPr>
        <w:tc>
          <w:tcPr>
            <w:tcW w:w="1040" w:type="dxa"/>
            <w:vAlign w:val="bottom"/>
          </w:tcPr>
          <w:p>
            <w:pPr>
              <w:spacing w:after="0"/>
              <w:rPr>
                <w:sz w:val="17"/>
                <w:szCs w:val="17"/>
                <w:color w:val="auto"/>
              </w:rPr>
            </w:pPr>
          </w:p>
        </w:tc>
        <w:tc>
          <w:tcPr>
            <w:tcW w:w="232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22">
              <w:r>
                <w:rPr>
                  <w:rFonts w:ascii="Arial" w:cs="Arial" w:eastAsia="Arial" w:hAnsi="Arial"/>
                  <w:sz w:val="18"/>
                  <w:szCs w:val="18"/>
                  <w:color w:val="0000EE"/>
                  <w:w w:val="90"/>
                </w:rPr>
                <w:t>K filed on September 27, 2022).</w:t>
              </w:r>
            </w:hyperlink>
          </w:p>
        </w:tc>
        <w:tc>
          <w:tcPr>
            <w:tcW w:w="5220" w:type="dxa"/>
            <w:vAlign w:val="bottom"/>
            <w:gridSpan w:val="32"/>
          </w:tcPr>
          <w:p>
            <w:pPr>
              <w:spacing w:after="0"/>
              <w:rPr>
                <w:sz w:val="17"/>
                <w:szCs w:val="17"/>
                <w:color w:val="auto"/>
              </w:rPr>
            </w:pPr>
          </w:p>
        </w:tc>
      </w:tr>
      <w:tr>
        <w:trPr>
          <w:trHeight w:val="175"/>
        </w:trPr>
        <w:tc>
          <w:tcPr>
            <w:tcW w:w="10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10.3</w:t>
            </w:r>
          </w:p>
        </w:tc>
        <w:tc>
          <w:tcPr>
            <w:tcW w:w="7400" w:type="dxa"/>
            <w:vAlign w:val="bottom"/>
            <w:tcBorders>
              <w:bottom w:val="single" w:sz="8" w:color="0000EE"/>
            </w:tcBorders>
            <w:gridSpan w:val="29"/>
            <w:shd w:val="clear" w:color="auto" w:fill="CCEEFF"/>
          </w:tcPr>
          <w:p>
            <w:pPr>
              <w:spacing w:after="0" w:line="176" w:lineRule="exact"/>
              <w:rPr>
                <w:rFonts w:ascii="Arial" w:cs="Arial" w:eastAsia="Arial" w:hAnsi="Arial"/>
                <w:sz w:val="18"/>
                <w:szCs w:val="18"/>
                <w:color w:val="0000EE"/>
                <w:w w:val="89"/>
              </w:rPr>
            </w:pPr>
            <w:hyperlink r:id="rId23">
              <w:r>
                <w:rPr>
                  <w:rFonts w:ascii="Arial" w:cs="Arial" w:eastAsia="Arial" w:hAnsi="Arial"/>
                  <w:sz w:val="18"/>
                  <w:szCs w:val="18"/>
                  <w:color w:val="0000EE"/>
                  <w:w w:val="89"/>
                </w:rPr>
                <w:t>Amended &amp; Restated Warrant Agreement dated as of September 21, 2022, by and among, New Presto,</w:t>
              </w:r>
            </w:hyperlink>
          </w:p>
        </w:tc>
        <w:tc>
          <w:tcPr>
            <w:tcW w:w="140" w:type="dxa"/>
            <w:vAlign w:val="bottom"/>
            <w:tcBorders>
              <w:bottom w:val="single" w:sz="8" w:color="CCEEFF"/>
            </w:tcBorders>
            <w:gridSpan w:val="6"/>
            <w:shd w:val="clear" w:color="auto" w:fill="CCEEFF"/>
          </w:tcPr>
          <w:p>
            <w:pPr>
              <w:spacing w:after="0"/>
              <w:rPr>
                <w:sz w:val="15"/>
                <w:szCs w:val="15"/>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6700" w:type="dxa"/>
            <w:vAlign w:val="bottom"/>
            <w:tcBorders>
              <w:bottom w:val="single" w:sz="8" w:color="0000EE"/>
            </w:tcBorders>
            <w:gridSpan w:val="19"/>
            <w:shd w:val="clear" w:color="auto" w:fill="CCEEFF"/>
          </w:tcPr>
          <w:p>
            <w:pPr>
              <w:spacing w:after="0" w:line="196" w:lineRule="exact"/>
              <w:rPr>
                <w:rFonts w:ascii="Arial" w:cs="Arial" w:eastAsia="Arial" w:hAnsi="Arial"/>
                <w:sz w:val="18"/>
                <w:szCs w:val="18"/>
                <w:color w:val="0000EE"/>
                <w:w w:val="90"/>
              </w:rPr>
            </w:pPr>
            <w:hyperlink r:id="rId23">
              <w:r>
                <w:rPr>
                  <w:rFonts w:ascii="Arial" w:cs="Arial" w:eastAsia="Arial" w:hAnsi="Arial"/>
                  <w:sz w:val="18"/>
                  <w:szCs w:val="18"/>
                  <w:color w:val="0000EE"/>
                  <w:w w:val="90"/>
                </w:rPr>
                <w:t>the Sponsors and Continental Stock Transfer &amp; Trust Company (incorporated by reference to</w:t>
              </w:r>
            </w:hyperlink>
          </w:p>
        </w:tc>
        <w:tc>
          <w:tcPr>
            <w:tcW w:w="840" w:type="dxa"/>
            <w:vAlign w:val="bottom"/>
            <w:tcBorders>
              <w:bottom w:val="single" w:sz="8" w:color="CCEEFF"/>
            </w:tcBorders>
            <w:gridSpan w:val="16"/>
            <w:shd w:val="clear" w:color="auto" w:fill="CCEEFF"/>
          </w:tcPr>
          <w:p>
            <w:pPr>
              <w:spacing w:after="0"/>
              <w:rPr>
                <w:sz w:val="17"/>
                <w:szCs w:val="17"/>
                <w:color w:val="auto"/>
              </w:rPr>
            </w:pPr>
          </w:p>
        </w:tc>
      </w:tr>
      <w:tr>
        <w:trPr>
          <w:trHeight w:val="216"/>
        </w:trPr>
        <w:tc>
          <w:tcPr>
            <w:tcW w:w="1040" w:type="dxa"/>
            <w:vAlign w:val="bottom"/>
            <w:tcBorders>
              <w:bottom w:val="single" w:sz="8" w:color="CCEEFF"/>
            </w:tcBorders>
            <w:shd w:val="clear" w:color="auto" w:fill="CCEEFF"/>
          </w:tcPr>
          <w:p>
            <w:pPr>
              <w:spacing w:after="0"/>
              <w:rPr>
                <w:sz w:val="18"/>
                <w:szCs w:val="18"/>
                <w:color w:val="auto"/>
              </w:rPr>
            </w:pPr>
          </w:p>
        </w:tc>
        <w:tc>
          <w:tcPr>
            <w:tcW w:w="5640" w:type="dxa"/>
            <w:vAlign w:val="bottom"/>
            <w:tcBorders>
              <w:bottom w:val="single" w:sz="8" w:color="0000EE"/>
            </w:tcBorders>
            <w:gridSpan w:val="17"/>
            <w:shd w:val="clear" w:color="auto" w:fill="CCEEFF"/>
          </w:tcPr>
          <w:p>
            <w:pPr>
              <w:spacing w:after="0" w:line="196" w:lineRule="exact"/>
              <w:rPr>
                <w:rFonts w:ascii="Arial" w:cs="Arial" w:eastAsia="Arial" w:hAnsi="Arial"/>
                <w:sz w:val="18"/>
                <w:szCs w:val="18"/>
                <w:color w:val="0000EE"/>
                <w:w w:val="91"/>
              </w:rPr>
            </w:pPr>
            <w:hyperlink r:id="rId23">
              <w:r>
                <w:rPr>
                  <w:rFonts w:ascii="Arial" w:cs="Arial" w:eastAsia="Arial" w:hAnsi="Arial"/>
                  <w:sz w:val="18"/>
                  <w:szCs w:val="18"/>
                  <w:color w:val="0000EE"/>
                  <w:w w:val="91"/>
                </w:rPr>
                <w:t>Exhibit 10.3 to the Current Report on Form 8-K filed on September 27, 2022).</w:t>
              </w:r>
            </w:hyperlink>
          </w:p>
        </w:tc>
        <w:tc>
          <w:tcPr>
            <w:tcW w:w="1900" w:type="dxa"/>
            <w:vAlign w:val="bottom"/>
            <w:tcBorders>
              <w:bottom w:val="single" w:sz="8" w:color="CCEEFF"/>
            </w:tcBorders>
            <w:gridSpan w:val="18"/>
            <w:shd w:val="clear" w:color="auto" w:fill="CCEEFF"/>
          </w:tcPr>
          <w:p>
            <w:pPr>
              <w:spacing w:after="0"/>
              <w:rPr>
                <w:sz w:val="18"/>
                <w:szCs w:val="18"/>
                <w:color w:val="auto"/>
              </w:rPr>
            </w:pPr>
          </w:p>
        </w:tc>
      </w:tr>
      <w:tr>
        <w:trPr>
          <w:trHeight w:val="175"/>
        </w:trPr>
        <w:tc>
          <w:tcPr>
            <w:tcW w:w="1040" w:type="dxa"/>
            <w:vAlign w:val="bottom"/>
          </w:tcPr>
          <w:p>
            <w:pPr>
              <w:spacing w:after="0" w:line="176" w:lineRule="exact"/>
              <w:rPr>
                <w:sz w:val="20"/>
                <w:szCs w:val="20"/>
                <w:color w:val="auto"/>
              </w:rPr>
            </w:pPr>
            <w:r>
              <w:rPr>
                <w:rFonts w:ascii="Arial" w:cs="Arial" w:eastAsia="Arial" w:hAnsi="Arial"/>
                <w:sz w:val="18"/>
                <w:szCs w:val="18"/>
                <w:color w:val="auto"/>
              </w:rPr>
              <w:t>10.4</w:t>
            </w:r>
          </w:p>
        </w:tc>
        <w:tc>
          <w:tcPr>
            <w:tcW w:w="7540" w:type="dxa"/>
            <w:vAlign w:val="bottom"/>
            <w:gridSpan w:val="35"/>
          </w:tcPr>
          <w:p>
            <w:pPr>
              <w:spacing w:after="0" w:line="176" w:lineRule="exact"/>
              <w:rPr>
                <w:rFonts w:ascii="Arial" w:cs="Arial" w:eastAsia="Arial" w:hAnsi="Arial"/>
                <w:sz w:val="18"/>
                <w:szCs w:val="18"/>
                <w:color w:val="0000EE"/>
                <w:w w:val="91"/>
              </w:rPr>
            </w:pPr>
            <w:hyperlink r:id="rId24">
              <w:r>
                <w:rPr>
                  <w:rFonts w:ascii="Arial" w:cs="Arial" w:eastAsia="Arial" w:hAnsi="Arial"/>
                  <w:sz w:val="18"/>
                  <w:szCs w:val="18"/>
                  <w:color w:val="0000EE"/>
                  <w:w w:val="91"/>
                </w:rPr>
                <w:t>Governance Agreement, dated as of September 21, 2022 by and among, New Presto and certain of its</w:t>
              </w:r>
            </w:hyperlink>
          </w:p>
        </w:tc>
      </w:tr>
      <w:tr>
        <w:trPr>
          <w:trHeight w:val="196"/>
        </w:trPr>
        <w:tc>
          <w:tcPr>
            <w:tcW w:w="1040" w:type="dxa"/>
            <w:vAlign w:val="bottom"/>
          </w:tcPr>
          <w:p>
            <w:pPr>
              <w:spacing w:after="0"/>
              <w:rPr>
                <w:sz w:val="17"/>
                <w:szCs w:val="17"/>
                <w:color w:val="auto"/>
              </w:rPr>
            </w:pPr>
          </w:p>
        </w:tc>
        <w:tc>
          <w:tcPr>
            <w:tcW w:w="686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2"/>
              </w:rPr>
            </w:pPr>
            <w:hyperlink r:id="rId24">
              <w:r>
                <w:rPr>
                  <w:rFonts w:ascii="Arial" w:cs="Arial" w:eastAsia="Arial" w:hAnsi="Arial"/>
                  <w:sz w:val="18"/>
                  <w:szCs w:val="18"/>
                  <w:color w:val="0000EE"/>
                  <w:w w:val="92"/>
                </w:rPr>
                <w:t>affiliates (incorporated by reference to Exhibit 10.4 to the Current Report on Form 8-K filed on</w:t>
              </w:r>
            </w:hyperlink>
          </w:p>
        </w:tc>
        <w:tc>
          <w:tcPr>
            <w:tcW w:w="440" w:type="dxa"/>
            <w:vAlign w:val="bottom"/>
            <w:tcBorders>
              <w:top w:val="single" w:sz="8" w:color="0000EE"/>
            </w:tcBorders>
            <w:gridSpan w:val="6"/>
          </w:tcPr>
          <w:p>
            <w:pPr>
              <w:spacing w:after="0"/>
              <w:rPr>
                <w:sz w:val="17"/>
                <w:szCs w:val="17"/>
                <w:color w:val="auto"/>
              </w:rPr>
            </w:pPr>
          </w:p>
        </w:tc>
        <w:tc>
          <w:tcPr>
            <w:tcW w:w="240" w:type="dxa"/>
            <w:vAlign w:val="bottom"/>
            <w:gridSpan w:val="9"/>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7540" w:type="dxa"/>
            <w:vAlign w:val="bottom"/>
            <w:gridSpan w:val="35"/>
          </w:tcPr>
          <w:p>
            <w:pPr>
              <w:spacing w:after="0" w:line="196" w:lineRule="exact"/>
              <w:rPr>
                <w:rFonts w:ascii="Arial" w:cs="Arial" w:eastAsia="Arial" w:hAnsi="Arial"/>
                <w:sz w:val="18"/>
                <w:szCs w:val="18"/>
                <w:color w:val="0000EE"/>
              </w:rPr>
            </w:pPr>
            <w:hyperlink r:id="rId24">
              <w:r>
                <w:rPr>
                  <w:rFonts w:ascii="Arial" w:cs="Arial" w:eastAsia="Arial" w:hAnsi="Arial"/>
                  <w:sz w:val="18"/>
                  <w:szCs w:val="18"/>
                  <w:color w:val="0000EE"/>
                </w:rPr>
                <w:t>September 27, 2022).</w:t>
              </w:r>
            </w:hyperlink>
          </w:p>
        </w:tc>
      </w:tr>
      <w:tr>
        <w:trPr>
          <w:trHeight w:val="20"/>
        </w:trPr>
        <w:tc>
          <w:tcPr>
            <w:tcW w:w="1040" w:type="dxa"/>
            <w:vAlign w:val="bottom"/>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10.5</w:t>
            </w:r>
          </w:p>
        </w:tc>
        <w:tc>
          <w:tcPr>
            <w:tcW w:w="7500" w:type="dxa"/>
            <w:vAlign w:val="bottom"/>
            <w:tcBorders>
              <w:bottom w:val="single" w:sz="8" w:color="0000EE"/>
            </w:tcBorders>
            <w:gridSpan w:val="33"/>
            <w:shd w:val="clear" w:color="auto" w:fill="CCEEFF"/>
          </w:tcPr>
          <w:p>
            <w:pPr>
              <w:spacing w:after="0" w:line="176" w:lineRule="exact"/>
              <w:rPr>
                <w:rFonts w:ascii="Arial" w:cs="Arial" w:eastAsia="Arial" w:hAnsi="Arial"/>
                <w:sz w:val="18"/>
                <w:szCs w:val="18"/>
                <w:color w:val="0000EE"/>
                <w:w w:val="91"/>
              </w:rPr>
            </w:pPr>
            <w:hyperlink r:id="rId25">
              <w:r>
                <w:rPr>
                  <w:rFonts w:ascii="Arial" w:cs="Arial" w:eastAsia="Arial" w:hAnsi="Arial"/>
                  <w:sz w:val="18"/>
                  <w:szCs w:val="18"/>
                  <w:color w:val="0000EE"/>
                  <w:w w:val="91"/>
                </w:rPr>
                <w:t>Form of Indemnification Agreement (incorporated by reference to Exhibit 10.5 to the Current Report on</w:t>
              </w:r>
            </w:hyperlink>
          </w:p>
        </w:tc>
        <w:tc>
          <w:tcPr>
            <w:tcW w:w="40" w:type="dxa"/>
            <w:vAlign w:val="bottom"/>
            <w:tcBorders>
              <w:bottom w:val="single" w:sz="8" w:color="CCEEFF"/>
            </w:tcBorders>
            <w:gridSpan w:val="2"/>
            <w:shd w:val="clear" w:color="auto" w:fill="CCEEFF"/>
          </w:tcPr>
          <w:p>
            <w:pPr>
              <w:spacing w:after="0"/>
              <w:rPr>
                <w:sz w:val="15"/>
                <w:szCs w:val="15"/>
                <w:color w:val="auto"/>
              </w:rPr>
            </w:pPr>
          </w:p>
        </w:tc>
      </w:tr>
      <w:tr>
        <w:trPr>
          <w:trHeight w:val="216"/>
        </w:trPr>
        <w:tc>
          <w:tcPr>
            <w:tcW w:w="1040" w:type="dxa"/>
            <w:vAlign w:val="bottom"/>
            <w:tcBorders>
              <w:bottom w:val="single" w:sz="8" w:color="CCEEFF"/>
            </w:tcBorders>
            <w:shd w:val="clear" w:color="auto" w:fill="CCEEFF"/>
          </w:tcPr>
          <w:p>
            <w:pPr>
              <w:spacing w:after="0"/>
              <w:rPr>
                <w:sz w:val="18"/>
                <w:szCs w:val="18"/>
                <w:color w:val="auto"/>
              </w:rPr>
            </w:pPr>
          </w:p>
        </w:tc>
        <w:tc>
          <w:tcPr>
            <w:tcW w:w="2900" w:type="dxa"/>
            <w:vAlign w:val="bottom"/>
            <w:tcBorders>
              <w:bottom w:val="single" w:sz="8" w:color="0000EE"/>
            </w:tcBorders>
            <w:gridSpan w:val="7"/>
            <w:shd w:val="clear" w:color="auto" w:fill="CCEEFF"/>
          </w:tcPr>
          <w:p>
            <w:pPr>
              <w:spacing w:after="0" w:line="196" w:lineRule="exact"/>
              <w:rPr>
                <w:rFonts w:ascii="Arial" w:cs="Arial" w:eastAsia="Arial" w:hAnsi="Arial"/>
                <w:sz w:val="18"/>
                <w:szCs w:val="18"/>
                <w:color w:val="0000EE"/>
                <w:w w:val="90"/>
              </w:rPr>
            </w:pPr>
            <w:hyperlink r:id="rId25">
              <w:r>
                <w:rPr>
                  <w:rFonts w:ascii="Arial" w:cs="Arial" w:eastAsia="Arial" w:hAnsi="Arial"/>
                  <w:sz w:val="18"/>
                  <w:szCs w:val="18"/>
                  <w:color w:val="0000EE"/>
                  <w:w w:val="90"/>
                </w:rPr>
                <w:t>Form 8-K filed on September 27, 2022).</w:t>
              </w:r>
            </w:hyperlink>
          </w:p>
        </w:tc>
        <w:tc>
          <w:tcPr>
            <w:tcW w:w="4640" w:type="dxa"/>
            <w:vAlign w:val="bottom"/>
            <w:tcBorders>
              <w:bottom w:val="single" w:sz="8" w:color="CCEEFF"/>
            </w:tcBorders>
            <w:gridSpan w:val="28"/>
            <w:shd w:val="clear" w:color="auto" w:fill="CCEEFF"/>
          </w:tcPr>
          <w:p>
            <w:pPr>
              <w:spacing w:after="0"/>
              <w:rPr>
                <w:sz w:val="18"/>
                <w:szCs w:val="18"/>
                <w:color w:val="auto"/>
              </w:rPr>
            </w:pPr>
          </w:p>
        </w:tc>
      </w:tr>
      <w:tr>
        <w:trPr>
          <w:trHeight w:val="175"/>
        </w:trPr>
        <w:tc>
          <w:tcPr>
            <w:tcW w:w="1040" w:type="dxa"/>
            <w:vAlign w:val="bottom"/>
          </w:tcPr>
          <w:p>
            <w:pPr>
              <w:spacing w:after="0" w:line="176" w:lineRule="exact"/>
              <w:rPr>
                <w:sz w:val="20"/>
                <w:szCs w:val="20"/>
                <w:color w:val="auto"/>
              </w:rPr>
            </w:pPr>
            <w:r>
              <w:rPr>
                <w:rFonts w:ascii="Arial" w:cs="Arial" w:eastAsia="Arial" w:hAnsi="Arial"/>
                <w:sz w:val="18"/>
                <w:szCs w:val="18"/>
                <w:color w:val="auto"/>
              </w:rPr>
              <w:t>10.6+</w:t>
            </w:r>
          </w:p>
        </w:tc>
        <w:tc>
          <w:tcPr>
            <w:tcW w:w="7540" w:type="dxa"/>
            <w:vAlign w:val="bottom"/>
            <w:gridSpan w:val="35"/>
          </w:tcPr>
          <w:p>
            <w:pPr>
              <w:spacing w:after="0" w:line="176" w:lineRule="exact"/>
              <w:rPr>
                <w:rFonts w:ascii="Arial" w:cs="Arial" w:eastAsia="Arial" w:hAnsi="Arial"/>
                <w:sz w:val="18"/>
                <w:szCs w:val="18"/>
                <w:color w:val="0000EE"/>
                <w:w w:val="96"/>
              </w:rPr>
            </w:pPr>
            <w:hyperlink r:id="rId26">
              <w:r>
                <w:rPr>
                  <w:rFonts w:ascii="Arial" w:cs="Arial" w:eastAsia="Arial" w:hAnsi="Arial"/>
                  <w:sz w:val="18"/>
                  <w:szCs w:val="18"/>
                  <w:color w:val="0000EE"/>
                  <w:w w:val="96"/>
                </w:rPr>
                <w:t>Presto Automation Inc. 2008 Stock Incentive Plan (incorporated by reference to Exhibit 10.6 to the</w:t>
              </w:r>
            </w:hyperlink>
          </w:p>
        </w:tc>
      </w:tr>
      <w:tr>
        <w:trPr>
          <w:trHeight w:val="196"/>
        </w:trPr>
        <w:tc>
          <w:tcPr>
            <w:tcW w:w="1040" w:type="dxa"/>
            <w:vAlign w:val="bottom"/>
          </w:tcPr>
          <w:p>
            <w:pPr>
              <w:spacing w:after="0"/>
              <w:rPr>
                <w:sz w:val="17"/>
                <w:szCs w:val="17"/>
                <w:color w:val="auto"/>
              </w:rPr>
            </w:pPr>
          </w:p>
        </w:tc>
        <w:tc>
          <w:tcPr>
            <w:tcW w:w="716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26">
              <w:r>
                <w:rPr>
                  <w:rFonts w:ascii="Arial" w:cs="Arial" w:eastAsia="Arial" w:hAnsi="Arial"/>
                  <w:sz w:val="18"/>
                  <w:szCs w:val="18"/>
                  <w:color w:val="0000EE"/>
                </w:rPr>
                <w:t>Form S-1 filed on October 21, 2022).</w:t>
              </w:r>
            </w:hyperlink>
          </w:p>
        </w:tc>
        <w:tc>
          <w:tcPr>
            <w:tcW w:w="380" w:type="dxa"/>
            <w:vAlign w:val="bottom"/>
            <w:gridSpan w:val="11"/>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10.7+</w:t>
            </w:r>
          </w:p>
        </w:tc>
        <w:tc>
          <w:tcPr>
            <w:tcW w:w="7160" w:type="dxa"/>
            <w:vAlign w:val="bottom"/>
            <w:tcBorders>
              <w:bottom w:val="single" w:sz="8" w:color="0000EE"/>
              <w:right w:val="single" w:sz="8" w:color="CCEEFF"/>
            </w:tcBorders>
            <w:gridSpan w:val="24"/>
            <w:shd w:val="clear" w:color="auto" w:fill="CCEEFF"/>
          </w:tcPr>
          <w:p>
            <w:pPr>
              <w:spacing w:after="0" w:line="176" w:lineRule="exact"/>
              <w:rPr>
                <w:rFonts w:ascii="Arial" w:cs="Arial" w:eastAsia="Arial" w:hAnsi="Arial"/>
                <w:sz w:val="18"/>
                <w:szCs w:val="18"/>
                <w:color w:val="0000EE"/>
                <w:w w:val="90"/>
              </w:rPr>
            </w:pPr>
            <w:hyperlink r:id="rId27">
              <w:r>
                <w:rPr>
                  <w:rFonts w:ascii="Arial" w:cs="Arial" w:eastAsia="Arial" w:hAnsi="Arial"/>
                  <w:sz w:val="18"/>
                  <w:szCs w:val="18"/>
                  <w:color w:val="0000EE"/>
                  <w:w w:val="90"/>
                </w:rPr>
                <w:t>Presto Automation Inc. 2018 Equity Incentive Plan (incorporated by reference to Exhibit 10.7 to the</w:t>
              </w:r>
            </w:hyperlink>
          </w:p>
        </w:tc>
        <w:tc>
          <w:tcPr>
            <w:tcW w:w="380" w:type="dxa"/>
            <w:vAlign w:val="bottom"/>
            <w:tcBorders>
              <w:left w:val="single" w:sz="8" w:color="CCEEFF"/>
              <w:bottom w:val="single" w:sz="8" w:color="CCEEFF"/>
            </w:tcBorders>
            <w:gridSpan w:val="11"/>
            <w:shd w:val="clear" w:color="auto" w:fill="CCEEFF"/>
          </w:tcPr>
          <w:p>
            <w:pPr>
              <w:spacing w:after="0"/>
              <w:rPr>
                <w:sz w:val="15"/>
                <w:szCs w:val="15"/>
                <w:color w:val="auto"/>
              </w:rPr>
            </w:pPr>
          </w:p>
        </w:tc>
      </w:tr>
      <w:tr>
        <w:trPr>
          <w:trHeight w:val="217"/>
        </w:trPr>
        <w:tc>
          <w:tcPr>
            <w:tcW w:w="1040" w:type="dxa"/>
            <w:vAlign w:val="bottom"/>
            <w:tcBorders>
              <w:bottom w:val="single" w:sz="8" w:color="CCEEFF"/>
            </w:tcBorders>
            <w:shd w:val="clear" w:color="auto" w:fill="CCEEFF"/>
          </w:tcPr>
          <w:p>
            <w:pPr>
              <w:spacing w:after="0"/>
              <w:rPr>
                <w:sz w:val="18"/>
                <w:szCs w:val="18"/>
                <w:color w:val="auto"/>
              </w:rPr>
            </w:pPr>
          </w:p>
        </w:tc>
        <w:tc>
          <w:tcPr>
            <w:tcW w:w="3020" w:type="dxa"/>
            <w:vAlign w:val="bottom"/>
            <w:tcBorders>
              <w:bottom w:val="single" w:sz="8" w:color="0000EE"/>
            </w:tcBorders>
            <w:gridSpan w:val="8"/>
            <w:shd w:val="clear" w:color="auto" w:fill="CCEEFF"/>
          </w:tcPr>
          <w:p>
            <w:pPr>
              <w:spacing w:after="0" w:line="196" w:lineRule="exact"/>
              <w:rPr>
                <w:rFonts w:ascii="Arial" w:cs="Arial" w:eastAsia="Arial" w:hAnsi="Arial"/>
                <w:sz w:val="18"/>
                <w:szCs w:val="18"/>
                <w:color w:val="0000EE"/>
                <w:w w:val="91"/>
              </w:rPr>
            </w:pPr>
            <w:hyperlink r:id="rId27">
              <w:r>
                <w:rPr>
                  <w:rFonts w:ascii="Arial" w:cs="Arial" w:eastAsia="Arial" w:hAnsi="Arial"/>
                  <w:sz w:val="18"/>
                  <w:szCs w:val="18"/>
                  <w:color w:val="0000EE"/>
                  <w:w w:val="91"/>
                </w:rPr>
                <w:t>Form S-1/A filed on December 16, 2022).</w:t>
              </w:r>
            </w:hyperlink>
          </w:p>
        </w:tc>
        <w:tc>
          <w:tcPr>
            <w:tcW w:w="4520" w:type="dxa"/>
            <w:vAlign w:val="bottom"/>
            <w:tcBorders>
              <w:bottom w:val="single" w:sz="8" w:color="CCEEFF"/>
            </w:tcBorders>
            <w:gridSpan w:val="27"/>
            <w:shd w:val="clear" w:color="auto" w:fill="CCEEFF"/>
          </w:tcPr>
          <w:p>
            <w:pPr>
              <w:spacing w:after="0"/>
              <w:rPr>
                <w:sz w:val="18"/>
                <w:szCs w:val="18"/>
                <w:color w:val="auto"/>
              </w:rPr>
            </w:pPr>
          </w:p>
        </w:tc>
      </w:tr>
      <w:tr>
        <w:trPr>
          <w:trHeight w:val="175"/>
        </w:trPr>
        <w:tc>
          <w:tcPr>
            <w:tcW w:w="1040" w:type="dxa"/>
            <w:vAlign w:val="bottom"/>
          </w:tcPr>
          <w:p>
            <w:pPr>
              <w:spacing w:after="0" w:line="176" w:lineRule="exact"/>
              <w:rPr>
                <w:sz w:val="20"/>
                <w:szCs w:val="20"/>
                <w:color w:val="auto"/>
              </w:rPr>
            </w:pPr>
            <w:r>
              <w:rPr>
                <w:rFonts w:ascii="Arial" w:cs="Arial" w:eastAsia="Arial" w:hAnsi="Arial"/>
                <w:sz w:val="18"/>
                <w:szCs w:val="18"/>
                <w:color w:val="auto"/>
              </w:rPr>
              <w:t>10.8+</w:t>
            </w:r>
          </w:p>
        </w:tc>
        <w:tc>
          <w:tcPr>
            <w:tcW w:w="7540" w:type="dxa"/>
            <w:vAlign w:val="bottom"/>
            <w:gridSpan w:val="35"/>
          </w:tcPr>
          <w:p>
            <w:pPr>
              <w:spacing w:after="0" w:line="176" w:lineRule="exact"/>
              <w:rPr>
                <w:rFonts w:ascii="Arial" w:cs="Arial" w:eastAsia="Arial" w:hAnsi="Arial"/>
                <w:sz w:val="18"/>
                <w:szCs w:val="18"/>
                <w:color w:val="0000EE"/>
                <w:w w:val="95"/>
              </w:rPr>
            </w:pPr>
            <w:hyperlink r:id="rId28">
              <w:r>
                <w:rPr>
                  <w:rFonts w:ascii="Arial" w:cs="Arial" w:eastAsia="Arial" w:hAnsi="Arial"/>
                  <w:sz w:val="18"/>
                  <w:szCs w:val="18"/>
                  <w:color w:val="0000EE"/>
                  <w:w w:val="95"/>
                </w:rPr>
                <w:t>Presto Automation Inc. 2022 Incentive Award Plan (incorporated by reference to Exhibit 10.6 to the</w:t>
              </w:r>
            </w:hyperlink>
          </w:p>
        </w:tc>
      </w:tr>
      <w:tr>
        <w:trPr>
          <w:trHeight w:val="196"/>
        </w:trPr>
        <w:tc>
          <w:tcPr>
            <w:tcW w:w="1040" w:type="dxa"/>
            <w:vAlign w:val="bottom"/>
          </w:tcPr>
          <w:p>
            <w:pPr>
              <w:spacing w:after="0"/>
              <w:rPr>
                <w:sz w:val="17"/>
                <w:szCs w:val="17"/>
                <w:color w:val="auto"/>
              </w:rPr>
            </w:pPr>
          </w:p>
        </w:tc>
        <w:tc>
          <w:tcPr>
            <w:tcW w:w="716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28">
              <w:r>
                <w:rPr>
                  <w:rFonts w:ascii="Arial" w:cs="Arial" w:eastAsia="Arial" w:hAnsi="Arial"/>
                  <w:sz w:val="18"/>
                  <w:szCs w:val="18"/>
                  <w:color w:val="0000EE"/>
                </w:rPr>
                <w:t>Current Report on Form 8-K filed on September 27, 2022).</w:t>
              </w:r>
            </w:hyperlink>
          </w:p>
        </w:tc>
        <w:tc>
          <w:tcPr>
            <w:tcW w:w="380" w:type="dxa"/>
            <w:vAlign w:val="bottom"/>
            <w:gridSpan w:val="11"/>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10.9+</w:t>
            </w:r>
          </w:p>
        </w:tc>
        <w:tc>
          <w:tcPr>
            <w:tcW w:w="7440" w:type="dxa"/>
            <w:vAlign w:val="bottom"/>
            <w:tcBorders>
              <w:bottom w:val="single" w:sz="8" w:color="0000EE"/>
            </w:tcBorders>
            <w:gridSpan w:val="30"/>
            <w:shd w:val="clear" w:color="auto" w:fill="CCEEFF"/>
          </w:tcPr>
          <w:p>
            <w:pPr>
              <w:spacing w:after="0" w:line="176" w:lineRule="exact"/>
              <w:rPr>
                <w:rFonts w:ascii="Arial" w:cs="Arial" w:eastAsia="Arial" w:hAnsi="Arial"/>
                <w:sz w:val="18"/>
                <w:szCs w:val="18"/>
                <w:color w:val="0000EE"/>
                <w:w w:val="90"/>
              </w:rPr>
            </w:pPr>
            <w:hyperlink r:id="rId29">
              <w:r>
                <w:rPr>
                  <w:rFonts w:ascii="Arial" w:cs="Arial" w:eastAsia="Arial" w:hAnsi="Arial"/>
                  <w:sz w:val="18"/>
                  <w:szCs w:val="18"/>
                  <w:color w:val="0000EE"/>
                  <w:w w:val="90"/>
                </w:rPr>
                <w:t>Presto Automation Inc. 2022 Employee Stock Purchase Plan (incorporated by reference to Exhibit 10.7</w:t>
              </w:r>
            </w:hyperlink>
          </w:p>
        </w:tc>
        <w:tc>
          <w:tcPr>
            <w:tcW w:w="100" w:type="dxa"/>
            <w:vAlign w:val="bottom"/>
            <w:tcBorders>
              <w:bottom w:val="single" w:sz="8" w:color="CCEEFF"/>
            </w:tcBorders>
            <w:gridSpan w:val="5"/>
            <w:shd w:val="clear" w:color="auto" w:fill="CCEEFF"/>
          </w:tcPr>
          <w:p>
            <w:pPr>
              <w:spacing w:after="0"/>
              <w:rPr>
                <w:sz w:val="15"/>
                <w:szCs w:val="15"/>
                <w:color w:val="auto"/>
              </w:rPr>
            </w:pPr>
          </w:p>
        </w:tc>
      </w:tr>
      <w:tr>
        <w:trPr>
          <w:trHeight w:val="196"/>
        </w:trPr>
        <w:tc>
          <w:tcPr>
            <w:tcW w:w="1040" w:type="dxa"/>
            <w:vAlign w:val="bottom"/>
            <w:shd w:val="clear" w:color="auto" w:fill="CCEEFF"/>
          </w:tcPr>
          <w:p>
            <w:pPr>
              <w:spacing w:after="0"/>
              <w:rPr>
                <w:sz w:val="17"/>
                <w:szCs w:val="17"/>
                <w:color w:val="auto"/>
              </w:rPr>
            </w:pPr>
          </w:p>
        </w:tc>
        <w:tc>
          <w:tcPr>
            <w:tcW w:w="7540" w:type="dxa"/>
            <w:vAlign w:val="bottom"/>
            <w:gridSpan w:val="35"/>
            <w:shd w:val="clear" w:color="auto" w:fill="CCEEFF"/>
          </w:tcPr>
          <w:p>
            <w:pPr>
              <w:spacing w:after="0" w:line="196" w:lineRule="exact"/>
              <w:rPr>
                <w:rFonts w:ascii="Arial" w:cs="Arial" w:eastAsia="Arial" w:hAnsi="Arial"/>
                <w:sz w:val="18"/>
                <w:szCs w:val="18"/>
                <w:color w:val="0000EE"/>
              </w:rPr>
            </w:pPr>
            <w:hyperlink r:id="rId29">
              <w:r>
                <w:rPr>
                  <w:rFonts w:ascii="Arial" w:cs="Arial" w:eastAsia="Arial" w:hAnsi="Arial"/>
                  <w:sz w:val="18"/>
                  <w:szCs w:val="18"/>
                  <w:color w:val="0000EE"/>
                </w:rPr>
                <w:t>to the Current Report on Form 8-K filed on September 27, 2022).</w:t>
              </w:r>
            </w:hyperlink>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40" w:type="dxa"/>
            <w:vAlign w:val="bottom"/>
          </w:tcPr>
          <w:p>
            <w:pPr>
              <w:spacing w:after="0" w:line="176" w:lineRule="exact"/>
              <w:rPr>
                <w:sz w:val="20"/>
                <w:szCs w:val="20"/>
                <w:color w:val="auto"/>
              </w:rPr>
            </w:pPr>
            <w:r>
              <w:rPr>
                <w:rFonts w:ascii="Arial" w:cs="Arial" w:eastAsia="Arial" w:hAnsi="Arial"/>
                <w:sz w:val="18"/>
                <w:szCs w:val="18"/>
                <w:color w:val="auto"/>
              </w:rPr>
              <w:t>10.10</w:t>
            </w:r>
          </w:p>
        </w:tc>
        <w:tc>
          <w:tcPr>
            <w:tcW w:w="7540" w:type="dxa"/>
            <w:vAlign w:val="bottom"/>
            <w:gridSpan w:val="35"/>
          </w:tcPr>
          <w:p>
            <w:pPr>
              <w:spacing w:after="0" w:line="176" w:lineRule="exact"/>
              <w:rPr>
                <w:rFonts w:ascii="Arial" w:cs="Arial" w:eastAsia="Arial" w:hAnsi="Arial"/>
                <w:sz w:val="18"/>
                <w:szCs w:val="18"/>
                <w:color w:val="0000EE"/>
                <w:w w:val="94"/>
              </w:rPr>
            </w:pPr>
            <w:hyperlink r:id="rId30">
              <w:r>
                <w:rPr>
                  <w:rFonts w:ascii="Arial" w:cs="Arial" w:eastAsia="Arial" w:hAnsi="Arial"/>
                  <w:sz w:val="18"/>
                  <w:szCs w:val="18"/>
                  <w:color w:val="0000EE"/>
                  <w:w w:val="94"/>
                </w:rPr>
                <w:t>Amended &amp; Restated Cleveland Avenue Subscription Agreement, dated as of July 25, 2022, by and</w:t>
              </w:r>
            </w:hyperlink>
          </w:p>
        </w:tc>
      </w:tr>
      <w:tr>
        <w:trPr>
          <w:trHeight w:val="20"/>
        </w:trPr>
        <w:tc>
          <w:tcPr>
            <w:tcW w:w="1040" w:type="dxa"/>
            <w:vAlign w:val="bottom"/>
          </w:tcPr>
          <w:p>
            <w:pPr>
              <w:spacing w:after="0" w:line="20" w:lineRule="exact"/>
              <w:rPr>
                <w:sz w:val="1"/>
                <w:szCs w:val="1"/>
                <w:color w:val="auto"/>
              </w:rPr>
            </w:pPr>
          </w:p>
        </w:tc>
        <w:tc>
          <w:tcPr>
            <w:tcW w:w="2420" w:type="dxa"/>
            <w:vAlign w:val="bottom"/>
            <w:gridSpan w:val="4"/>
            <w:shd w:val="clear" w:color="auto" w:fill="0000EE"/>
          </w:tcPr>
          <w:p>
            <w:pPr>
              <w:spacing w:after="0" w:line="20" w:lineRule="exact"/>
              <w:rPr>
                <w:sz w:val="1"/>
                <w:szCs w:val="1"/>
                <w:color w:val="auto"/>
              </w:rPr>
            </w:pPr>
          </w:p>
        </w:tc>
        <w:tc>
          <w:tcPr>
            <w:tcW w:w="2740" w:type="dxa"/>
            <w:vAlign w:val="bottom"/>
            <w:gridSpan w:val="12"/>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520" w:type="dxa"/>
            <w:vAlign w:val="bottom"/>
            <w:tcBorders>
              <w:right w:val="single" w:sz="8" w:color="0000EE"/>
            </w:tcBorders>
            <w:gridSpan w:val="6"/>
            <w:shd w:val="clear" w:color="auto" w:fill="0000EE"/>
          </w:tcPr>
          <w:p>
            <w:pPr>
              <w:spacing w:after="0" w:line="20" w:lineRule="exact"/>
              <w:rPr>
                <w:sz w:val="1"/>
                <w:szCs w:val="1"/>
                <w:color w:val="auto"/>
              </w:rPr>
            </w:pPr>
          </w:p>
        </w:tc>
        <w:tc>
          <w:tcPr>
            <w:tcW w:w="36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7540" w:type="dxa"/>
            <w:vAlign w:val="bottom"/>
            <w:gridSpan w:val="35"/>
          </w:tcPr>
          <w:p>
            <w:pPr>
              <w:spacing w:after="0" w:line="196" w:lineRule="exact"/>
              <w:rPr>
                <w:rFonts w:ascii="Arial" w:cs="Arial" w:eastAsia="Arial" w:hAnsi="Arial"/>
                <w:sz w:val="18"/>
                <w:szCs w:val="18"/>
                <w:color w:val="0000EE"/>
                <w:w w:val="91"/>
              </w:rPr>
            </w:pPr>
            <w:hyperlink r:id="rId30">
              <w:r>
                <w:rPr>
                  <w:rFonts w:ascii="Arial" w:cs="Arial" w:eastAsia="Arial" w:hAnsi="Arial"/>
                  <w:sz w:val="18"/>
                  <w:szCs w:val="18"/>
                  <w:color w:val="0000EE"/>
                  <w:w w:val="91"/>
                </w:rPr>
                <w:t>between VTAQ and Presto CA, LLC (incorporated by reference to Exhibit 10.2 to the Current Report on</w:t>
              </w:r>
            </w:hyperlink>
          </w:p>
        </w:tc>
      </w:tr>
      <w:tr>
        <w:trPr>
          <w:trHeight w:val="196"/>
        </w:trPr>
        <w:tc>
          <w:tcPr>
            <w:tcW w:w="1040" w:type="dxa"/>
            <w:vAlign w:val="bottom"/>
          </w:tcPr>
          <w:p>
            <w:pPr>
              <w:spacing w:after="0"/>
              <w:rPr>
                <w:sz w:val="17"/>
                <w:szCs w:val="17"/>
                <w:color w:val="auto"/>
              </w:rPr>
            </w:pPr>
          </w:p>
        </w:tc>
        <w:tc>
          <w:tcPr>
            <w:tcW w:w="7520" w:type="dxa"/>
            <w:vAlign w:val="bottom"/>
            <w:tcBorders>
              <w:top w:val="single" w:sz="8" w:color="0000EE"/>
            </w:tcBorders>
            <w:gridSpan w:val="34"/>
          </w:tcPr>
          <w:p>
            <w:pPr>
              <w:spacing w:after="0" w:line="196" w:lineRule="exact"/>
              <w:rPr>
                <w:rFonts w:ascii="Arial" w:cs="Arial" w:eastAsia="Arial" w:hAnsi="Arial"/>
                <w:sz w:val="18"/>
                <w:szCs w:val="18"/>
                <w:color w:val="0000EE"/>
              </w:rPr>
            </w:pPr>
            <w:hyperlink r:id="rId30">
              <w:r>
                <w:rPr>
                  <w:rFonts w:ascii="Arial" w:cs="Arial" w:eastAsia="Arial" w:hAnsi="Arial"/>
                  <w:sz w:val="18"/>
                  <w:szCs w:val="18"/>
                  <w:color w:val="0000EE"/>
                </w:rPr>
                <w:t>Form 8-K filed on July 26, 2022).</w:t>
              </w:r>
            </w:hyperlink>
          </w:p>
        </w:tc>
        <w:tc>
          <w:tcPr>
            <w:tcW w:w="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10.11</w:t>
            </w:r>
          </w:p>
        </w:tc>
        <w:tc>
          <w:tcPr>
            <w:tcW w:w="664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91"/>
              </w:rPr>
            </w:pPr>
            <w:hyperlink r:id="rId31">
              <w:r>
                <w:rPr>
                  <w:rFonts w:ascii="Arial" w:cs="Arial" w:eastAsia="Arial" w:hAnsi="Arial"/>
                  <w:sz w:val="18"/>
                  <w:szCs w:val="18"/>
                  <w:color w:val="0000EE"/>
                  <w:w w:val="91"/>
                </w:rPr>
                <w:t>Form of Amended &amp; Restated Equity Subscription Agreement (incorporated by reference to</w:t>
              </w:r>
            </w:hyperlink>
          </w:p>
        </w:tc>
        <w:tc>
          <w:tcPr>
            <w:tcW w:w="900" w:type="dxa"/>
            <w:vAlign w:val="bottom"/>
            <w:tcBorders>
              <w:bottom w:val="single" w:sz="8" w:color="CCEEFF"/>
            </w:tcBorders>
            <w:gridSpan w:val="17"/>
            <w:shd w:val="clear" w:color="auto" w:fill="CCEEFF"/>
          </w:tcPr>
          <w:p>
            <w:pPr>
              <w:spacing w:after="0"/>
              <w:rPr>
                <w:sz w:val="15"/>
                <w:szCs w:val="15"/>
                <w:color w:val="auto"/>
              </w:rPr>
            </w:pPr>
          </w:p>
        </w:tc>
      </w:tr>
      <w:tr>
        <w:trPr>
          <w:trHeight w:val="196"/>
        </w:trPr>
        <w:tc>
          <w:tcPr>
            <w:tcW w:w="1040" w:type="dxa"/>
            <w:vAlign w:val="bottom"/>
            <w:shd w:val="clear" w:color="auto" w:fill="CCEEFF"/>
          </w:tcPr>
          <w:p>
            <w:pPr>
              <w:spacing w:after="0"/>
              <w:rPr>
                <w:sz w:val="17"/>
                <w:szCs w:val="17"/>
                <w:color w:val="auto"/>
              </w:rPr>
            </w:pPr>
          </w:p>
        </w:tc>
        <w:tc>
          <w:tcPr>
            <w:tcW w:w="7540" w:type="dxa"/>
            <w:vAlign w:val="bottom"/>
            <w:gridSpan w:val="35"/>
            <w:shd w:val="clear" w:color="auto" w:fill="CCEEFF"/>
          </w:tcPr>
          <w:p>
            <w:pPr>
              <w:spacing w:after="0" w:line="196" w:lineRule="exact"/>
              <w:rPr>
                <w:rFonts w:ascii="Arial" w:cs="Arial" w:eastAsia="Arial" w:hAnsi="Arial"/>
                <w:sz w:val="18"/>
                <w:szCs w:val="18"/>
                <w:color w:val="0000EE"/>
              </w:rPr>
            </w:pPr>
            <w:hyperlink r:id="rId31">
              <w:r>
                <w:rPr>
                  <w:rFonts w:ascii="Arial" w:cs="Arial" w:eastAsia="Arial" w:hAnsi="Arial"/>
                  <w:sz w:val="18"/>
                  <w:szCs w:val="18"/>
                  <w:color w:val="0000EE"/>
                </w:rPr>
                <w:t>Exhibit 10.3 to the Current Report on Form 8-K filed on July 26, 2022).</w:t>
              </w:r>
            </w:hyperlink>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40" w:type="dxa"/>
            <w:vAlign w:val="bottom"/>
          </w:tcPr>
          <w:p>
            <w:pPr>
              <w:spacing w:after="0" w:line="176" w:lineRule="exact"/>
              <w:rPr>
                <w:sz w:val="20"/>
                <w:szCs w:val="20"/>
                <w:color w:val="auto"/>
              </w:rPr>
            </w:pPr>
            <w:r>
              <w:rPr>
                <w:rFonts w:ascii="Arial" w:cs="Arial" w:eastAsia="Arial" w:hAnsi="Arial"/>
                <w:sz w:val="18"/>
                <w:szCs w:val="18"/>
                <w:color w:val="auto"/>
              </w:rPr>
              <w:t>10.12+</w:t>
            </w:r>
          </w:p>
        </w:tc>
        <w:tc>
          <w:tcPr>
            <w:tcW w:w="7160" w:type="dxa"/>
            <w:vAlign w:val="bottom"/>
            <w:tcBorders>
              <w:bottom w:val="single" w:sz="8" w:color="0000EE"/>
            </w:tcBorders>
            <w:gridSpan w:val="24"/>
          </w:tcPr>
          <w:p>
            <w:pPr>
              <w:spacing w:after="0" w:line="176" w:lineRule="exact"/>
              <w:rPr>
                <w:rFonts w:ascii="Arial" w:cs="Arial" w:eastAsia="Arial" w:hAnsi="Arial"/>
                <w:sz w:val="18"/>
                <w:szCs w:val="18"/>
                <w:color w:val="0000EE"/>
                <w:w w:val="89"/>
              </w:rPr>
            </w:pPr>
            <w:hyperlink r:id="rId32">
              <w:r>
                <w:rPr>
                  <w:rFonts w:ascii="Arial" w:cs="Arial" w:eastAsia="Arial" w:hAnsi="Arial"/>
                  <w:sz w:val="18"/>
                  <w:szCs w:val="18"/>
                  <w:color w:val="0000EE"/>
                  <w:w w:val="89"/>
                </w:rPr>
                <w:t>Offer Letter of Employment, dated as of February 23, 2021, by and between Dan Mosher and Presto</w:t>
              </w:r>
            </w:hyperlink>
          </w:p>
        </w:tc>
        <w:tc>
          <w:tcPr>
            <w:tcW w:w="380" w:type="dxa"/>
            <w:vAlign w:val="bottom"/>
            <w:gridSpan w:val="11"/>
          </w:tcPr>
          <w:p>
            <w:pPr>
              <w:spacing w:after="0"/>
              <w:rPr>
                <w:sz w:val="15"/>
                <w:szCs w:val="15"/>
                <w:color w:val="auto"/>
              </w:rPr>
            </w:pPr>
          </w:p>
        </w:tc>
      </w:tr>
      <w:tr>
        <w:trPr>
          <w:trHeight w:val="196"/>
        </w:trPr>
        <w:tc>
          <w:tcPr>
            <w:tcW w:w="1040" w:type="dxa"/>
            <w:vAlign w:val="bottom"/>
          </w:tcPr>
          <w:p>
            <w:pPr>
              <w:spacing w:after="0"/>
              <w:rPr>
                <w:sz w:val="17"/>
                <w:szCs w:val="17"/>
                <w:color w:val="auto"/>
              </w:rPr>
            </w:pPr>
          </w:p>
        </w:tc>
        <w:tc>
          <w:tcPr>
            <w:tcW w:w="7540" w:type="dxa"/>
            <w:vAlign w:val="bottom"/>
            <w:gridSpan w:val="35"/>
          </w:tcPr>
          <w:p>
            <w:pPr>
              <w:spacing w:after="0" w:line="196" w:lineRule="exact"/>
              <w:rPr>
                <w:rFonts w:ascii="Arial" w:cs="Arial" w:eastAsia="Arial" w:hAnsi="Arial"/>
                <w:sz w:val="18"/>
                <w:szCs w:val="18"/>
                <w:color w:val="0000EE"/>
                <w:w w:val="91"/>
              </w:rPr>
            </w:pPr>
            <w:hyperlink r:id="rId32">
              <w:r>
                <w:rPr>
                  <w:rFonts w:ascii="Arial" w:cs="Arial" w:eastAsia="Arial" w:hAnsi="Arial"/>
                  <w:sz w:val="18"/>
                  <w:szCs w:val="18"/>
                  <w:color w:val="0000EE"/>
                  <w:w w:val="91"/>
                </w:rPr>
                <w:t>Automation Inc. (incorporated by reference to Exhibit 10.12 to the Form S-1 filed on October 21, 2022).</w:t>
              </w:r>
            </w:hyperlink>
          </w:p>
        </w:tc>
      </w:tr>
      <w:tr>
        <w:trPr>
          <w:trHeight w:val="581"/>
        </w:trPr>
        <w:tc>
          <w:tcPr>
            <w:tcW w:w="1040" w:type="dxa"/>
            <w:vAlign w:val="bottom"/>
            <w:tcBorders>
              <w:bottom w:val="single" w:sz="8" w:color="auto"/>
            </w:tcBorders>
          </w:tcPr>
          <w:p>
            <w:pPr>
              <w:spacing w:after="0"/>
              <w:rPr>
                <w:sz w:val="24"/>
                <w:szCs w:val="24"/>
                <w:color w:val="auto"/>
              </w:rPr>
            </w:pPr>
          </w:p>
        </w:tc>
        <w:tc>
          <w:tcPr>
            <w:tcW w:w="154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10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985" w:right="1440" w:bottom="1440" w:gutter="0" w:footer="0" w:header="0"/>
        </w:sectPr>
      </w:pPr>
    </w:p>
    <w:bookmarkStart w:id="4" w:name="page5"/>
    <w:bookmarkEnd w:id="4"/>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333"/>
        </w:trPr>
        <w:tc>
          <w:tcPr>
            <w:tcW w:w="1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10.13+</w:t>
            </w:r>
            <w:r>
              <w:rPr>
                <w:rFonts w:ascii="Arial" w:cs="Arial" w:eastAsia="Arial" w:hAnsi="Arial"/>
                <w:sz w:val="29"/>
                <w:szCs w:val="29"/>
                <w:color w:val="auto"/>
                <w:vertAlign w:val="superscript"/>
              </w:rPr>
              <w:t>Ù</w:t>
            </w:r>
          </w:p>
        </w:tc>
        <w:tc>
          <w:tcPr>
            <w:tcW w:w="7180" w:type="dxa"/>
            <w:vAlign w:val="bottom"/>
            <w:tcBorders>
              <w:bottom w:val="single" w:sz="8" w:color="0000EE"/>
            </w:tcBorders>
            <w:gridSpan w:val="16"/>
            <w:shd w:val="clear" w:color="auto" w:fill="CCEEFF"/>
          </w:tcPr>
          <w:p>
            <w:pPr>
              <w:spacing w:after="0"/>
              <w:rPr>
                <w:rFonts w:ascii="Arial" w:cs="Arial" w:eastAsia="Arial" w:hAnsi="Arial"/>
                <w:sz w:val="18"/>
                <w:szCs w:val="18"/>
                <w:color w:val="0000EE"/>
                <w:w w:val="90"/>
              </w:rPr>
            </w:pPr>
            <w:hyperlink r:id="rId33">
              <w:r>
                <w:rPr>
                  <w:rFonts w:ascii="Arial" w:cs="Arial" w:eastAsia="Arial" w:hAnsi="Arial"/>
                  <w:sz w:val="18"/>
                  <w:szCs w:val="18"/>
                  <w:color w:val="0000EE"/>
                  <w:w w:val="90"/>
                </w:rPr>
                <w:t>Offer Letter of Employment, dated as of August 19, 2019, by and between Ashish Gupta and Presto</w:t>
              </w:r>
            </w:hyperlink>
          </w:p>
        </w:tc>
        <w:tc>
          <w:tcPr>
            <w:tcW w:w="360" w:type="dxa"/>
            <w:vAlign w:val="bottom"/>
            <w:tcBorders>
              <w:bottom w:val="single" w:sz="8" w:color="CCEEFF"/>
            </w:tcBorders>
            <w:gridSpan w:val="17"/>
            <w:shd w:val="clear" w:color="auto" w:fill="CCEEFF"/>
          </w:tcPr>
          <w:p>
            <w:pPr>
              <w:spacing w:after="0"/>
              <w:rPr>
                <w:sz w:val="24"/>
                <w:szCs w:val="24"/>
                <w:color w:val="auto"/>
              </w:rPr>
            </w:pPr>
          </w:p>
        </w:tc>
      </w:tr>
      <w:tr>
        <w:trPr>
          <w:trHeight w:val="217"/>
        </w:trPr>
        <w:tc>
          <w:tcPr>
            <w:tcW w:w="1040" w:type="dxa"/>
            <w:vAlign w:val="bottom"/>
            <w:tcBorders>
              <w:bottom w:val="single" w:sz="8" w:color="CCEEFF"/>
            </w:tcBorders>
            <w:shd w:val="clear" w:color="auto" w:fill="CCEEFF"/>
          </w:tcPr>
          <w:p>
            <w:pPr>
              <w:spacing w:after="0"/>
              <w:rPr>
                <w:sz w:val="18"/>
                <w:szCs w:val="18"/>
                <w:color w:val="auto"/>
              </w:rPr>
            </w:pPr>
          </w:p>
        </w:tc>
        <w:tc>
          <w:tcPr>
            <w:tcW w:w="7520" w:type="dxa"/>
            <w:vAlign w:val="bottom"/>
            <w:tcBorders>
              <w:bottom w:val="single" w:sz="8" w:color="0000EE"/>
            </w:tcBorders>
            <w:gridSpan w:val="32"/>
            <w:shd w:val="clear" w:color="auto" w:fill="CCEEFF"/>
          </w:tcPr>
          <w:p>
            <w:pPr>
              <w:spacing w:after="0" w:line="196" w:lineRule="exact"/>
              <w:rPr>
                <w:rFonts w:ascii="Arial" w:cs="Arial" w:eastAsia="Arial" w:hAnsi="Arial"/>
                <w:sz w:val="18"/>
                <w:szCs w:val="18"/>
                <w:color w:val="0000EE"/>
                <w:w w:val="91"/>
              </w:rPr>
            </w:pPr>
            <w:hyperlink r:id="rId33">
              <w:r>
                <w:rPr>
                  <w:rFonts w:ascii="Arial" w:cs="Arial" w:eastAsia="Arial" w:hAnsi="Arial"/>
                  <w:sz w:val="18"/>
                  <w:szCs w:val="18"/>
                  <w:color w:val="0000EE"/>
                  <w:w w:val="91"/>
                </w:rPr>
                <w:t>Automation Inc. (incorporated by reference to Exhibit 10.13 to the Form S-1 filed on October 21, 2022).</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62"/>
        </w:trPr>
        <w:tc>
          <w:tcPr>
            <w:tcW w:w="1040" w:type="dxa"/>
            <w:vAlign w:val="bottom"/>
          </w:tcPr>
          <w:p>
            <w:pPr>
              <w:spacing w:after="0" w:line="142" w:lineRule="exact"/>
              <w:rPr>
                <w:sz w:val="20"/>
                <w:szCs w:val="20"/>
                <w:color w:val="auto"/>
              </w:rPr>
            </w:pPr>
            <w:r>
              <w:rPr>
                <w:rFonts w:ascii="Arial" w:cs="Arial" w:eastAsia="Arial" w:hAnsi="Arial"/>
                <w:sz w:val="16"/>
                <w:szCs w:val="16"/>
                <w:color w:val="auto"/>
              </w:rPr>
              <w:t>10.14††</w:t>
            </w:r>
          </w:p>
        </w:tc>
        <w:tc>
          <w:tcPr>
            <w:tcW w:w="6940" w:type="dxa"/>
            <w:vAlign w:val="bottom"/>
            <w:tcBorders>
              <w:bottom w:val="single" w:sz="8" w:color="0000EE"/>
            </w:tcBorders>
            <w:gridSpan w:val="13"/>
          </w:tcPr>
          <w:p>
            <w:pPr>
              <w:spacing w:after="0" w:line="142" w:lineRule="exact"/>
              <w:rPr>
                <w:rFonts w:ascii="Arial" w:cs="Arial" w:eastAsia="Arial" w:hAnsi="Arial"/>
                <w:sz w:val="16"/>
                <w:szCs w:val="16"/>
                <w:color w:val="0000EE"/>
              </w:rPr>
            </w:pPr>
            <w:hyperlink r:id="rId34">
              <w:r>
                <w:rPr>
                  <w:rFonts w:ascii="Arial" w:cs="Arial" w:eastAsia="Arial" w:hAnsi="Arial"/>
                  <w:sz w:val="16"/>
                  <w:szCs w:val="16"/>
                  <w:color w:val="0000EE"/>
                </w:rPr>
                <w:t>Consultng Agreement between Presto Automaton Inc. and Ashish Gupta, dated March 4, 2023</w:t>
              </w:r>
            </w:hyperlink>
          </w:p>
        </w:tc>
        <w:tc>
          <w:tcPr>
            <w:tcW w:w="600" w:type="dxa"/>
            <w:vAlign w:val="bottom"/>
            <w:gridSpan w:val="20"/>
          </w:tcPr>
          <w:p>
            <w:pPr>
              <w:spacing w:after="0"/>
              <w:rPr>
                <w:sz w:val="14"/>
                <w:szCs w:val="14"/>
                <w:color w:val="auto"/>
              </w:rPr>
            </w:pPr>
          </w:p>
        </w:tc>
      </w:tr>
      <w:tr>
        <w:trPr>
          <w:trHeight w:val="209"/>
        </w:trPr>
        <w:tc>
          <w:tcPr>
            <w:tcW w:w="1040" w:type="dxa"/>
            <w:vAlign w:val="bottom"/>
          </w:tcPr>
          <w:p>
            <w:pPr>
              <w:spacing w:after="0"/>
              <w:rPr>
                <w:sz w:val="18"/>
                <w:szCs w:val="18"/>
                <w:color w:val="auto"/>
              </w:rPr>
            </w:pPr>
          </w:p>
        </w:tc>
        <w:tc>
          <w:tcPr>
            <w:tcW w:w="7540" w:type="dxa"/>
            <w:vAlign w:val="bottom"/>
            <w:gridSpan w:val="33"/>
          </w:tcPr>
          <w:p>
            <w:pPr>
              <w:spacing w:after="0"/>
              <w:rPr>
                <w:rFonts w:ascii="Arial" w:cs="Arial" w:eastAsia="Arial" w:hAnsi="Arial"/>
                <w:sz w:val="18"/>
                <w:szCs w:val="18"/>
                <w:color w:val="0000EE"/>
                <w:w w:val="94"/>
              </w:rPr>
            </w:pPr>
            <w:hyperlink r:id="rId34">
              <w:r>
                <w:rPr>
                  <w:rFonts w:ascii="Arial" w:cs="Arial" w:eastAsia="Arial" w:hAnsi="Arial"/>
                  <w:sz w:val="18"/>
                  <w:szCs w:val="18"/>
                  <w:color w:val="0000EE"/>
                  <w:w w:val="94"/>
                </w:rPr>
                <w:t>(incorporated by reference to Exhibit 10.1 to the Current Report on Form 8-K fled on March 7, 2023)</w:t>
              </w:r>
            </w:hyperlink>
            <w:r>
              <w:rPr>
                <w:rFonts w:ascii="Arial" w:cs="Arial" w:eastAsia="Arial" w:hAnsi="Arial"/>
                <w:sz w:val="18"/>
                <w:szCs w:val="18"/>
                <w:color w:val="000000"/>
                <w:w w:val="94"/>
              </w:rPr>
              <w:t>.</w:t>
            </w:r>
          </w:p>
        </w:tc>
      </w:tr>
      <w:tr>
        <w:trPr>
          <w:trHeight w:val="250"/>
        </w:trPr>
        <w:tc>
          <w:tcPr>
            <w:tcW w:w="1040" w:type="dxa"/>
            <w:vAlign w:val="bottom"/>
          </w:tcPr>
          <w:p>
            <w:pPr>
              <w:spacing w:after="0"/>
              <w:rPr>
                <w:sz w:val="21"/>
                <w:szCs w:val="21"/>
                <w:color w:val="auto"/>
              </w:rPr>
            </w:pPr>
          </w:p>
        </w:tc>
        <w:tc>
          <w:tcPr>
            <w:tcW w:w="110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5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30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76"/>
        </w:trPr>
        <w:tc>
          <w:tcPr>
            <w:tcW w:w="10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10.15</w:t>
            </w:r>
          </w:p>
        </w:tc>
        <w:tc>
          <w:tcPr>
            <w:tcW w:w="692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0"/>
              </w:rPr>
            </w:pPr>
            <w:hyperlink r:id="rId35">
              <w:r>
                <w:rPr>
                  <w:rFonts w:ascii="Arial" w:cs="Arial" w:eastAsia="Arial" w:hAnsi="Arial"/>
                  <w:sz w:val="18"/>
                  <w:szCs w:val="18"/>
                  <w:color w:val="0000EE"/>
                  <w:w w:val="90"/>
                </w:rPr>
                <w:t>Waiver and First Amendment to Credit Agreement, dated March 31, 2023, by and among Presto</w:t>
              </w:r>
            </w:hyperlink>
          </w:p>
        </w:tc>
        <w:tc>
          <w:tcPr>
            <w:tcW w:w="620" w:type="dxa"/>
            <w:vAlign w:val="bottom"/>
            <w:tcBorders>
              <w:bottom w:val="single" w:sz="8" w:color="CCEEFF"/>
            </w:tcBorders>
            <w:gridSpan w:val="21"/>
            <w:shd w:val="clear" w:color="auto" w:fill="CCEEFF"/>
          </w:tcPr>
          <w:p>
            <w:pPr>
              <w:spacing w:after="0"/>
              <w:rPr>
                <w:sz w:val="15"/>
                <w:szCs w:val="15"/>
                <w:color w:val="auto"/>
              </w:rPr>
            </w:pPr>
          </w:p>
        </w:tc>
      </w:tr>
      <w:tr>
        <w:trPr>
          <w:trHeight w:val="196"/>
        </w:trPr>
        <w:tc>
          <w:tcPr>
            <w:tcW w:w="1040" w:type="dxa"/>
            <w:vAlign w:val="bottom"/>
            <w:shd w:val="clear" w:color="auto" w:fill="CCEEFF"/>
          </w:tcPr>
          <w:p>
            <w:pPr>
              <w:spacing w:after="0"/>
              <w:rPr>
                <w:sz w:val="17"/>
                <w:szCs w:val="17"/>
                <w:color w:val="auto"/>
              </w:rPr>
            </w:pPr>
          </w:p>
        </w:tc>
        <w:tc>
          <w:tcPr>
            <w:tcW w:w="7540" w:type="dxa"/>
            <w:vAlign w:val="bottom"/>
            <w:gridSpan w:val="33"/>
            <w:shd w:val="clear" w:color="auto" w:fill="CCEEFF"/>
          </w:tcPr>
          <w:p>
            <w:pPr>
              <w:spacing w:after="0" w:line="196" w:lineRule="exact"/>
              <w:rPr>
                <w:rFonts w:ascii="Arial" w:cs="Arial" w:eastAsia="Arial" w:hAnsi="Arial"/>
                <w:sz w:val="18"/>
                <w:szCs w:val="18"/>
                <w:color w:val="0000EE"/>
                <w:w w:val="99"/>
              </w:rPr>
            </w:pPr>
            <w:hyperlink r:id="rId35">
              <w:r>
                <w:rPr>
                  <w:rFonts w:ascii="Arial" w:cs="Arial" w:eastAsia="Arial" w:hAnsi="Arial"/>
                  <w:sz w:val="18"/>
                  <w:szCs w:val="18"/>
                  <w:color w:val="0000EE"/>
                  <w:w w:val="99"/>
                </w:rPr>
                <w:t>Automation Inc., E La Carte, LLC, Metropolitan Partners Group Administration, LLC and certain</w:t>
              </w:r>
            </w:hyperlink>
          </w:p>
        </w:tc>
      </w:tr>
      <w:tr>
        <w:trPr>
          <w:trHeight w:val="20"/>
        </w:trPr>
        <w:tc>
          <w:tcPr>
            <w:tcW w:w="1040" w:type="dxa"/>
            <w:vAlign w:val="bottom"/>
            <w:shd w:val="clear" w:color="auto" w:fill="CCEEFF"/>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7540" w:type="dxa"/>
            <w:vAlign w:val="bottom"/>
            <w:gridSpan w:val="33"/>
            <w:shd w:val="clear" w:color="auto" w:fill="CCEEFF"/>
          </w:tcPr>
          <w:p>
            <w:pPr>
              <w:spacing w:after="0" w:line="196" w:lineRule="exact"/>
              <w:rPr>
                <w:rFonts w:ascii="Arial" w:cs="Arial" w:eastAsia="Arial" w:hAnsi="Arial"/>
                <w:sz w:val="18"/>
                <w:szCs w:val="18"/>
                <w:color w:val="0000EE"/>
                <w:w w:val="91"/>
              </w:rPr>
            </w:pPr>
            <w:hyperlink r:id="rId35">
              <w:r>
                <w:rPr>
                  <w:rFonts w:ascii="Arial" w:cs="Arial" w:eastAsia="Arial" w:hAnsi="Arial"/>
                  <w:sz w:val="18"/>
                  <w:szCs w:val="18"/>
                  <w:color w:val="0000EE"/>
                  <w:w w:val="91"/>
                </w:rPr>
                <w:t>lenders party thereto (incorporated by reference to Exhibit 10.1 to the Current Report on Form 8-K filed</w:t>
              </w:r>
            </w:hyperlink>
          </w:p>
        </w:tc>
      </w:tr>
      <w:tr>
        <w:trPr>
          <w:trHeight w:val="183"/>
        </w:trPr>
        <w:tc>
          <w:tcPr>
            <w:tcW w:w="1040" w:type="dxa"/>
            <w:vAlign w:val="bottom"/>
            <w:tcBorders>
              <w:top w:val="single" w:sz="8" w:color="CCEEFF"/>
            </w:tcBorders>
            <w:shd w:val="clear" w:color="auto" w:fill="CCEEFF"/>
          </w:tcPr>
          <w:p>
            <w:pPr>
              <w:spacing w:after="0"/>
              <w:rPr>
                <w:sz w:val="15"/>
                <w:szCs w:val="15"/>
                <w:color w:val="auto"/>
              </w:rPr>
            </w:pPr>
          </w:p>
        </w:tc>
        <w:tc>
          <w:tcPr>
            <w:tcW w:w="7500" w:type="dxa"/>
            <w:vAlign w:val="bottom"/>
            <w:tcBorders>
              <w:top w:val="single" w:sz="8" w:color="0000EE"/>
            </w:tcBorders>
            <w:gridSpan w:val="31"/>
            <w:shd w:val="clear" w:color="auto" w:fill="CCEEFF"/>
          </w:tcPr>
          <w:p>
            <w:pPr>
              <w:spacing w:after="0" w:line="182" w:lineRule="exact"/>
              <w:rPr>
                <w:rFonts w:ascii="Arial" w:cs="Arial" w:eastAsia="Arial" w:hAnsi="Arial"/>
                <w:sz w:val="18"/>
                <w:szCs w:val="18"/>
                <w:color w:val="0000EE"/>
              </w:rPr>
            </w:pPr>
            <w:hyperlink r:id="rId35">
              <w:r>
                <w:rPr>
                  <w:rFonts w:ascii="Arial" w:cs="Arial" w:eastAsia="Arial" w:hAnsi="Arial"/>
                  <w:sz w:val="18"/>
                  <w:szCs w:val="18"/>
                  <w:color w:val="0000EE"/>
                </w:rPr>
                <w:t>on April 6, 2023).</w:t>
              </w:r>
            </w:hyperlink>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40" w:type="dxa"/>
            <w:vAlign w:val="bottom"/>
          </w:tcPr>
          <w:p>
            <w:pPr>
              <w:spacing w:after="0" w:line="176" w:lineRule="exact"/>
              <w:rPr>
                <w:sz w:val="20"/>
                <w:szCs w:val="20"/>
                <w:color w:val="auto"/>
              </w:rPr>
            </w:pPr>
            <w:r>
              <w:rPr>
                <w:rFonts w:ascii="Arial" w:cs="Arial" w:eastAsia="Arial" w:hAnsi="Arial"/>
                <w:sz w:val="18"/>
                <w:szCs w:val="18"/>
                <w:color w:val="auto"/>
              </w:rPr>
              <w:t>10.16</w:t>
            </w:r>
          </w:p>
        </w:tc>
        <w:tc>
          <w:tcPr>
            <w:tcW w:w="7540" w:type="dxa"/>
            <w:vAlign w:val="bottom"/>
            <w:gridSpan w:val="33"/>
          </w:tcPr>
          <w:p>
            <w:pPr>
              <w:spacing w:after="0" w:line="176" w:lineRule="exact"/>
              <w:rPr>
                <w:rFonts w:ascii="Arial" w:cs="Arial" w:eastAsia="Arial" w:hAnsi="Arial"/>
                <w:sz w:val="18"/>
                <w:szCs w:val="18"/>
                <w:color w:val="0000EE"/>
                <w:w w:val="91"/>
              </w:rPr>
            </w:pPr>
            <w:hyperlink r:id="rId36">
              <w:r>
                <w:rPr>
                  <w:rFonts w:ascii="Arial" w:cs="Arial" w:eastAsia="Arial" w:hAnsi="Arial"/>
                  <w:sz w:val="18"/>
                  <w:szCs w:val="18"/>
                  <w:color w:val="0000EE"/>
                  <w:w w:val="91"/>
                </w:rPr>
                <w:t>Amended and Restated Fee Letter, dated March 31, 2023, by and among Presto Automation Inc., E La</w:t>
              </w:r>
            </w:hyperlink>
          </w:p>
        </w:tc>
      </w:tr>
      <w:tr>
        <w:trPr>
          <w:trHeight w:val="196"/>
        </w:trPr>
        <w:tc>
          <w:tcPr>
            <w:tcW w:w="1040" w:type="dxa"/>
            <w:vAlign w:val="bottom"/>
          </w:tcPr>
          <w:p>
            <w:pPr>
              <w:spacing w:after="0"/>
              <w:rPr>
                <w:sz w:val="17"/>
                <w:szCs w:val="17"/>
                <w:color w:val="auto"/>
              </w:rPr>
            </w:pPr>
          </w:p>
        </w:tc>
        <w:tc>
          <w:tcPr>
            <w:tcW w:w="7360" w:type="dxa"/>
            <w:vAlign w:val="bottom"/>
            <w:tcBorders>
              <w:top w:val="single" w:sz="8" w:color="0000EE"/>
            </w:tcBorders>
            <w:gridSpan w:val="24"/>
          </w:tcPr>
          <w:p>
            <w:pPr>
              <w:spacing w:after="0" w:line="196" w:lineRule="exact"/>
              <w:rPr>
                <w:rFonts w:ascii="Arial" w:cs="Arial" w:eastAsia="Arial" w:hAnsi="Arial"/>
                <w:sz w:val="18"/>
                <w:szCs w:val="18"/>
                <w:color w:val="0000EE"/>
                <w:w w:val="98"/>
              </w:rPr>
            </w:pPr>
            <w:hyperlink r:id="rId36">
              <w:r>
                <w:rPr>
                  <w:rFonts w:ascii="Arial" w:cs="Arial" w:eastAsia="Arial" w:hAnsi="Arial"/>
                  <w:sz w:val="18"/>
                  <w:szCs w:val="18"/>
                  <w:color w:val="0000EE"/>
                  <w:w w:val="98"/>
                </w:rPr>
                <w:t>Carte, LLC, Metropolitan Partners Group Administration LLC and certain lenders party thereto</w:t>
              </w:r>
            </w:hyperlink>
          </w:p>
        </w:tc>
        <w:tc>
          <w:tcPr>
            <w:tcW w:w="180" w:type="dxa"/>
            <w:vAlign w:val="bottom"/>
            <w:gridSpan w:val="9"/>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7540" w:type="dxa"/>
            <w:vAlign w:val="bottom"/>
            <w:gridSpan w:val="33"/>
          </w:tcPr>
          <w:p>
            <w:pPr>
              <w:spacing w:after="0" w:line="196" w:lineRule="exact"/>
              <w:rPr>
                <w:rFonts w:ascii="Arial" w:cs="Arial" w:eastAsia="Arial" w:hAnsi="Arial"/>
                <w:sz w:val="18"/>
                <w:szCs w:val="18"/>
                <w:color w:val="0000EE"/>
                <w:w w:val="95"/>
              </w:rPr>
            </w:pPr>
            <w:hyperlink r:id="rId36">
              <w:r>
                <w:rPr>
                  <w:rFonts w:ascii="Arial" w:cs="Arial" w:eastAsia="Arial" w:hAnsi="Arial"/>
                  <w:sz w:val="18"/>
                  <w:szCs w:val="18"/>
                  <w:color w:val="0000EE"/>
                  <w:w w:val="95"/>
                </w:rPr>
                <w:t>(incorporated by reference to Exhibit 10.2 to the Current Report on Form 8-K filed on April 6, 2023).</w:t>
              </w:r>
            </w:hyperlink>
          </w:p>
        </w:tc>
      </w:tr>
      <w:tr>
        <w:trPr>
          <w:trHeight w:val="20"/>
        </w:trPr>
        <w:tc>
          <w:tcPr>
            <w:tcW w:w="1040" w:type="dxa"/>
            <w:vAlign w:val="bottom"/>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1040" w:type="dxa"/>
            <w:vAlign w:val="bottom"/>
            <w:shd w:val="clear" w:color="auto" w:fill="CCEEFF"/>
          </w:tcPr>
          <w:p>
            <w:pPr>
              <w:spacing w:after="0" w:line="142" w:lineRule="exact"/>
              <w:rPr>
                <w:sz w:val="20"/>
                <w:szCs w:val="20"/>
                <w:color w:val="auto"/>
              </w:rPr>
            </w:pPr>
            <w:r>
              <w:rPr>
                <w:rFonts w:ascii="Arial" w:cs="Arial" w:eastAsia="Arial" w:hAnsi="Arial"/>
                <w:sz w:val="16"/>
                <w:szCs w:val="16"/>
                <w:color w:val="auto"/>
              </w:rPr>
              <w:t>10.17</w:t>
            </w:r>
          </w:p>
        </w:tc>
        <w:tc>
          <w:tcPr>
            <w:tcW w:w="7540" w:type="dxa"/>
            <w:vAlign w:val="bottom"/>
            <w:gridSpan w:val="33"/>
            <w:shd w:val="clear" w:color="auto" w:fill="CCEEFF"/>
          </w:tcPr>
          <w:p>
            <w:pPr>
              <w:spacing w:after="0" w:line="142" w:lineRule="exact"/>
              <w:rPr>
                <w:rFonts w:ascii="Arial" w:cs="Arial" w:eastAsia="Arial" w:hAnsi="Arial"/>
                <w:sz w:val="16"/>
                <w:szCs w:val="16"/>
                <w:color w:val="0000EE"/>
              </w:rPr>
            </w:pPr>
            <w:hyperlink r:id="rId37">
              <w:r>
                <w:rPr>
                  <w:rFonts w:ascii="Arial" w:cs="Arial" w:eastAsia="Arial" w:hAnsi="Arial"/>
                  <w:sz w:val="16"/>
                  <w:szCs w:val="16"/>
                  <w:color w:val="0000EE"/>
                </w:rPr>
                <w:t>Warrant to Purchase Common Stock, dated March 31, 2023, by and between Presto Automaton Inc.</w:t>
              </w:r>
            </w:hyperlink>
          </w:p>
        </w:tc>
      </w:tr>
      <w:tr>
        <w:trPr>
          <w:trHeight w:val="209"/>
        </w:trPr>
        <w:tc>
          <w:tcPr>
            <w:tcW w:w="1040" w:type="dxa"/>
            <w:vAlign w:val="bottom"/>
            <w:tcBorders>
              <w:top w:val="single" w:sz="8" w:color="CCEEFF"/>
            </w:tcBorders>
            <w:shd w:val="clear" w:color="auto" w:fill="CCEEFF"/>
          </w:tcPr>
          <w:p>
            <w:pPr>
              <w:spacing w:after="0"/>
              <w:rPr>
                <w:sz w:val="18"/>
                <w:szCs w:val="18"/>
                <w:color w:val="auto"/>
              </w:rPr>
            </w:pPr>
          </w:p>
        </w:tc>
        <w:tc>
          <w:tcPr>
            <w:tcW w:w="7300" w:type="dxa"/>
            <w:vAlign w:val="bottom"/>
            <w:tcBorders>
              <w:top w:val="single" w:sz="8" w:color="0000EE"/>
            </w:tcBorders>
            <w:gridSpan w:val="21"/>
            <w:shd w:val="clear" w:color="auto" w:fill="CCEEFF"/>
          </w:tcPr>
          <w:p>
            <w:pPr>
              <w:spacing w:after="0"/>
              <w:rPr>
                <w:rFonts w:ascii="Arial" w:cs="Arial" w:eastAsia="Arial" w:hAnsi="Arial"/>
                <w:sz w:val="18"/>
                <w:szCs w:val="18"/>
                <w:color w:val="0000EE"/>
                <w:w w:val="94"/>
              </w:rPr>
            </w:pPr>
            <w:hyperlink r:id="rId37">
              <w:r>
                <w:rPr>
                  <w:rFonts w:ascii="Arial" w:cs="Arial" w:eastAsia="Arial" w:hAnsi="Arial"/>
                  <w:sz w:val="18"/>
                  <w:szCs w:val="18"/>
                  <w:color w:val="0000EE"/>
                  <w:w w:val="94"/>
                </w:rPr>
                <w:t>and Metropolitan Levered Partners Fund VII, LP (incorporated by reference to Exhibit 10.3 to the</w:t>
              </w:r>
            </w:hyperlink>
          </w:p>
        </w:tc>
        <w:tc>
          <w:tcPr>
            <w:tcW w:w="240" w:type="dxa"/>
            <w:vAlign w:val="bottom"/>
            <w:tcBorders>
              <w:top w:val="single" w:sz="8" w:color="CCEEFF"/>
            </w:tcBorders>
            <w:gridSpan w:val="12"/>
            <w:shd w:val="clear" w:color="auto" w:fill="CCEEFF"/>
          </w:tcPr>
          <w:p>
            <w:pPr>
              <w:spacing w:after="0"/>
              <w:rPr>
                <w:sz w:val="18"/>
                <w:szCs w:val="18"/>
                <w:color w:val="auto"/>
              </w:rPr>
            </w:pPr>
          </w:p>
        </w:tc>
      </w:tr>
      <w:tr>
        <w:trPr>
          <w:trHeight w:val="230"/>
        </w:trPr>
        <w:tc>
          <w:tcPr>
            <w:tcW w:w="1040" w:type="dxa"/>
            <w:vAlign w:val="bottom"/>
            <w:tcBorders>
              <w:top w:val="single" w:sz="8" w:color="CCEEFF"/>
              <w:bottom w:val="single" w:sz="8" w:color="CCEEFF"/>
            </w:tcBorders>
            <w:shd w:val="clear" w:color="auto" w:fill="CCEEFF"/>
          </w:tcPr>
          <w:p>
            <w:pPr>
              <w:spacing w:after="0"/>
              <w:rPr>
                <w:sz w:val="20"/>
                <w:szCs w:val="20"/>
                <w:color w:val="auto"/>
              </w:rPr>
            </w:pPr>
          </w:p>
        </w:tc>
        <w:tc>
          <w:tcPr>
            <w:tcW w:w="3780" w:type="dxa"/>
            <w:vAlign w:val="bottom"/>
            <w:tcBorders>
              <w:top w:val="single" w:sz="8" w:color="0000EE"/>
              <w:bottom w:val="single" w:sz="8" w:color="0000EE"/>
            </w:tcBorders>
            <w:gridSpan w:val="9"/>
            <w:shd w:val="clear" w:color="auto" w:fill="CCEEFF"/>
          </w:tcPr>
          <w:p>
            <w:pPr>
              <w:spacing w:after="0"/>
              <w:rPr>
                <w:rFonts w:ascii="Arial" w:cs="Arial" w:eastAsia="Arial" w:hAnsi="Arial"/>
                <w:sz w:val="18"/>
                <w:szCs w:val="18"/>
                <w:color w:val="0000EE"/>
                <w:w w:val="93"/>
              </w:rPr>
            </w:pPr>
            <w:hyperlink r:id="rId37">
              <w:r>
                <w:rPr>
                  <w:rFonts w:ascii="Arial" w:cs="Arial" w:eastAsia="Arial" w:hAnsi="Arial"/>
                  <w:sz w:val="18"/>
                  <w:szCs w:val="18"/>
                  <w:color w:val="0000EE"/>
                  <w:w w:val="93"/>
                </w:rPr>
                <w:t>Current Report on Form 8-K filed on April 6, 2023).</w:t>
              </w:r>
            </w:hyperlink>
          </w:p>
        </w:tc>
        <w:tc>
          <w:tcPr>
            <w:tcW w:w="3180" w:type="dxa"/>
            <w:vAlign w:val="bottom"/>
            <w:tcBorders>
              <w:top w:val="single" w:sz="8" w:color="0000EE"/>
              <w:bottom w:val="single" w:sz="8" w:color="CCEEFF"/>
            </w:tcBorders>
            <w:gridSpan w:val="5"/>
            <w:shd w:val="clear" w:color="auto" w:fill="CCEEFF"/>
          </w:tcPr>
          <w:p>
            <w:pPr>
              <w:spacing w:after="0"/>
              <w:rPr>
                <w:sz w:val="20"/>
                <w:szCs w:val="20"/>
                <w:color w:val="auto"/>
              </w:rPr>
            </w:pPr>
          </w:p>
        </w:tc>
        <w:tc>
          <w:tcPr>
            <w:tcW w:w="580" w:type="dxa"/>
            <w:vAlign w:val="bottom"/>
            <w:tcBorders>
              <w:top w:val="single" w:sz="8" w:color="CCEEFF"/>
              <w:bottom w:val="single" w:sz="8" w:color="CCEEFF"/>
            </w:tcBorders>
            <w:gridSpan w:val="19"/>
            <w:shd w:val="clear" w:color="auto" w:fill="CCEEFF"/>
          </w:tcPr>
          <w:p>
            <w:pPr>
              <w:spacing w:after="0"/>
              <w:rPr>
                <w:sz w:val="20"/>
                <w:szCs w:val="20"/>
                <w:color w:val="auto"/>
              </w:rPr>
            </w:pPr>
          </w:p>
        </w:tc>
      </w:tr>
      <w:tr>
        <w:trPr>
          <w:trHeight w:val="162"/>
        </w:trPr>
        <w:tc>
          <w:tcPr>
            <w:tcW w:w="1040" w:type="dxa"/>
            <w:vAlign w:val="bottom"/>
          </w:tcPr>
          <w:p>
            <w:pPr>
              <w:spacing w:after="0" w:line="142" w:lineRule="exact"/>
              <w:rPr>
                <w:sz w:val="20"/>
                <w:szCs w:val="20"/>
                <w:color w:val="auto"/>
              </w:rPr>
            </w:pPr>
            <w:r>
              <w:rPr>
                <w:rFonts w:ascii="Arial" w:cs="Arial" w:eastAsia="Arial" w:hAnsi="Arial"/>
                <w:sz w:val="16"/>
                <w:szCs w:val="16"/>
                <w:color w:val="auto"/>
              </w:rPr>
              <w:t>10.18</w:t>
            </w:r>
          </w:p>
        </w:tc>
        <w:tc>
          <w:tcPr>
            <w:tcW w:w="7320" w:type="dxa"/>
            <w:vAlign w:val="bottom"/>
            <w:tcBorders>
              <w:bottom w:val="single" w:sz="8" w:color="0000EE"/>
            </w:tcBorders>
            <w:gridSpan w:val="22"/>
          </w:tcPr>
          <w:p>
            <w:pPr>
              <w:spacing w:after="0" w:line="142" w:lineRule="exact"/>
              <w:rPr>
                <w:rFonts w:ascii="Arial" w:cs="Arial" w:eastAsia="Arial" w:hAnsi="Arial"/>
                <w:sz w:val="16"/>
                <w:szCs w:val="16"/>
                <w:color w:val="0000EE"/>
              </w:rPr>
            </w:pPr>
            <w:hyperlink r:id="rId38">
              <w:r>
                <w:rPr>
                  <w:rFonts w:ascii="Arial" w:cs="Arial" w:eastAsia="Arial" w:hAnsi="Arial"/>
                  <w:sz w:val="16"/>
                  <w:szCs w:val="16"/>
                  <w:color w:val="0000EE"/>
                </w:rPr>
                <w:t>Warrant to Purchase Common Stock, dated March 31, 2023, by and between Presto Automaton Inc.</w:t>
              </w:r>
            </w:hyperlink>
          </w:p>
        </w:tc>
        <w:tc>
          <w:tcPr>
            <w:tcW w:w="220" w:type="dxa"/>
            <w:vAlign w:val="bottom"/>
            <w:gridSpan w:val="11"/>
          </w:tcPr>
          <w:p>
            <w:pPr>
              <w:spacing w:after="0"/>
              <w:rPr>
                <w:sz w:val="14"/>
                <w:szCs w:val="14"/>
                <w:color w:val="auto"/>
              </w:rPr>
            </w:pPr>
          </w:p>
        </w:tc>
      </w:tr>
      <w:tr>
        <w:trPr>
          <w:trHeight w:val="209"/>
        </w:trPr>
        <w:tc>
          <w:tcPr>
            <w:tcW w:w="1040" w:type="dxa"/>
            <w:vAlign w:val="bottom"/>
          </w:tcPr>
          <w:p>
            <w:pPr>
              <w:spacing w:after="0"/>
              <w:rPr>
                <w:sz w:val="18"/>
                <w:szCs w:val="18"/>
                <w:color w:val="auto"/>
              </w:rPr>
            </w:pPr>
          </w:p>
        </w:tc>
        <w:tc>
          <w:tcPr>
            <w:tcW w:w="7480" w:type="dxa"/>
            <w:vAlign w:val="bottom"/>
            <w:tcBorders>
              <w:bottom w:val="single" w:sz="8" w:color="0000EE"/>
            </w:tcBorders>
            <w:gridSpan w:val="30"/>
          </w:tcPr>
          <w:p>
            <w:pPr>
              <w:spacing w:after="0"/>
              <w:rPr>
                <w:rFonts w:ascii="Arial" w:cs="Arial" w:eastAsia="Arial" w:hAnsi="Arial"/>
                <w:sz w:val="18"/>
                <w:szCs w:val="18"/>
                <w:color w:val="0000EE"/>
                <w:w w:val="90"/>
              </w:rPr>
            </w:pPr>
            <w:hyperlink r:id="rId38">
              <w:r>
                <w:rPr>
                  <w:rFonts w:ascii="Arial" w:cs="Arial" w:eastAsia="Arial" w:hAnsi="Arial"/>
                  <w:sz w:val="18"/>
                  <w:szCs w:val="18"/>
                  <w:color w:val="0000EE"/>
                  <w:w w:val="90"/>
                </w:rPr>
                <w:t>and Metropolitan Partners Fund VII, LP (incorporated by reference to Exhibit 10.4 to the Current Report</w:t>
              </w:r>
            </w:hyperlink>
          </w:p>
        </w:tc>
        <w:tc>
          <w:tcPr>
            <w:tcW w:w="60" w:type="dxa"/>
            <w:vAlign w:val="bottom"/>
            <w:gridSpan w:val="3"/>
          </w:tcPr>
          <w:p>
            <w:pPr>
              <w:spacing w:after="0"/>
              <w:rPr>
                <w:sz w:val="18"/>
                <w:szCs w:val="18"/>
                <w:color w:val="auto"/>
              </w:rPr>
            </w:pPr>
          </w:p>
        </w:tc>
      </w:tr>
      <w:tr>
        <w:trPr>
          <w:trHeight w:val="210"/>
        </w:trPr>
        <w:tc>
          <w:tcPr>
            <w:tcW w:w="1040" w:type="dxa"/>
            <w:vAlign w:val="bottom"/>
          </w:tcPr>
          <w:p>
            <w:pPr>
              <w:spacing w:after="0"/>
              <w:rPr>
                <w:sz w:val="18"/>
                <w:szCs w:val="18"/>
                <w:color w:val="auto"/>
              </w:rPr>
            </w:pPr>
          </w:p>
        </w:tc>
        <w:tc>
          <w:tcPr>
            <w:tcW w:w="7540" w:type="dxa"/>
            <w:vAlign w:val="bottom"/>
            <w:gridSpan w:val="33"/>
          </w:tcPr>
          <w:p>
            <w:pPr>
              <w:spacing w:after="0"/>
              <w:rPr>
                <w:rFonts w:ascii="Arial" w:cs="Arial" w:eastAsia="Arial" w:hAnsi="Arial"/>
                <w:sz w:val="18"/>
                <w:szCs w:val="18"/>
                <w:color w:val="0000EE"/>
              </w:rPr>
            </w:pPr>
            <w:hyperlink r:id="rId38">
              <w:r>
                <w:rPr>
                  <w:rFonts w:ascii="Arial" w:cs="Arial" w:eastAsia="Arial" w:hAnsi="Arial"/>
                  <w:sz w:val="18"/>
                  <w:szCs w:val="18"/>
                  <w:color w:val="0000EE"/>
                </w:rPr>
                <w:t>on Form 8-K filed on April 6, 2023).</w:t>
              </w:r>
            </w:hyperlink>
          </w:p>
        </w:tc>
      </w:tr>
      <w:tr>
        <w:trPr>
          <w:trHeight w:val="21"/>
        </w:trPr>
        <w:tc>
          <w:tcPr>
            <w:tcW w:w="1040" w:type="dxa"/>
            <w:vAlign w:val="bottom"/>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1040" w:type="dxa"/>
            <w:vAlign w:val="bottom"/>
            <w:shd w:val="clear" w:color="auto" w:fill="CCEEFF"/>
          </w:tcPr>
          <w:p>
            <w:pPr>
              <w:spacing w:after="0" w:line="142" w:lineRule="exact"/>
              <w:rPr>
                <w:sz w:val="20"/>
                <w:szCs w:val="20"/>
                <w:color w:val="auto"/>
              </w:rPr>
            </w:pPr>
            <w:r>
              <w:rPr>
                <w:rFonts w:ascii="Arial" w:cs="Arial" w:eastAsia="Arial" w:hAnsi="Arial"/>
                <w:sz w:val="16"/>
                <w:szCs w:val="16"/>
                <w:color w:val="auto"/>
              </w:rPr>
              <w:t>10.19</w:t>
            </w:r>
          </w:p>
        </w:tc>
        <w:tc>
          <w:tcPr>
            <w:tcW w:w="7540" w:type="dxa"/>
            <w:vAlign w:val="bottom"/>
            <w:gridSpan w:val="33"/>
            <w:shd w:val="clear" w:color="auto" w:fill="CCEEFF"/>
          </w:tcPr>
          <w:p>
            <w:pPr>
              <w:spacing w:after="0" w:line="142" w:lineRule="exact"/>
              <w:rPr>
                <w:rFonts w:ascii="Arial" w:cs="Arial" w:eastAsia="Arial" w:hAnsi="Arial"/>
                <w:sz w:val="16"/>
                <w:szCs w:val="16"/>
                <w:color w:val="0000EE"/>
              </w:rPr>
            </w:pPr>
            <w:hyperlink r:id="rId39">
              <w:r>
                <w:rPr>
                  <w:rFonts w:ascii="Arial" w:cs="Arial" w:eastAsia="Arial" w:hAnsi="Arial"/>
                  <w:sz w:val="16"/>
                  <w:szCs w:val="16"/>
                  <w:color w:val="0000EE"/>
                </w:rPr>
                <w:t>Warrant to Purchase Common Stock, dated March 31, 2023, by and between Presto Automaton Inc.</w:t>
              </w:r>
            </w:hyperlink>
          </w:p>
        </w:tc>
      </w:tr>
      <w:tr>
        <w:trPr>
          <w:trHeight w:val="210"/>
        </w:trPr>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7160" w:type="dxa"/>
            <w:vAlign w:val="bottom"/>
            <w:tcBorders>
              <w:top w:val="single" w:sz="8" w:color="0000EE"/>
              <w:bottom w:val="single" w:sz="8" w:color="0000EE"/>
              <w:right w:val="single" w:sz="8" w:color="CCEEFF"/>
            </w:tcBorders>
            <w:gridSpan w:val="15"/>
            <w:shd w:val="clear" w:color="auto" w:fill="CCEEFF"/>
          </w:tcPr>
          <w:p>
            <w:pPr>
              <w:spacing w:after="0"/>
              <w:rPr>
                <w:rFonts w:ascii="Arial" w:cs="Arial" w:eastAsia="Arial" w:hAnsi="Arial"/>
                <w:sz w:val="18"/>
                <w:szCs w:val="18"/>
                <w:color w:val="0000EE"/>
                <w:w w:val="92"/>
              </w:rPr>
            </w:pPr>
            <w:hyperlink r:id="rId39">
              <w:r>
                <w:rPr>
                  <w:rFonts w:ascii="Arial" w:cs="Arial" w:eastAsia="Arial" w:hAnsi="Arial"/>
                  <w:sz w:val="18"/>
                  <w:szCs w:val="18"/>
                  <w:color w:val="0000EE"/>
                  <w:w w:val="92"/>
                </w:rPr>
                <w:t>and Metropolitan Ofshore Partners Fund VII, LP (incorporated by reference to Exhibit 10.5 to the</w:t>
              </w:r>
            </w:hyperlink>
          </w:p>
        </w:tc>
        <w:tc>
          <w:tcPr>
            <w:tcW w:w="140" w:type="dxa"/>
            <w:vAlign w:val="bottom"/>
            <w:tcBorders>
              <w:top w:val="single" w:sz="8" w:color="0000EE"/>
              <w:bottom w:val="single" w:sz="8" w:color="CCEEFF"/>
            </w:tcBorders>
            <w:gridSpan w:val="6"/>
            <w:shd w:val="clear" w:color="auto" w:fill="CCEEFF"/>
          </w:tcPr>
          <w:p>
            <w:pPr>
              <w:spacing w:after="0"/>
              <w:rPr>
                <w:sz w:val="18"/>
                <w:szCs w:val="18"/>
                <w:color w:val="auto"/>
              </w:rPr>
            </w:pPr>
          </w:p>
        </w:tc>
        <w:tc>
          <w:tcPr>
            <w:tcW w:w="240" w:type="dxa"/>
            <w:vAlign w:val="bottom"/>
            <w:tcBorders>
              <w:top w:val="single" w:sz="8" w:color="CCEEFF"/>
              <w:bottom w:val="single" w:sz="8" w:color="CCEEFF"/>
            </w:tcBorders>
            <w:gridSpan w:val="12"/>
            <w:shd w:val="clear" w:color="auto" w:fill="CCEEFF"/>
          </w:tcPr>
          <w:p>
            <w:pPr>
              <w:spacing w:after="0"/>
              <w:rPr>
                <w:sz w:val="18"/>
                <w:szCs w:val="18"/>
                <w:color w:val="auto"/>
              </w:rPr>
            </w:pPr>
          </w:p>
        </w:tc>
      </w:tr>
      <w:tr>
        <w:trPr>
          <w:trHeight w:val="230"/>
        </w:trPr>
        <w:tc>
          <w:tcPr>
            <w:tcW w:w="1040" w:type="dxa"/>
            <w:vAlign w:val="bottom"/>
            <w:tcBorders>
              <w:bottom w:val="single" w:sz="8" w:color="CCEEFF"/>
            </w:tcBorders>
            <w:shd w:val="clear" w:color="auto" w:fill="CCEEFF"/>
          </w:tcPr>
          <w:p>
            <w:pPr>
              <w:spacing w:after="0"/>
              <w:rPr>
                <w:sz w:val="20"/>
                <w:szCs w:val="20"/>
                <w:color w:val="auto"/>
              </w:rPr>
            </w:pPr>
          </w:p>
        </w:tc>
        <w:tc>
          <w:tcPr>
            <w:tcW w:w="3780" w:type="dxa"/>
            <w:vAlign w:val="bottom"/>
            <w:tcBorders>
              <w:bottom w:val="single" w:sz="8" w:color="0000EE"/>
            </w:tcBorders>
            <w:gridSpan w:val="9"/>
            <w:shd w:val="clear" w:color="auto" w:fill="CCEEFF"/>
          </w:tcPr>
          <w:p>
            <w:pPr>
              <w:spacing w:after="0"/>
              <w:rPr>
                <w:rFonts w:ascii="Arial" w:cs="Arial" w:eastAsia="Arial" w:hAnsi="Arial"/>
                <w:sz w:val="18"/>
                <w:szCs w:val="18"/>
                <w:color w:val="0000EE"/>
                <w:w w:val="93"/>
              </w:rPr>
            </w:pPr>
            <w:hyperlink r:id="rId39">
              <w:r>
                <w:rPr>
                  <w:rFonts w:ascii="Arial" w:cs="Arial" w:eastAsia="Arial" w:hAnsi="Arial"/>
                  <w:sz w:val="18"/>
                  <w:szCs w:val="18"/>
                  <w:color w:val="0000EE"/>
                  <w:w w:val="93"/>
                </w:rPr>
                <w:t>Current Report on Form 8-K filed on April 6, 2023).</w:t>
              </w:r>
            </w:hyperlink>
          </w:p>
        </w:tc>
        <w:tc>
          <w:tcPr>
            <w:tcW w:w="3760" w:type="dxa"/>
            <w:vAlign w:val="bottom"/>
            <w:tcBorders>
              <w:bottom w:val="single" w:sz="8" w:color="CCEEFF"/>
            </w:tcBorders>
            <w:gridSpan w:val="24"/>
            <w:shd w:val="clear" w:color="auto" w:fill="CCEEFF"/>
          </w:tcPr>
          <w:p>
            <w:pPr>
              <w:spacing w:after="0"/>
              <w:rPr>
                <w:sz w:val="20"/>
                <w:szCs w:val="20"/>
                <w:color w:val="auto"/>
              </w:rPr>
            </w:pPr>
          </w:p>
        </w:tc>
      </w:tr>
      <w:tr>
        <w:trPr>
          <w:trHeight w:val="162"/>
        </w:trPr>
        <w:tc>
          <w:tcPr>
            <w:tcW w:w="1040" w:type="dxa"/>
            <w:vAlign w:val="bottom"/>
          </w:tcPr>
          <w:p>
            <w:pPr>
              <w:spacing w:after="0" w:line="142" w:lineRule="exact"/>
              <w:rPr>
                <w:sz w:val="20"/>
                <w:szCs w:val="20"/>
                <w:color w:val="auto"/>
              </w:rPr>
            </w:pPr>
            <w:r>
              <w:rPr>
                <w:rFonts w:ascii="Arial" w:cs="Arial" w:eastAsia="Arial" w:hAnsi="Arial"/>
                <w:sz w:val="16"/>
                <w:szCs w:val="16"/>
                <w:color w:val="auto"/>
              </w:rPr>
              <w:t>10.20</w:t>
            </w:r>
          </w:p>
        </w:tc>
        <w:tc>
          <w:tcPr>
            <w:tcW w:w="7540" w:type="dxa"/>
            <w:vAlign w:val="bottom"/>
            <w:gridSpan w:val="33"/>
          </w:tcPr>
          <w:p>
            <w:pPr>
              <w:spacing w:after="0" w:line="142" w:lineRule="exact"/>
              <w:rPr>
                <w:rFonts w:ascii="Arial" w:cs="Arial" w:eastAsia="Arial" w:hAnsi="Arial"/>
                <w:sz w:val="16"/>
                <w:szCs w:val="16"/>
                <w:color w:val="0000EE"/>
              </w:rPr>
            </w:pPr>
            <w:hyperlink r:id="rId40">
              <w:r>
                <w:rPr>
                  <w:rFonts w:ascii="Arial" w:cs="Arial" w:eastAsia="Arial" w:hAnsi="Arial"/>
                  <w:sz w:val="16"/>
                  <w:szCs w:val="16"/>
                  <w:color w:val="0000EE"/>
                </w:rPr>
                <w:t>Warrant to Purchase Common Stock, dated March 31, 2023, by and between Presto Automaton Inc.</w:t>
              </w:r>
            </w:hyperlink>
          </w:p>
        </w:tc>
      </w:tr>
      <w:tr>
        <w:trPr>
          <w:trHeight w:val="209"/>
        </w:trPr>
        <w:tc>
          <w:tcPr>
            <w:tcW w:w="1040" w:type="dxa"/>
            <w:vAlign w:val="bottom"/>
          </w:tcPr>
          <w:p>
            <w:pPr>
              <w:spacing w:after="0"/>
              <w:rPr>
                <w:sz w:val="18"/>
                <w:szCs w:val="18"/>
                <w:color w:val="auto"/>
              </w:rPr>
            </w:pPr>
          </w:p>
        </w:tc>
        <w:tc>
          <w:tcPr>
            <w:tcW w:w="7260" w:type="dxa"/>
            <w:vAlign w:val="bottom"/>
            <w:tcBorders>
              <w:top w:val="single" w:sz="8" w:color="0000EE"/>
              <w:bottom w:val="single" w:sz="8" w:color="0000EE"/>
            </w:tcBorders>
            <w:gridSpan w:val="19"/>
          </w:tcPr>
          <w:p>
            <w:pPr>
              <w:spacing w:after="0"/>
              <w:rPr>
                <w:rFonts w:ascii="Arial" w:cs="Arial" w:eastAsia="Arial" w:hAnsi="Arial"/>
                <w:sz w:val="18"/>
                <w:szCs w:val="18"/>
                <w:color w:val="0000EE"/>
                <w:w w:val="89"/>
              </w:rPr>
            </w:pPr>
            <w:hyperlink r:id="rId40">
              <w:r>
                <w:rPr>
                  <w:rFonts w:ascii="Arial" w:cs="Arial" w:eastAsia="Arial" w:hAnsi="Arial"/>
                  <w:sz w:val="18"/>
                  <w:szCs w:val="18"/>
                  <w:color w:val="0000EE"/>
                  <w:w w:val="89"/>
                </w:rPr>
                <w:t>and CEOF Holdings, LP (incorporated by reference to Exhibit 10.6 to the Current Report on Form 8-K</w:t>
              </w:r>
            </w:hyperlink>
          </w:p>
        </w:tc>
        <w:tc>
          <w:tcPr>
            <w:tcW w:w="40" w:type="dxa"/>
            <w:vAlign w:val="bottom"/>
            <w:tcBorders>
              <w:top w:val="single" w:sz="8" w:color="0000EE"/>
            </w:tcBorders>
            <w:gridSpan w:val="2"/>
          </w:tcPr>
          <w:p>
            <w:pPr>
              <w:spacing w:after="0"/>
              <w:rPr>
                <w:sz w:val="18"/>
                <w:szCs w:val="18"/>
                <w:color w:val="auto"/>
              </w:rPr>
            </w:pPr>
          </w:p>
        </w:tc>
        <w:tc>
          <w:tcPr>
            <w:tcW w:w="240" w:type="dxa"/>
            <w:vAlign w:val="bottom"/>
            <w:gridSpan w:val="12"/>
          </w:tcPr>
          <w:p>
            <w:pPr>
              <w:spacing w:after="0"/>
              <w:rPr>
                <w:sz w:val="18"/>
                <w:szCs w:val="18"/>
                <w:color w:val="auto"/>
              </w:rPr>
            </w:pPr>
          </w:p>
        </w:tc>
      </w:tr>
      <w:tr>
        <w:trPr>
          <w:trHeight w:val="210"/>
        </w:trPr>
        <w:tc>
          <w:tcPr>
            <w:tcW w:w="1040" w:type="dxa"/>
            <w:vAlign w:val="bottom"/>
          </w:tcPr>
          <w:p>
            <w:pPr>
              <w:spacing w:after="0"/>
              <w:rPr>
                <w:sz w:val="18"/>
                <w:szCs w:val="18"/>
                <w:color w:val="auto"/>
              </w:rPr>
            </w:pPr>
          </w:p>
        </w:tc>
        <w:tc>
          <w:tcPr>
            <w:tcW w:w="7540" w:type="dxa"/>
            <w:vAlign w:val="bottom"/>
            <w:gridSpan w:val="33"/>
          </w:tcPr>
          <w:p>
            <w:pPr>
              <w:spacing w:after="0"/>
              <w:rPr>
                <w:rFonts w:ascii="Arial" w:cs="Arial" w:eastAsia="Arial" w:hAnsi="Arial"/>
                <w:sz w:val="18"/>
                <w:szCs w:val="18"/>
                <w:color w:val="0000EE"/>
              </w:rPr>
            </w:pPr>
            <w:hyperlink r:id="rId40">
              <w:r>
                <w:rPr>
                  <w:rFonts w:ascii="Arial" w:cs="Arial" w:eastAsia="Arial" w:hAnsi="Arial"/>
                  <w:sz w:val="18"/>
                  <w:szCs w:val="18"/>
                  <w:color w:val="0000EE"/>
                </w:rPr>
                <w:t>filed on April 6, 2023).</w:t>
              </w:r>
            </w:hyperlink>
          </w:p>
        </w:tc>
      </w:tr>
      <w:tr>
        <w:trPr>
          <w:trHeight w:val="20"/>
        </w:trPr>
        <w:tc>
          <w:tcPr>
            <w:tcW w:w="1040" w:type="dxa"/>
            <w:vAlign w:val="bottom"/>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104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6"/>
                <w:szCs w:val="16"/>
                <w:color w:val="auto"/>
              </w:rPr>
              <w:t>10.21</w:t>
            </w:r>
          </w:p>
        </w:tc>
        <w:tc>
          <w:tcPr>
            <w:tcW w:w="7460" w:type="dxa"/>
            <w:vAlign w:val="bottom"/>
            <w:tcBorders>
              <w:bottom w:val="single" w:sz="8" w:color="0000EE"/>
            </w:tcBorders>
            <w:gridSpan w:val="29"/>
            <w:shd w:val="clear" w:color="auto" w:fill="CCEEFF"/>
          </w:tcPr>
          <w:p>
            <w:pPr>
              <w:spacing w:after="0" w:line="142" w:lineRule="exact"/>
              <w:rPr>
                <w:rFonts w:ascii="Arial" w:cs="Arial" w:eastAsia="Arial" w:hAnsi="Arial"/>
                <w:sz w:val="16"/>
                <w:szCs w:val="16"/>
                <w:color w:val="0000EE"/>
              </w:rPr>
            </w:pPr>
            <w:hyperlink r:id="rId41">
              <w:r>
                <w:rPr>
                  <w:rFonts w:ascii="Arial" w:cs="Arial" w:eastAsia="Arial" w:hAnsi="Arial"/>
                  <w:sz w:val="16"/>
                  <w:szCs w:val="16"/>
                  <w:color w:val="0000EE"/>
                </w:rPr>
                <w:t>Registraton Rights Agreement, dated as of March 31, 2023, by and among Presto Automaton Inc. and</w:t>
              </w:r>
            </w:hyperlink>
          </w:p>
        </w:tc>
        <w:tc>
          <w:tcPr>
            <w:tcW w:w="80" w:type="dxa"/>
            <w:vAlign w:val="bottom"/>
            <w:tcBorders>
              <w:bottom w:val="single" w:sz="8" w:color="CCEEFF"/>
            </w:tcBorders>
            <w:gridSpan w:val="4"/>
            <w:shd w:val="clear" w:color="auto" w:fill="CCEEFF"/>
          </w:tcPr>
          <w:p>
            <w:pPr>
              <w:spacing w:after="0"/>
              <w:rPr>
                <w:sz w:val="14"/>
                <w:szCs w:val="14"/>
                <w:color w:val="auto"/>
              </w:rPr>
            </w:pPr>
          </w:p>
        </w:tc>
      </w:tr>
      <w:tr>
        <w:trPr>
          <w:trHeight w:val="209"/>
        </w:trPr>
        <w:tc>
          <w:tcPr>
            <w:tcW w:w="1040" w:type="dxa"/>
            <w:vAlign w:val="bottom"/>
            <w:tcBorders>
              <w:bottom w:val="single" w:sz="8" w:color="CCEEFF"/>
            </w:tcBorders>
            <w:shd w:val="clear" w:color="auto" w:fill="CCEEFF"/>
          </w:tcPr>
          <w:p>
            <w:pPr>
              <w:spacing w:after="0"/>
              <w:rPr>
                <w:sz w:val="18"/>
                <w:szCs w:val="18"/>
                <w:color w:val="auto"/>
              </w:rPr>
            </w:pPr>
          </w:p>
        </w:tc>
        <w:tc>
          <w:tcPr>
            <w:tcW w:w="7460" w:type="dxa"/>
            <w:vAlign w:val="bottom"/>
            <w:tcBorders>
              <w:bottom w:val="single" w:sz="8" w:color="0000EE"/>
            </w:tcBorders>
            <w:gridSpan w:val="29"/>
            <w:shd w:val="clear" w:color="auto" w:fill="CCEEFF"/>
          </w:tcPr>
          <w:p>
            <w:pPr>
              <w:spacing w:after="0"/>
              <w:rPr>
                <w:rFonts w:ascii="Arial" w:cs="Arial" w:eastAsia="Arial" w:hAnsi="Arial"/>
                <w:sz w:val="18"/>
                <w:szCs w:val="18"/>
                <w:color w:val="0000EE"/>
                <w:w w:val="91"/>
              </w:rPr>
            </w:pPr>
            <w:hyperlink r:id="rId41">
              <w:r>
                <w:rPr>
                  <w:rFonts w:ascii="Arial" w:cs="Arial" w:eastAsia="Arial" w:hAnsi="Arial"/>
                  <w:sz w:val="18"/>
                  <w:szCs w:val="18"/>
                  <w:color w:val="0000EE"/>
                  <w:w w:val="91"/>
                </w:rPr>
                <w:t>certain persons listed therein (incorporated by reference to Exhibit 10.7 to the Current Report on Form</w:t>
              </w:r>
            </w:hyperlink>
          </w:p>
        </w:tc>
        <w:tc>
          <w:tcPr>
            <w:tcW w:w="80" w:type="dxa"/>
            <w:vAlign w:val="bottom"/>
            <w:tcBorders>
              <w:bottom w:val="single" w:sz="8" w:color="CCEEFF"/>
            </w:tcBorders>
            <w:gridSpan w:val="4"/>
            <w:shd w:val="clear" w:color="auto" w:fill="CCEEFF"/>
          </w:tcPr>
          <w:p>
            <w:pPr>
              <w:spacing w:after="0"/>
              <w:rPr>
                <w:sz w:val="18"/>
                <w:szCs w:val="18"/>
                <w:color w:val="auto"/>
              </w:rPr>
            </w:pPr>
          </w:p>
        </w:tc>
      </w:tr>
      <w:tr>
        <w:trPr>
          <w:trHeight w:val="210"/>
        </w:trPr>
        <w:tc>
          <w:tcPr>
            <w:tcW w:w="1040" w:type="dxa"/>
            <w:vAlign w:val="bottom"/>
            <w:shd w:val="clear" w:color="auto" w:fill="CCEEFF"/>
          </w:tcPr>
          <w:p>
            <w:pPr>
              <w:spacing w:after="0"/>
              <w:rPr>
                <w:sz w:val="18"/>
                <w:szCs w:val="18"/>
                <w:color w:val="auto"/>
              </w:rPr>
            </w:pPr>
          </w:p>
        </w:tc>
        <w:tc>
          <w:tcPr>
            <w:tcW w:w="7540" w:type="dxa"/>
            <w:vAlign w:val="bottom"/>
            <w:gridSpan w:val="33"/>
            <w:shd w:val="clear" w:color="auto" w:fill="CCEEFF"/>
          </w:tcPr>
          <w:p>
            <w:pPr>
              <w:spacing w:after="0"/>
              <w:rPr>
                <w:rFonts w:ascii="Arial" w:cs="Arial" w:eastAsia="Arial" w:hAnsi="Arial"/>
                <w:sz w:val="18"/>
                <w:szCs w:val="18"/>
                <w:color w:val="0000EE"/>
              </w:rPr>
            </w:pPr>
            <w:hyperlink r:id="rId41">
              <w:r>
                <w:rPr>
                  <w:rFonts w:ascii="Arial" w:cs="Arial" w:eastAsia="Arial" w:hAnsi="Arial"/>
                  <w:sz w:val="18"/>
                  <w:szCs w:val="18"/>
                  <w:color w:val="0000EE"/>
                </w:rPr>
                <w:t>8-K filed on April 6, 2023).</w:t>
              </w:r>
            </w:hyperlink>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40" w:type="dxa"/>
            <w:vAlign w:val="bottom"/>
          </w:tcPr>
          <w:p>
            <w:pPr>
              <w:spacing w:after="0" w:line="176" w:lineRule="exact"/>
              <w:rPr>
                <w:sz w:val="20"/>
                <w:szCs w:val="20"/>
                <w:color w:val="auto"/>
              </w:rPr>
            </w:pPr>
            <w:r>
              <w:rPr>
                <w:rFonts w:ascii="Arial" w:cs="Arial" w:eastAsia="Arial" w:hAnsi="Arial"/>
                <w:sz w:val="18"/>
                <w:szCs w:val="18"/>
                <w:color w:val="auto"/>
              </w:rPr>
              <w:t>10.22+</w:t>
            </w:r>
          </w:p>
        </w:tc>
        <w:tc>
          <w:tcPr>
            <w:tcW w:w="7460" w:type="dxa"/>
            <w:vAlign w:val="bottom"/>
            <w:tcBorders>
              <w:bottom w:val="single" w:sz="8" w:color="0000EE"/>
            </w:tcBorders>
            <w:gridSpan w:val="29"/>
          </w:tcPr>
          <w:p>
            <w:pPr>
              <w:spacing w:after="0" w:line="176" w:lineRule="exact"/>
              <w:rPr>
                <w:rFonts w:ascii="Arial" w:cs="Arial" w:eastAsia="Arial" w:hAnsi="Arial"/>
                <w:sz w:val="18"/>
                <w:szCs w:val="18"/>
                <w:color w:val="0000EE"/>
                <w:w w:val="90"/>
              </w:rPr>
            </w:pPr>
            <w:hyperlink r:id="rId42">
              <w:r>
                <w:rPr>
                  <w:rFonts w:ascii="Arial" w:cs="Arial" w:eastAsia="Arial" w:hAnsi="Arial"/>
                  <w:sz w:val="18"/>
                  <w:szCs w:val="18"/>
                  <w:color w:val="0000EE"/>
                  <w:w w:val="90"/>
                </w:rPr>
                <w:t>Amendment to Consulting Agreement, dated May 3, 2023, by and between Presto Automation Inc. and</w:t>
              </w:r>
            </w:hyperlink>
          </w:p>
        </w:tc>
        <w:tc>
          <w:tcPr>
            <w:tcW w:w="80" w:type="dxa"/>
            <w:vAlign w:val="bottom"/>
            <w:gridSpan w:val="4"/>
          </w:tcPr>
          <w:p>
            <w:pPr>
              <w:spacing w:after="0"/>
              <w:rPr>
                <w:sz w:val="15"/>
                <w:szCs w:val="15"/>
                <w:color w:val="auto"/>
              </w:rPr>
            </w:pPr>
          </w:p>
        </w:tc>
      </w:tr>
      <w:tr>
        <w:trPr>
          <w:trHeight w:val="196"/>
        </w:trPr>
        <w:tc>
          <w:tcPr>
            <w:tcW w:w="1040" w:type="dxa"/>
            <w:vAlign w:val="bottom"/>
          </w:tcPr>
          <w:p>
            <w:pPr>
              <w:spacing w:after="0"/>
              <w:rPr>
                <w:sz w:val="17"/>
                <w:szCs w:val="17"/>
                <w:color w:val="auto"/>
              </w:rPr>
            </w:pPr>
          </w:p>
        </w:tc>
        <w:tc>
          <w:tcPr>
            <w:tcW w:w="722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42">
              <w:r>
                <w:rPr>
                  <w:rFonts w:ascii="Arial" w:cs="Arial" w:eastAsia="Arial" w:hAnsi="Arial"/>
                  <w:sz w:val="18"/>
                  <w:szCs w:val="18"/>
                  <w:color w:val="0000EE"/>
                  <w:w w:val="91"/>
                </w:rPr>
                <w:t>Ashish Gupta (incorporated by reference to Exhibit 10.1 to the Current Report on Form 8-K filed on</w:t>
              </w:r>
            </w:hyperlink>
          </w:p>
        </w:tc>
        <w:tc>
          <w:tcPr>
            <w:tcW w:w="320" w:type="dxa"/>
            <w:vAlign w:val="bottom"/>
            <w:gridSpan w:val="15"/>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7540" w:type="dxa"/>
            <w:vAlign w:val="bottom"/>
            <w:gridSpan w:val="33"/>
          </w:tcPr>
          <w:p>
            <w:pPr>
              <w:spacing w:after="0" w:line="196" w:lineRule="exact"/>
              <w:rPr>
                <w:rFonts w:ascii="Arial" w:cs="Arial" w:eastAsia="Arial" w:hAnsi="Arial"/>
                <w:sz w:val="18"/>
                <w:szCs w:val="18"/>
                <w:color w:val="0000EE"/>
              </w:rPr>
            </w:pPr>
            <w:hyperlink r:id="rId42">
              <w:r>
                <w:rPr>
                  <w:rFonts w:ascii="Arial" w:cs="Arial" w:eastAsia="Arial" w:hAnsi="Arial"/>
                  <w:sz w:val="18"/>
                  <w:szCs w:val="18"/>
                  <w:color w:val="0000EE"/>
                </w:rPr>
                <w:t>May 10, 2023).</w:t>
              </w:r>
            </w:hyperlink>
          </w:p>
        </w:tc>
      </w:tr>
      <w:tr>
        <w:trPr>
          <w:trHeight w:val="20"/>
        </w:trPr>
        <w:tc>
          <w:tcPr>
            <w:tcW w:w="1040" w:type="dxa"/>
            <w:vAlign w:val="bottom"/>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10.23†</w:t>
            </w:r>
          </w:p>
        </w:tc>
        <w:tc>
          <w:tcPr>
            <w:tcW w:w="7460" w:type="dxa"/>
            <w:vAlign w:val="bottom"/>
            <w:tcBorders>
              <w:bottom w:val="single" w:sz="8" w:color="0000EE"/>
            </w:tcBorders>
            <w:gridSpan w:val="29"/>
            <w:shd w:val="clear" w:color="auto" w:fill="CCEEFF"/>
          </w:tcPr>
          <w:p>
            <w:pPr>
              <w:spacing w:after="0" w:line="176" w:lineRule="exact"/>
              <w:rPr>
                <w:rFonts w:ascii="Arial" w:cs="Arial" w:eastAsia="Arial" w:hAnsi="Arial"/>
                <w:sz w:val="18"/>
                <w:szCs w:val="18"/>
                <w:color w:val="0000EE"/>
                <w:w w:val="90"/>
              </w:rPr>
            </w:pPr>
            <w:hyperlink r:id="rId43">
              <w:r>
                <w:rPr>
                  <w:rFonts w:ascii="Arial" w:cs="Arial" w:eastAsia="Arial" w:hAnsi="Arial"/>
                  <w:sz w:val="18"/>
                  <w:szCs w:val="18"/>
                  <w:color w:val="0000EE"/>
                  <w:w w:val="90"/>
                </w:rPr>
                <w:t>Form of Securities Purchase Agreement, dated May 22, 2023, by an among Presto Automation Inc. and</w:t>
              </w:r>
            </w:hyperlink>
          </w:p>
        </w:tc>
        <w:tc>
          <w:tcPr>
            <w:tcW w:w="80" w:type="dxa"/>
            <w:vAlign w:val="bottom"/>
            <w:tcBorders>
              <w:bottom w:val="single" w:sz="8" w:color="CCEEFF"/>
            </w:tcBorders>
            <w:gridSpan w:val="4"/>
            <w:shd w:val="clear" w:color="auto" w:fill="CCEEFF"/>
          </w:tcPr>
          <w:p>
            <w:pPr>
              <w:spacing w:after="0"/>
              <w:rPr>
                <w:sz w:val="15"/>
                <w:szCs w:val="15"/>
                <w:color w:val="auto"/>
              </w:rPr>
            </w:pPr>
          </w:p>
        </w:tc>
      </w:tr>
      <w:tr>
        <w:trPr>
          <w:trHeight w:val="196"/>
        </w:trPr>
        <w:tc>
          <w:tcPr>
            <w:tcW w:w="1040" w:type="dxa"/>
            <w:vAlign w:val="bottom"/>
            <w:shd w:val="clear" w:color="auto" w:fill="CCEEFF"/>
          </w:tcPr>
          <w:p>
            <w:pPr>
              <w:spacing w:after="0"/>
              <w:rPr>
                <w:sz w:val="17"/>
                <w:szCs w:val="17"/>
                <w:color w:val="auto"/>
              </w:rPr>
            </w:pPr>
          </w:p>
        </w:tc>
        <w:tc>
          <w:tcPr>
            <w:tcW w:w="7540" w:type="dxa"/>
            <w:vAlign w:val="bottom"/>
            <w:gridSpan w:val="33"/>
            <w:shd w:val="clear" w:color="auto" w:fill="CCEEFF"/>
          </w:tcPr>
          <w:p>
            <w:pPr>
              <w:spacing w:after="0" w:line="196" w:lineRule="exact"/>
              <w:rPr>
                <w:rFonts w:ascii="Arial" w:cs="Arial" w:eastAsia="Arial" w:hAnsi="Arial"/>
                <w:sz w:val="18"/>
                <w:szCs w:val="18"/>
                <w:color w:val="0000EE"/>
                <w:w w:val="95"/>
              </w:rPr>
            </w:pPr>
            <w:hyperlink r:id="rId43">
              <w:r>
                <w:rPr>
                  <w:rFonts w:ascii="Arial" w:cs="Arial" w:eastAsia="Arial" w:hAnsi="Arial"/>
                  <w:sz w:val="18"/>
                  <w:szCs w:val="18"/>
                  <w:color w:val="0000EE"/>
                  <w:w w:val="95"/>
                </w:rPr>
                <w:t>each purchaser listed in the signature page thereto (incorporated by reference to Exhibit 10.1 to the</w:t>
              </w:r>
            </w:hyperlink>
          </w:p>
        </w:tc>
      </w:tr>
      <w:tr>
        <w:trPr>
          <w:trHeight w:val="216"/>
        </w:trPr>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3820" w:type="dxa"/>
            <w:vAlign w:val="bottom"/>
            <w:tcBorders>
              <w:top w:val="single" w:sz="8" w:color="0000EE"/>
              <w:bottom w:val="single" w:sz="8" w:color="0000EE"/>
            </w:tcBorders>
            <w:gridSpan w:val="10"/>
            <w:shd w:val="clear" w:color="auto" w:fill="CCEEFF"/>
          </w:tcPr>
          <w:p>
            <w:pPr>
              <w:spacing w:after="0" w:line="196" w:lineRule="exact"/>
              <w:rPr>
                <w:rFonts w:ascii="Arial" w:cs="Arial" w:eastAsia="Arial" w:hAnsi="Arial"/>
                <w:sz w:val="18"/>
                <w:szCs w:val="18"/>
                <w:color w:val="0000EE"/>
                <w:w w:val="92"/>
              </w:rPr>
            </w:pPr>
            <w:hyperlink r:id="rId43">
              <w:r>
                <w:rPr>
                  <w:rFonts w:ascii="Arial" w:cs="Arial" w:eastAsia="Arial" w:hAnsi="Arial"/>
                  <w:sz w:val="18"/>
                  <w:szCs w:val="18"/>
                  <w:color w:val="0000EE"/>
                  <w:w w:val="92"/>
                </w:rPr>
                <w:t>Current Report on Form 8-K filed on May 22, 2023).</w:t>
              </w:r>
            </w:hyperlink>
          </w:p>
        </w:tc>
        <w:tc>
          <w:tcPr>
            <w:tcW w:w="3340" w:type="dxa"/>
            <w:vAlign w:val="bottom"/>
            <w:tcBorders>
              <w:top w:val="single" w:sz="8" w:color="0000EE"/>
              <w:bottom w:val="single" w:sz="8" w:color="CCEEFF"/>
              <w:right w:val="single" w:sz="8" w:color="CCEEFF"/>
            </w:tcBorders>
            <w:gridSpan w:val="5"/>
            <w:shd w:val="clear" w:color="auto" w:fill="CCEEFF"/>
          </w:tcPr>
          <w:p>
            <w:pPr>
              <w:spacing w:after="0"/>
              <w:rPr>
                <w:sz w:val="18"/>
                <w:szCs w:val="18"/>
                <w:color w:val="auto"/>
              </w:rPr>
            </w:pPr>
          </w:p>
        </w:tc>
        <w:tc>
          <w:tcPr>
            <w:tcW w:w="380" w:type="dxa"/>
            <w:vAlign w:val="bottom"/>
            <w:tcBorders>
              <w:top w:val="single" w:sz="8" w:color="CCEEFF"/>
              <w:bottom w:val="single" w:sz="8" w:color="CCEEFF"/>
            </w:tcBorders>
            <w:gridSpan w:val="18"/>
            <w:shd w:val="clear" w:color="auto" w:fill="CCEEFF"/>
          </w:tcPr>
          <w:p>
            <w:pPr>
              <w:spacing w:after="0"/>
              <w:rPr>
                <w:sz w:val="18"/>
                <w:szCs w:val="18"/>
                <w:color w:val="auto"/>
              </w:rPr>
            </w:pPr>
          </w:p>
        </w:tc>
      </w:tr>
      <w:tr>
        <w:trPr>
          <w:trHeight w:val="175"/>
        </w:trPr>
        <w:tc>
          <w:tcPr>
            <w:tcW w:w="1040" w:type="dxa"/>
            <w:vAlign w:val="bottom"/>
          </w:tcPr>
          <w:p>
            <w:pPr>
              <w:spacing w:after="0" w:line="176" w:lineRule="exact"/>
              <w:rPr>
                <w:sz w:val="20"/>
                <w:szCs w:val="20"/>
                <w:color w:val="auto"/>
              </w:rPr>
            </w:pPr>
            <w:r>
              <w:rPr>
                <w:rFonts w:ascii="Arial" w:cs="Arial" w:eastAsia="Arial" w:hAnsi="Arial"/>
                <w:sz w:val="18"/>
                <w:szCs w:val="18"/>
                <w:color w:val="auto"/>
              </w:rPr>
              <w:t>10.24</w:t>
            </w:r>
          </w:p>
        </w:tc>
        <w:tc>
          <w:tcPr>
            <w:tcW w:w="7540" w:type="dxa"/>
            <w:vAlign w:val="bottom"/>
            <w:gridSpan w:val="33"/>
          </w:tcPr>
          <w:p>
            <w:pPr>
              <w:spacing w:after="0" w:line="176" w:lineRule="exact"/>
              <w:rPr>
                <w:rFonts w:ascii="Arial" w:cs="Arial" w:eastAsia="Arial" w:hAnsi="Arial"/>
                <w:sz w:val="18"/>
                <w:szCs w:val="18"/>
                <w:color w:val="0000EE"/>
                <w:w w:val="93"/>
              </w:rPr>
            </w:pPr>
            <w:hyperlink r:id="rId44">
              <w:r>
                <w:rPr>
                  <w:rFonts w:ascii="Arial" w:cs="Arial" w:eastAsia="Arial" w:hAnsi="Arial"/>
                  <w:sz w:val="18"/>
                  <w:szCs w:val="18"/>
                  <w:color w:val="0000EE"/>
                  <w:w w:val="93"/>
                </w:rPr>
                <w:t>Form of Registration Rights Agreement, dated as of May 22, 2023, by and among Presto Automation</w:t>
              </w:r>
            </w:hyperlink>
          </w:p>
        </w:tc>
      </w:tr>
      <w:tr>
        <w:trPr>
          <w:trHeight w:val="20"/>
        </w:trPr>
        <w:tc>
          <w:tcPr>
            <w:tcW w:w="1040" w:type="dxa"/>
            <w:vAlign w:val="bottom"/>
          </w:tcPr>
          <w:p>
            <w:pPr>
              <w:spacing w:after="0" w:line="20" w:lineRule="exact"/>
              <w:rPr>
                <w:sz w:val="1"/>
                <w:szCs w:val="1"/>
                <w:color w:val="auto"/>
              </w:rPr>
            </w:pPr>
          </w:p>
        </w:tc>
        <w:tc>
          <w:tcPr>
            <w:tcW w:w="2460" w:type="dxa"/>
            <w:vAlign w:val="bottom"/>
            <w:gridSpan w:val="5"/>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940" w:type="dxa"/>
            <w:vAlign w:val="bottom"/>
            <w:tcBorders>
              <w:right w:val="single" w:sz="8" w:color="0000EE"/>
            </w:tcBorders>
            <w:gridSpan w:val="7"/>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734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r:id="rId44">
              <w:r>
                <w:rPr>
                  <w:rFonts w:ascii="Arial" w:cs="Arial" w:eastAsia="Arial" w:hAnsi="Arial"/>
                  <w:sz w:val="18"/>
                  <w:szCs w:val="18"/>
                  <w:color w:val="0000EE"/>
                  <w:w w:val="90"/>
                </w:rPr>
                <w:t>Inc. and certain persons listed therein (incorporated by reference to Exhibit 10.2 to the Current Report</w:t>
              </w:r>
            </w:hyperlink>
          </w:p>
        </w:tc>
        <w:tc>
          <w:tcPr>
            <w:tcW w:w="200" w:type="dxa"/>
            <w:vAlign w:val="bottom"/>
            <w:gridSpan w:val="10"/>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7540" w:type="dxa"/>
            <w:vAlign w:val="bottom"/>
            <w:gridSpan w:val="33"/>
          </w:tcPr>
          <w:p>
            <w:pPr>
              <w:spacing w:after="0" w:line="196" w:lineRule="exact"/>
              <w:rPr>
                <w:rFonts w:ascii="Arial" w:cs="Arial" w:eastAsia="Arial" w:hAnsi="Arial"/>
                <w:sz w:val="18"/>
                <w:szCs w:val="18"/>
                <w:color w:val="0000EE"/>
              </w:rPr>
            </w:pPr>
            <w:hyperlink r:id="rId44">
              <w:r>
                <w:rPr>
                  <w:rFonts w:ascii="Arial" w:cs="Arial" w:eastAsia="Arial" w:hAnsi="Arial"/>
                  <w:sz w:val="18"/>
                  <w:szCs w:val="18"/>
                  <w:color w:val="0000EE"/>
                </w:rPr>
                <w:t>on Form 8-K filed on May 22, 2023).</w:t>
              </w:r>
            </w:hyperlink>
          </w:p>
        </w:tc>
      </w:tr>
      <w:tr>
        <w:trPr>
          <w:trHeight w:val="20"/>
        </w:trPr>
        <w:tc>
          <w:tcPr>
            <w:tcW w:w="1040" w:type="dxa"/>
            <w:vAlign w:val="bottom"/>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10.25</w:t>
            </w:r>
          </w:p>
        </w:tc>
        <w:tc>
          <w:tcPr>
            <w:tcW w:w="7540" w:type="dxa"/>
            <w:vAlign w:val="bottom"/>
            <w:gridSpan w:val="33"/>
            <w:shd w:val="clear" w:color="auto" w:fill="CCEEFF"/>
          </w:tcPr>
          <w:p>
            <w:pPr>
              <w:spacing w:after="0" w:line="176" w:lineRule="exact"/>
              <w:rPr>
                <w:rFonts w:ascii="Arial" w:cs="Arial" w:eastAsia="Arial" w:hAnsi="Arial"/>
                <w:sz w:val="18"/>
                <w:szCs w:val="18"/>
                <w:color w:val="0000EE"/>
                <w:w w:val="94"/>
              </w:rPr>
            </w:pPr>
            <w:hyperlink r:id="rId45">
              <w:r>
                <w:rPr>
                  <w:rFonts w:ascii="Arial" w:cs="Arial" w:eastAsia="Arial" w:hAnsi="Arial"/>
                  <w:sz w:val="18"/>
                  <w:szCs w:val="18"/>
                  <w:color w:val="0000EE"/>
                  <w:w w:val="94"/>
                </w:rPr>
                <w:t>Second Amendment to Credit Agreement, dated as of May 22, 2023, by and among E la Carte, LLC</w:t>
              </w:r>
            </w:hyperlink>
          </w:p>
        </w:tc>
      </w:tr>
      <w:tr>
        <w:trPr>
          <w:trHeight w:val="20"/>
        </w:trPr>
        <w:tc>
          <w:tcPr>
            <w:tcW w:w="1040" w:type="dxa"/>
            <w:vAlign w:val="bottom"/>
            <w:shd w:val="clear" w:color="auto" w:fill="CCEEFF"/>
          </w:tcPr>
          <w:p>
            <w:pPr>
              <w:spacing w:after="0" w:line="20" w:lineRule="exact"/>
              <w:rPr>
                <w:sz w:val="1"/>
                <w:szCs w:val="1"/>
                <w:color w:val="auto"/>
              </w:rPr>
            </w:pPr>
          </w:p>
        </w:tc>
        <w:tc>
          <w:tcPr>
            <w:tcW w:w="2460" w:type="dxa"/>
            <w:vAlign w:val="bottom"/>
            <w:gridSpan w:val="5"/>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3940" w:type="dxa"/>
            <w:vAlign w:val="bottom"/>
            <w:tcBorders>
              <w:right w:val="single" w:sz="8" w:color="0000EE"/>
            </w:tcBorders>
            <w:gridSpan w:val="7"/>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gridSpan w:val="5"/>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7440" w:type="dxa"/>
            <w:vAlign w:val="bottom"/>
            <w:tcBorders>
              <w:bottom w:val="single" w:sz="8" w:color="0000EE"/>
            </w:tcBorders>
            <w:gridSpan w:val="28"/>
            <w:shd w:val="clear" w:color="auto" w:fill="CCEEFF"/>
          </w:tcPr>
          <w:p>
            <w:pPr>
              <w:spacing w:after="0" w:line="196" w:lineRule="exact"/>
              <w:rPr>
                <w:rFonts w:ascii="Arial" w:cs="Arial" w:eastAsia="Arial" w:hAnsi="Arial"/>
                <w:sz w:val="18"/>
                <w:szCs w:val="18"/>
                <w:color w:val="0000EE"/>
                <w:w w:val="92"/>
              </w:rPr>
            </w:pPr>
            <w:hyperlink r:id="rId45">
              <w:r>
                <w:rPr>
                  <w:rFonts w:ascii="Arial" w:cs="Arial" w:eastAsia="Arial" w:hAnsi="Arial"/>
                  <w:sz w:val="18"/>
                  <w:szCs w:val="18"/>
                  <w:color w:val="0000EE"/>
                  <w:w w:val="92"/>
                </w:rPr>
                <w:t>(f/k/a Ventoux Merger Sub II LLC), Presto Automation Inc., the lenders party thereto and Metropolitan</w:t>
              </w:r>
            </w:hyperlink>
          </w:p>
        </w:tc>
        <w:tc>
          <w:tcPr>
            <w:tcW w:w="100" w:type="dxa"/>
            <w:vAlign w:val="bottom"/>
            <w:tcBorders>
              <w:bottom w:val="single" w:sz="8" w:color="CCEEFF"/>
            </w:tcBorders>
            <w:gridSpan w:val="5"/>
            <w:shd w:val="clear" w:color="auto" w:fill="CCEEFF"/>
          </w:tcPr>
          <w:p>
            <w:pPr>
              <w:spacing w:after="0"/>
              <w:rPr>
                <w:sz w:val="17"/>
                <w:szCs w:val="17"/>
                <w:color w:val="auto"/>
              </w:rPr>
            </w:pPr>
          </w:p>
        </w:tc>
      </w:tr>
      <w:tr>
        <w:trPr>
          <w:trHeight w:val="196"/>
        </w:trPr>
        <w:tc>
          <w:tcPr>
            <w:tcW w:w="1040" w:type="dxa"/>
            <w:vAlign w:val="bottom"/>
            <w:shd w:val="clear" w:color="auto" w:fill="CCEEFF"/>
          </w:tcPr>
          <w:p>
            <w:pPr>
              <w:spacing w:after="0"/>
              <w:rPr>
                <w:sz w:val="17"/>
                <w:szCs w:val="17"/>
                <w:color w:val="auto"/>
              </w:rPr>
            </w:pPr>
          </w:p>
        </w:tc>
        <w:tc>
          <w:tcPr>
            <w:tcW w:w="7540" w:type="dxa"/>
            <w:vAlign w:val="bottom"/>
            <w:gridSpan w:val="33"/>
            <w:shd w:val="clear" w:color="auto" w:fill="CCEEFF"/>
          </w:tcPr>
          <w:p>
            <w:pPr>
              <w:spacing w:after="0" w:line="196" w:lineRule="exact"/>
              <w:rPr>
                <w:rFonts w:ascii="Arial" w:cs="Arial" w:eastAsia="Arial" w:hAnsi="Arial"/>
                <w:sz w:val="18"/>
                <w:szCs w:val="18"/>
                <w:color w:val="0000EE"/>
                <w:w w:val="91"/>
              </w:rPr>
            </w:pPr>
            <w:hyperlink r:id="rId45">
              <w:r>
                <w:rPr>
                  <w:rFonts w:ascii="Arial" w:cs="Arial" w:eastAsia="Arial" w:hAnsi="Arial"/>
                  <w:sz w:val="18"/>
                  <w:szCs w:val="18"/>
                  <w:color w:val="0000EE"/>
                  <w:w w:val="91"/>
                </w:rPr>
                <w:t>Partners Group Administration, LLC (incorporated by reference to Exhibit 10.3 to the Current Report on</w:t>
              </w:r>
            </w:hyperlink>
          </w:p>
        </w:tc>
      </w:tr>
      <w:tr>
        <w:trPr>
          <w:trHeight w:val="203"/>
        </w:trPr>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2460" w:type="dxa"/>
            <w:vAlign w:val="bottom"/>
            <w:tcBorders>
              <w:top w:val="single" w:sz="8" w:color="0000EE"/>
              <w:bottom w:val="single" w:sz="8" w:color="0000EE"/>
            </w:tcBorders>
            <w:gridSpan w:val="5"/>
            <w:shd w:val="clear" w:color="auto" w:fill="CCEEFF"/>
          </w:tcPr>
          <w:p>
            <w:pPr>
              <w:spacing w:after="0" w:line="182" w:lineRule="exact"/>
              <w:rPr>
                <w:rFonts w:ascii="Arial" w:cs="Arial" w:eastAsia="Arial" w:hAnsi="Arial"/>
                <w:sz w:val="18"/>
                <w:szCs w:val="18"/>
                <w:color w:val="0000EE"/>
                <w:w w:val="92"/>
              </w:rPr>
            </w:pPr>
            <w:hyperlink r:id="rId45">
              <w:r>
                <w:rPr>
                  <w:rFonts w:ascii="Arial" w:cs="Arial" w:eastAsia="Arial" w:hAnsi="Arial"/>
                  <w:sz w:val="18"/>
                  <w:szCs w:val="18"/>
                  <w:color w:val="0000EE"/>
                  <w:w w:val="92"/>
                </w:rPr>
                <w:t>Form 8-K filed on May 22, 2023).</w:t>
              </w:r>
            </w:hyperlink>
          </w:p>
        </w:tc>
        <w:tc>
          <w:tcPr>
            <w:tcW w:w="5060" w:type="dxa"/>
            <w:vAlign w:val="bottom"/>
            <w:tcBorders>
              <w:top w:val="single" w:sz="8" w:color="0000EE"/>
              <w:bottom w:val="single" w:sz="8" w:color="CCEEFF"/>
            </w:tcBorders>
            <w:gridSpan w:val="27"/>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75"/>
        </w:trPr>
        <w:tc>
          <w:tcPr>
            <w:tcW w:w="1040" w:type="dxa"/>
            <w:vAlign w:val="bottom"/>
          </w:tcPr>
          <w:p>
            <w:pPr>
              <w:spacing w:after="0" w:line="176" w:lineRule="exact"/>
              <w:rPr>
                <w:sz w:val="20"/>
                <w:szCs w:val="20"/>
                <w:color w:val="auto"/>
              </w:rPr>
            </w:pPr>
            <w:r>
              <w:rPr>
                <w:rFonts w:ascii="Arial" w:cs="Arial" w:eastAsia="Arial" w:hAnsi="Arial"/>
                <w:sz w:val="18"/>
                <w:szCs w:val="18"/>
                <w:color w:val="auto"/>
              </w:rPr>
              <w:t>10.26</w:t>
            </w:r>
          </w:p>
        </w:tc>
        <w:tc>
          <w:tcPr>
            <w:tcW w:w="7540" w:type="dxa"/>
            <w:vAlign w:val="bottom"/>
            <w:gridSpan w:val="33"/>
          </w:tcPr>
          <w:p>
            <w:pPr>
              <w:spacing w:after="0" w:line="176" w:lineRule="exact"/>
              <w:rPr>
                <w:rFonts w:ascii="Arial" w:cs="Arial" w:eastAsia="Arial" w:hAnsi="Arial"/>
                <w:sz w:val="18"/>
                <w:szCs w:val="18"/>
                <w:color w:val="0000EE"/>
                <w:w w:val="92"/>
              </w:rPr>
            </w:pPr>
            <w:hyperlink r:id="rId46">
              <w:r>
                <w:rPr>
                  <w:rFonts w:ascii="Arial" w:cs="Arial" w:eastAsia="Arial" w:hAnsi="Arial"/>
                  <w:sz w:val="18"/>
                  <w:szCs w:val="18"/>
                  <w:color w:val="0000EE"/>
                  <w:w w:val="92"/>
                </w:rPr>
                <w:t>Amended and Restated Fee Letter, dated May 22, 2023, by and among E la Carte, LLC (f/k/a Ventoux</w:t>
              </w:r>
            </w:hyperlink>
          </w:p>
        </w:tc>
      </w:tr>
      <w:tr>
        <w:trPr>
          <w:trHeight w:val="196"/>
        </w:trPr>
        <w:tc>
          <w:tcPr>
            <w:tcW w:w="1040" w:type="dxa"/>
            <w:vAlign w:val="bottom"/>
          </w:tcPr>
          <w:p>
            <w:pPr>
              <w:spacing w:after="0"/>
              <w:rPr>
                <w:sz w:val="17"/>
                <w:szCs w:val="17"/>
                <w:color w:val="auto"/>
              </w:rPr>
            </w:pPr>
          </w:p>
        </w:tc>
        <w:tc>
          <w:tcPr>
            <w:tcW w:w="7340" w:type="dxa"/>
            <w:vAlign w:val="bottom"/>
            <w:tcBorders>
              <w:top w:val="single" w:sz="8" w:color="0000EE"/>
            </w:tcBorders>
            <w:gridSpan w:val="23"/>
          </w:tcPr>
          <w:p>
            <w:pPr>
              <w:spacing w:after="0" w:line="196" w:lineRule="exact"/>
              <w:rPr>
                <w:rFonts w:ascii="Arial" w:cs="Arial" w:eastAsia="Arial" w:hAnsi="Arial"/>
                <w:sz w:val="18"/>
                <w:szCs w:val="18"/>
                <w:color w:val="0000EE"/>
                <w:w w:val="95"/>
              </w:rPr>
            </w:pPr>
            <w:hyperlink r:id="rId46">
              <w:r>
                <w:rPr>
                  <w:rFonts w:ascii="Arial" w:cs="Arial" w:eastAsia="Arial" w:hAnsi="Arial"/>
                  <w:sz w:val="18"/>
                  <w:szCs w:val="18"/>
                  <w:color w:val="0000EE"/>
                  <w:w w:val="95"/>
                </w:rPr>
                <w:t>Merger Sub II LLC), Presto Automation Inc. and Metropolitan Partners Group Administration LLC</w:t>
              </w:r>
            </w:hyperlink>
          </w:p>
        </w:tc>
        <w:tc>
          <w:tcPr>
            <w:tcW w:w="200" w:type="dxa"/>
            <w:vAlign w:val="bottom"/>
            <w:gridSpan w:val="10"/>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220" w:type="dxa"/>
            <w:vAlign w:val="bottom"/>
            <w:gridSpan w:val="8"/>
            <w:shd w:val="clear" w:color="auto" w:fill="0000EE"/>
          </w:tcPr>
          <w:p>
            <w:pPr>
              <w:spacing w:after="0" w:line="20" w:lineRule="exact"/>
              <w:rPr>
                <w:sz w:val="1"/>
                <w:szCs w:val="1"/>
                <w:color w:val="auto"/>
              </w:rPr>
            </w:pPr>
          </w:p>
        </w:tc>
        <w:tc>
          <w:tcPr>
            <w:tcW w:w="3940" w:type="dxa"/>
            <w:vAlign w:val="bottom"/>
            <w:tcBorders>
              <w:right w:val="single" w:sz="8" w:color="0000EE"/>
            </w:tcBorders>
            <w:gridSpan w:val="7"/>
            <w:shd w:val="clear" w:color="auto" w:fill="0000EE"/>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7540" w:type="dxa"/>
            <w:vAlign w:val="bottom"/>
            <w:gridSpan w:val="33"/>
          </w:tcPr>
          <w:p>
            <w:pPr>
              <w:spacing w:after="0" w:line="196" w:lineRule="exact"/>
              <w:rPr>
                <w:rFonts w:ascii="Arial" w:cs="Arial" w:eastAsia="Arial" w:hAnsi="Arial"/>
                <w:sz w:val="18"/>
                <w:szCs w:val="18"/>
                <w:color w:val="0000EE"/>
                <w:w w:val="94"/>
              </w:rPr>
            </w:pPr>
            <w:hyperlink r:id="rId46">
              <w:r>
                <w:rPr>
                  <w:rFonts w:ascii="Arial" w:cs="Arial" w:eastAsia="Arial" w:hAnsi="Arial"/>
                  <w:sz w:val="18"/>
                  <w:szCs w:val="18"/>
                  <w:color w:val="0000EE"/>
                  <w:w w:val="94"/>
                </w:rPr>
                <w:t>(incorporated by reference to Exhibit 10.4 to the Current Report on Form 8-K filed on May 22, 2023).</w:t>
              </w:r>
            </w:hyperlink>
          </w:p>
        </w:tc>
      </w:tr>
      <w:tr>
        <w:trPr>
          <w:trHeight w:val="20"/>
        </w:trPr>
        <w:tc>
          <w:tcPr>
            <w:tcW w:w="1040" w:type="dxa"/>
            <w:vAlign w:val="bottom"/>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10.27</w:t>
            </w:r>
          </w:p>
        </w:tc>
        <w:tc>
          <w:tcPr>
            <w:tcW w:w="7400" w:type="dxa"/>
            <w:vAlign w:val="bottom"/>
            <w:tcBorders>
              <w:bottom w:val="single" w:sz="8" w:color="0000EE"/>
            </w:tcBorders>
            <w:gridSpan w:val="26"/>
            <w:shd w:val="clear" w:color="auto" w:fill="CCEEFF"/>
          </w:tcPr>
          <w:p>
            <w:pPr>
              <w:spacing w:after="0" w:line="176" w:lineRule="exact"/>
              <w:rPr>
                <w:rFonts w:ascii="Arial" w:cs="Arial" w:eastAsia="Arial" w:hAnsi="Arial"/>
                <w:sz w:val="18"/>
                <w:szCs w:val="18"/>
                <w:color w:val="0000EE"/>
                <w:w w:val="89"/>
              </w:rPr>
            </w:pPr>
            <w:hyperlink r:id="rId47">
              <w:r>
                <w:rPr>
                  <w:rFonts w:ascii="Arial" w:cs="Arial" w:eastAsia="Arial" w:hAnsi="Arial"/>
                  <w:sz w:val="18"/>
                  <w:szCs w:val="18"/>
                  <w:color w:val="0000EE"/>
                  <w:w w:val="89"/>
                </w:rPr>
                <w:t>Warrant to Purchase Common Stock, dated May 22, 2023, by and between Presto Automation Inc. and</w:t>
              </w:r>
            </w:hyperlink>
          </w:p>
        </w:tc>
        <w:tc>
          <w:tcPr>
            <w:tcW w:w="140" w:type="dxa"/>
            <w:vAlign w:val="bottom"/>
            <w:tcBorders>
              <w:bottom w:val="single" w:sz="8" w:color="CCEEFF"/>
            </w:tcBorders>
            <w:gridSpan w:val="7"/>
            <w:shd w:val="clear" w:color="auto" w:fill="CCEEFF"/>
          </w:tcPr>
          <w:p>
            <w:pPr>
              <w:spacing w:after="0"/>
              <w:rPr>
                <w:sz w:val="15"/>
                <w:szCs w:val="15"/>
                <w:color w:val="auto"/>
              </w:rPr>
            </w:pPr>
          </w:p>
        </w:tc>
      </w:tr>
      <w:tr>
        <w:trPr>
          <w:trHeight w:val="196"/>
        </w:trPr>
        <w:tc>
          <w:tcPr>
            <w:tcW w:w="1040" w:type="dxa"/>
            <w:vAlign w:val="bottom"/>
            <w:shd w:val="clear" w:color="auto" w:fill="CCEEFF"/>
          </w:tcPr>
          <w:p>
            <w:pPr>
              <w:spacing w:after="0"/>
              <w:rPr>
                <w:sz w:val="17"/>
                <w:szCs w:val="17"/>
                <w:color w:val="auto"/>
              </w:rPr>
            </w:pPr>
          </w:p>
        </w:tc>
        <w:tc>
          <w:tcPr>
            <w:tcW w:w="7540" w:type="dxa"/>
            <w:vAlign w:val="bottom"/>
            <w:gridSpan w:val="33"/>
            <w:shd w:val="clear" w:color="auto" w:fill="CCEEFF"/>
          </w:tcPr>
          <w:p>
            <w:pPr>
              <w:spacing w:after="0" w:line="196" w:lineRule="exact"/>
              <w:rPr>
                <w:rFonts w:ascii="Arial" w:cs="Arial" w:eastAsia="Arial" w:hAnsi="Arial"/>
                <w:sz w:val="18"/>
                <w:szCs w:val="18"/>
                <w:color w:val="0000EE"/>
                <w:w w:val="94"/>
              </w:rPr>
            </w:pPr>
            <w:hyperlink r:id="rId47">
              <w:r>
                <w:rPr>
                  <w:rFonts w:ascii="Arial" w:cs="Arial" w:eastAsia="Arial" w:hAnsi="Arial"/>
                  <w:sz w:val="18"/>
                  <w:szCs w:val="18"/>
                  <w:color w:val="0000EE"/>
                  <w:w w:val="94"/>
                </w:rPr>
                <w:t>Metropolitan Levered Partners Fund VII, LP (incorporated by reference to Exhibit 10.5 to the Current</w:t>
              </w:r>
            </w:hyperlink>
          </w:p>
        </w:tc>
      </w:tr>
      <w:tr>
        <w:trPr>
          <w:trHeight w:val="216"/>
        </w:trPr>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3220" w:type="dxa"/>
            <w:vAlign w:val="bottom"/>
            <w:tcBorders>
              <w:top w:val="single" w:sz="8" w:color="0000EE"/>
              <w:bottom w:val="single" w:sz="8" w:color="0000EE"/>
            </w:tcBorders>
            <w:gridSpan w:val="8"/>
            <w:shd w:val="clear" w:color="auto" w:fill="CCEEFF"/>
          </w:tcPr>
          <w:p>
            <w:pPr>
              <w:spacing w:after="0" w:line="196" w:lineRule="exact"/>
              <w:rPr>
                <w:rFonts w:ascii="Arial" w:cs="Arial" w:eastAsia="Arial" w:hAnsi="Arial"/>
                <w:sz w:val="18"/>
                <w:szCs w:val="18"/>
                <w:color w:val="0000EE"/>
                <w:w w:val="92"/>
              </w:rPr>
            </w:pPr>
            <w:hyperlink r:id="rId47">
              <w:r>
                <w:rPr>
                  <w:rFonts w:ascii="Arial" w:cs="Arial" w:eastAsia="Arial" w:hAnsi="Arial"/>
                  <w:sz w:val="18"/>
                  <w:szCs w:val="18"/>
                  <w:color w:val="0000EE"/>
                  <w:w w:val="92"/>
                </w:rPr>
                <w:t>Report on Form 8-K filed on May 22, 2023).</w:t>
              </w:r>
            </w:hyperlink>
          </w:p>
        </w:tc>
        <w:tc>
          <w:tcPr>
            <w:tcW w:w="4100" w:type="dxa"/>
            <w:vAlign w:val="bottom"/>
            <w:tcBorders>
              <w:top w:val="single" w:sz="8" w:color="0000EE"/>
              <w:bottom w:val="single" w:sz="8" w:color="CCEEFF"/>
            </w:tcBorders>
            <w:gridSpan w:val="14"/>
            <w:shd w:val="clear" w:color="auto" w:fill="CCEEFF"/>
          </w:tcPr>
          <w:p>
            <w:pPr>
              <w:spacing w:after="0"/>
              <w:rPr>
                <w:sz w:val="18"/>
                <w:szCs w:val="18"/>
                <w:color w:val="auto"/>
              </w:rPr>
            </w:pPr>
          </w:p>
        </w:tc>
        <w:tc>
          <w:tcPr>
            <w:tcW w:w="220" w:type="dxa"/>
            <w:vAlign w:val="bottom"/>
            <w:tcBorders>
              <w:top w:val="single" w:sz="8" w:color="CCEEFF"/>
              <w:bottom w:val="single" w:sz="8" w:color="CCEEFF"/>
            </w:tcBorders>
            <w:gridSpan w:val="11"/>
            <w:shd w:val="clear" w:color="auto" w:fill="CCEEFF"/>
          </w:tcPr>
          <w:p>
            <w:pPr>
              <w:spacing w:after="0"/>
              <w:rPr>
                <w:sz w:val="18"/>
                <w:szCs w:val="18"/>
                <w:color w:val="auto"/>
              </w:rPr>
            </w:pPr>
          </w:p>
        </w:tc>
      </w:tr>
      <w:tr>
        <w:trPr>
          <w:trHeight w:val="176"/>
        </w:trPr>
        <w:tc>
          <w:tcPr>
            <w:tcW w:w="1040" w:type="dxa"/>
            <w:vAlign w:val="bottom"/>
          </w:tcPr>
          <w:p>
            <w:pPr>
              <w:spacing w:after="0" w:line="176" w:lineRule="exact"/>
              <w:rPr>
                <w:sz w:val="20"/>
                <w:szCs w:val="20"/>
                <w:color w:val="auto"/>
              </w:rPr>
            </w:pPr>
            <w:r>
              <w:rPr>
                <w:rFonts w:ascii="Arial" w:cs="Arial" w:eastAsia="Arial" w:hAnsi="Arial"/>
                <w:sz w:val="18"/>
                <w:szCs w:val="18"/>
                <w:color w:val="auto"/>
              </w:rPr>
              <w:t>10.28</w:t>
            </w:r>
          </w:p>
        </w:tc>
        <w:tc>
          <w:tcPr>
            <w:tcW w:w="7420" w:type="dxa"/>
            <w:vAlign w:val="bottom"/>
            <w:tcBorders>
              <w:bottom w:val="single" w:sz="8" w:color="0000EE"/>
            </w:tcBorders>
            <w:gridSpan w:val="27"/>
          </w:tcPr>
          <w:p>
            <w:pPr>
              <w:spacing w:after="0" w:line="176" w:lineRule="exact"/>
              <w:rPr>
                <w:rFonts w:ascii="Arial" w:cs="Arial" w:eastAsia="Arial" w:hAnsi="Arial"/>
                <w:sz w:val="18"/>
                <w:szCs w:val="18"/>
                <w:color w:val="0000EE"/>
                <w:w w:val="90"/>
              </w:rPr>
            </w:pPr>
            <w:hyperlink r:id="rId48">
              <w:r>
                <w:rPr>
                  <w:rFonts w:ascii="Arial" w:cs="Arial" w:eastAsia="Arial" w:hAnsi="Arial"/>
                  <w:sz w:val="18"/>
                  <w:szCs w:val="18"/>
                  <w:color w:val="0000EE"/>
                  <w:w w:val="90"/>
                </w:rPr>
                <w:t>Warrant to Purchase Common Stock, dated May 22, 2023, by and between Presto Automation Inc. and</w:t>
              </w:r>
            </w:hyperlink>
          </w:p>
        </w:tc>
        <w:tc>
          <w:tcPr>
            <w:tcW w:w="120" w:type="dxa"/>
            <w:vAlign w:val="bottom"/>
            <w:gridSpan w:val="6"/>
          </w:tcPr>
          <w:p>
            <w:pPr>
              <w:spacing w:after="0"/>
              <w:rPr>
                <w:sz w:val="15"/>
                <w:szCs w:val="15"/>
                <w:color w:val="auto"/>
              </w:rPr>
            </w:pPr>
          </w:p>
        </w:tc>
      </w:tr>
      <w:tr>
        <w:trPr>
          <w:trHeight w:val="196"/>
        </w:trPr>
        <w:tc>
          <w:tcPr>
            <w:tcW w:w="1040" w:type="dxa"/>
            <w:vAlign w:val="bottom"/>
          </w:tcPr>
          <w:p>
            <w:pPr>
              <w:spacing w:after="0"/>
              <w:rPr>
                <w:sz w:val="17"/>
                <w:szCs w:val="17"/>
                <w:color w:val="auto"/>
              </w:rPr>
            </w:pPr>
          </w:p>
        </w:tc>
        <w:tc>
          <w:tcPr>
            <w:tcW w:w="746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r:id="rId48">
              <w:r>
                <w:rPr>
                  <w:rFonts w:ascii="Arial" w:cs="Arial" w:eastAsia="Arial" w:hAnsi="Arial"/>
                  <w:sz w:val="18"/>
                  <w:szCs w:val="18"/>
                  <w:color w:val="0000EE"/>
                  <w:w w:val="91"/>
                </w:rPr>
                <w:t>Metropolitan Partners Fund VII, LP (incorporated by reference to Exhibit 10.6 to the Current Report on</w:t>
              </w:r>
            </w:hyperlink>
          </w:p>
        </w:tc>
        <w:tc>
          <w:tcPr>
            <w:tcW w:w="80" w:type="dxa"/>
            <w:vAlign w:val="bottom"/>
            <w:gridSpan w:val="4"/>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7540" w:type="dxa"/>
            <w:vAlign w:val="bottom"/>
            <w:gridSpan w:val="33"/>
          </w:tcPr>
          <w:p>
            <w:pPr>
              <w:spacing w:after="0" w:line="196" w:lineRule="exact"/>
              <w:rPr>
                <w:rFonts w:ascii="Arial" w:cs="Arial" w:eastAsia="Arial" w:hAnsi="Arial"/>
                <w:sz w:val="18"/>
                <w:szCs w:val="18"/>
                <w:color w:val="0000EE"/>
              </w:rPr>
            </w:pPr>
            <w:hyperlink r:id="rId48">
              <w:r>
                <w:rPr>
                  <w:rFonts w:ascii="Arial" w:cs="Arial" w:eastAsia="Arial" w:hAnsi="Arial"/>
                  <w:sz w:val="18"/>
                  <w:szCs w:val="18"/>
                  <w:color w:val="0000EE"/>
                </w:rPr>
                <w:t>Form 8-K filed on May 22, 2023).</w:t>
              </w:r>
            </w:hyperlink>
          </w:p>
        </w:tc>
      </w:tr>
      <w:tr>
        <w:trPr>
          <w:trHeight w:val="21"/>
        </w:trPr>
        <w:tc>
          <w:tcPr>
            <w:tcW w:w="1040" w:type="dxa"/>
            <w:vAlign w:val="bottom"/>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10.29</w:t>
            </w:r>
          </w:p>
        </w:tc>
        <w:tc>
          <w:tcPr>
            <w:tcW w:w="7400" w:type="dxa"/>
            <w:vAlign w:val="bottom"/>
            <w:tcBorders>
              <w:bottom w:val="single" w:sz="8" w:color="0000EE"/>
            </w:tcBorders>
            <w:gridSpan w:val="26"/>
            <w:shd w:val="clear" w:color="auto" w:fill="CCEEFF"/>
          </w:tcPr>
          <w:p>
            <w:pPr>
              <w:spacing w:after="0" w:line="176" w:lineRule="exact"/>
              <w:rPr>
                <w:rFonts w:ascii="Arial" w:cs="Arial" w:eastAsia="Arial" w:hAnsi="Arial"/>
                <w:sz w:val="18"/>
                <w:szCs w:val="18"/>
                <w:color w:val="0000EE"/>
                <w:w w:val="89"/>
              </w:rPr>
            </w:pPr>
            <w:hyperlink r:id="rId49">
              <w:r>
                <w:rPr>
                  <w:rFonts w:ascii="Arial" w:cs="Arial" w:eastAsia="Arial" w:hAnsi="Arial"/>
                  <w:sz w:val="18"/>
                  <w:szCs w:val="18"/>
                  <w:color w:val="0000EE"/>
                  <w:w w:val="89"/>
                </w:rPr>
                <w:t>Warrant to Purchase Common Stock, dated May 22, 2023, by and between Presto Automation Inc. and</w:t>
              </w:r>
            </w:hyperlink>
          </w:p>
        </w:tc>
        <w:tc>
          <w:tcPr>
            <w:tcW w:w="140" w:type="dxa"/>
            <w:vAlign w:val="bottom"/>
            <w:tcBorders>
              <w:bottom w:val="single" w:sz="8" w:color="CCEEFF"/>
            </w:tcBorders>
            <w:gridSpan w:val="7"/>
            <w:shd w:val="clear" w:color="auto" w:fill="CCEEFF"/>
          </w:tcPr>
          <w:p>
            <w:pPr>
              <w:spacing w:after="0"/>
              <w:rPr>
                <w:sz w:val="15"/>
                <w:szCs w:val="15"/>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7380" w:type="dxa"/>
            <w:vAlign w:val="bottom"/>
            <w:tcBorders>
              <w:bottom w:val="single" w:sz="8" w:color="0000EE"/>
            </w:tcBorders>
            <w:gridSpan w:val="25"/>
            <w:shd w:val="clear" w:color="auto" w:fill="CCEEFF"/>
          </w:tcPr>
          <w:p>
            <w:pPr>
              <w:spacing w:after="0" w:line="196" w:lineRule="exact"/>
              <w:rPr>
                <w:rFonts w:ascii="Arial" w:cs="Arial" w:eastAsia="Arial" w:hAnsi="Arial"/>
                <w:sz w:val="18"/>
                <w:szCs w:val="18"/>
                <w:color w:val="0000EE"/>
                <w:w w:val="91"/>
              </w:rPr>
            </w:pPr>
            <w:hyperlink r:id="rId49">
              <w:r>
                <w:rPr>
                  <w:rFonts w:ascii="Arial" w:cs="Arial" w:eastAsia="Arial" w:hAnsi="Arial"/>
                  <w:sz w:val="18"/>
                  <w:szCs w:val="18"/>
                  <w:color w:val="0000EE"/>
                  <w:w w:val="91"/>
                </w:rPr>
                <w:t>Metropolitan Offshore Partners Fund VII, LP (incorporated by reference to Exhibit 10.7 to the Current</w:t>
              </w:r>
            </w:hyperlink>
          </w:p>
        </w:tc>
        <w:tc>
          <w:tcPr>
            <w:tcW w:w="160" w:type="dxa"/>
            <w:vAlign w:val="bottom"/>
            <w:tcBorders>
              <w:bottom w:val="single" w:sz="8" w:color="CCEEFF"/>
            </w:tcBorders>
            <w:gridSpan w:val="8"/>
            <w:shd w:val="clear" w:color="auto" w:fill="CCEEFF"/>
          </w:tcPr>
          <w:p>
            <w:pPr>
              <w:spacing w:after="0"/>
              <w:rPr>
                <w:sz w:val="17"/>
                <w:szCs w:val="17"/>
                <w:color w:val="auto"/>
              </w:rPr>
            </w:pPr>
          </w:p>
        </w:tc>
      </w:tr>
      <w:tr>
        <w:trPr>
          <w:trHeight w:val="216"/>
        </w:trPr>
        <w:tc>
          <w:tcPr>
            <w:tcW w:w="1040" w:type="dxa"/>
            <w:vAlign w:val="bottom"/>
            <w:shd w:val="clear" w:color="auto" w:fill="CCEEFF"/>
          </w:tcPr>
          <w:p>
            <w:pPr>
              <w:spacing w:after="0"/>
              <w:rPr>
                <w:sz w:val="18"/>
                <w:szCs w:val="18"/>
                <w:color w:val="auto"/>
              </w:rPr>
            </w:pPr>
          </w:p>
        </w:tc>
        <w:tc>
          <w:tcPr>
            <w:tcW w:w="7540" w:type="dxa"/>
            <w:vAlign w:val="bottom"/>
            <w:gridSpan w:val="33"/>
            <w:shd w:val="clear" w:color="auto" w:fill="CCEEFF"/>
          </w:tcPr>
          <w:p>
            <w:pPr>
              <w:spacing w:after="0" w:line="196" w:lineRule="exact"/>
              <w:rPr>
                <w:rFonts w:ascii="Arial" w:cs="Arial" w:eastAsia="Arial" w:hAnsi="Arial"/>
                <w:sz w:val="18"/>
                <w:szCs w:val="18"/>
                <w:color w:val="0000EE"/>
              </w:rPr>
            </w:pPr>
            <w:hyperlink r:id="rId49">
              <w:r>
                <w:rPr>
                  <w:rFonts w:ascii="Arial" w:cs="Arial" w:eastAsia="Arial" w:hAnsi="Arial"/>
                  <w:sz w:val="18"/>
                  <w:szCs w:val="18"/>
                  <w:color w:val="0000EE"/>
                </w:rPr>
                <w:t>Report on Form 8-K filed on May 22, 2023).</w:t>
              </w:r>
            </w:hyperlink>
          </w:p>
        </w:tc>
      </w:tr>
      <w:tr>
        <w:trPr>
          <w:trHeight w:val="560"/>
        </w:trPr>
        <w:tc>
          <w:tcPr>
            <w:tcW w:w="104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540" w:type="dxa"/>
            <w:vAlign w:val="bottom"/>
            <w:tcBorders>
              <w:top w:val="single" w:sz="8" w:color="0000EE"/>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304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9019"/>
          </w:cols>
          <w:pgMar w:left="1440" w:top="846" w:right="1440" w:bottom="1440" w:gutter="0" w:footer="0" w:header="0"/>
        </w:sectPr>
      </w:pPr>
    </w:p>
    <w:bookmarkStart w:id="5" w:name="page6"/>
    <w:bookmarkEnd w:id="5"/>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10.30</w:t>
            </w:r>
          </w:p>
        </w:tc>
        <w:tc>
          <w:tcPr>
            <w:tcW w:w="7400" w:type="dxa"/>
            <w:vAlign w:val="bottom"/>
            <w:tcBorders>
              <w:bottom w:val="single" w:sz="8" w:color="0000EE"/>
            </w:tcBorders>
            <w:gridSpan w:val="24"/>
          </w:tcPr>
          <w:p>
            <w:pPr>
              <w:spacing w:after="0"/>
              <w:rPr>
                <w:rFonts w:ascii="Arial" w:cs="Arial" w:eastAsia="Arial" w:hAnsi="Arial"/>
                <w:sz w:val="18"/>
                <w:szCs w:val="18"/>
                <w:color w:val="0000EE"/>
                <w:w w:val="89"/>
              </w:rPr>
            </w:pPr>
            <w:hyperlink r:id="rId50">
              <w:r>
                <w:rPr>
                  <w:rFonts w:ascii="Arial" w:cs="Arial" w:eastAsia="Arial" w:hAnsi="Arial"/>
                  <w:sz w:val="18"/>
                  <w:szCs w:val="18"/>
                  <w:color w:val="0000EE"/>
                  <w:w w:val="89"/>
                </w:rPr>
                <w:t>Warrant to Purchase Common Stock, dated May 22, 2023, by and between Presto Automation Inc. and</w:t>
              </w:r>
            </w:hyperlink>
          </w:p>
        </w:tc>
        <w:tc>
          <w:tcPr>
            <w:tcW w:w="140" w:type="dxa"/>
            <w:vAlign w:val="bottom"/>
            <w:gridSpan w:val="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7500" w:type="dxa"/>
            <w:vAlign w:val="bottom"/>
            <w:tcBorders>
              <w:bottom w:val="single" w:sz="8" w:color="0000EE"/>
            </w:tcBorders>
            <w:gridSpan w:val="29"/>
          </w:tcPr>
          <w:p>
            <w:pPr>
              <w:spacing w:after="0" w:line="196" w:lineRule="exact"/>
              <w:rPr>
                <w:rFonts w:ascii="Arial" w:cs="Arial" w:eastAsia="Arial" w:hAnsi="Arial"/>
                <w:sz w:val="18"/>
                <w:szCs w:val="18"/>
                <w:color w:val="0000EE"/>
                <w:w w:val="92"/>
              </w:rPr>
            </w:pPr>
            <w:hyperlink r:id="rId50">
              <w:r>
                <w:rPr>
                  <w:rFonts w:ascii="Arial" w:cs="Arial" w:eastAsia="Arial" w:hAnsi="Arial"/>
                  <w:sz w:val="18"/>
                  <w:szCs w:val="18"/>
                  <w:color w:val="0000EE"/>
                  <w:w w:val="92"/>
                </w:rPr>
                <w:t>CEOF Holdings, LP (incorporated by reference to Exhibit 10.8 to the Current Report on Form 8-K filed</w:t>
              </w:r>
            </w:hyperlink>
          </w:p>
        </w:tc>
        <w:tc>
          <w:tcPr>
            <w:tcW w:w="4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7540" w:type="dxa"/>
            <w:vAlign w:val="bottom"/>
            <w:gridSpan w:val="30"/>
          </w:tcPr>
          <w:p>
            <w:pPr>
              <w:spacing w:after="0" w:line="196" w:lineRule="exact"/>
              <w:rPr>
                <w:rFonts w:ascii="Arial" w:cs="Arial" w:eastAsia="Arial" w:hAnsi="Arial"/>
                <w:sz w:val="18"/>
                <w:szCs w:val="18"/>
                <w:color w:val="0000EE"/>
              </w:rPr>
            </w:pPr>
            <w:hyperlink r:id="rId50">
              <w:r>
                <w:rPr>
                  <w:rFonts w:ascii="Arial" w:cs="Arial" w:eastAsia="Arial" w:hAnsi="Arial"/>
                  <w:sz w:val="18"/>
                  <w:szCs w:val="18"/>
                  <w:color w:val="0000EE"/>
                </w:rPr>
                <w:t>on May 22, 2023).</w:t>
              </w:r>
            </w:hyperlink>
          </w:p>
        </w:tc>
      </w:tr>
      <w:tr>
        <w:trPr>
          <w:trHeight w:val="21"/>
        </w:trPr>
        <w:tc>
          <w:tcPr>
            <w:tcW w:w="1040" w:type="dxa"/>
            <w:vAlign w:val="bottom"/>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5"/>
        </w:trPr>
        <w:tc>
          <w:tcPr>
            <w:tcW w:w="1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10.31</w:t>
            </w:r>
          </w:p>
        </w:tc>
        <w:tc>
          <w:tcPr>
            <w:tcW w:w="7540" w:type="dxa"/>
            <w:vAlign w:val="bottom"/>
            <w:gridSpan w:val="30"/>
            <w:shd w:val="clear" w:color="auto" w:fill="CCEEFF"/>
          </w:tcPr>
          <w:p>
            <w:pPr>
              <w:spacing w:after="0" w:line="176" w:lineRule="exact"/>
              <w:rPr>
                <w:rFonts w:ascii="Arial" w:cs="Arial" w:eastAsia="Arial" w:hAnsi="Arial"/>
                <w:sz w:val="18"/>
                <w:szCs w:val="18"/>
                <w:color w:val="0000EE"/>
                <w:w w:val="91"/>
              </w:rPr>
            </w:pPr>
            <w:hyperlink r:id="rId51">
              <w:r>
                <w:rPr>
                  <w:rFonts w:ascii="Arial" w:cs="Arial" w:eastAsia="Arial" w:hAnsi="Arial"/>
                  <w:sz w:val="18"/>
                  <w:szCs w:val="18"/>
                  <w:color w:val="0000EE"/>
                  <w:w w:val="91"/>
                </w:rPr>
                <w:t>Registration Rights Agreement, dated as of March 31, 2023, by and among Presto Automation Inc. and</w:t>
              </w:r>
            </w:hyperlink>
          </w:p>
        </w:tc>
      </w:tr>
      <w:tr>
        <w:trPr>
          <w:trHeight w:val="196"/>
        </w:trPr>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6940" w:type="dxa"/>
            <w:vAlign w:val="bottom"/>
            <w:tcBorders>
              <w:top w:val="single" w:sz="8" w:color="0000EE"/>
              <w:bottom w:val="single" w:sz="8" w:color="0000EE"/>
            </w:tcBorders>
            <w:gridSpan w:val="15"/>
            <w:shd w:val="clear" w:color="auto" w:fill="CCEEFF"/>
          </w:tcPr>
          <w:p>
            <w:pPr>
              <w:spacing w:after="0" w:line="196" w:lineRule="exact"/>
              <w:rPr>
                <w:rFonts w:ascii="Arial" w:cs="Arial" w:eastAsia="Arial" w:hAnsi="Arial"/>
                <w:sz w:val="18"/>
                <w:szCs w:val="18"/>
                <w:color w:val="0000EE"/>
                <w:w w:val="90"/>
              </w:rPr>
            </w:pPr>
            <w:hyperlink r:id="rId51">
              <w:r>
                <w:rPr>
                  <w:rFonts w:ascii="Arial" w:cs="Arial" w:eastAsia="Arial" w:hAnsi="Arial"/>
                  <w:sz w:val="18"/>
                  <w:szCs w:val="18"/>
                  <w:color w:val="0000EE"/>
                  <w:w w:val="90"/>
                </w:rPr>
                <w:t>certain persons listed therein (incorporated by reference to Exhibit 10.7 to the Current Report on</w:t>
              </w:r>
            </w:hyperlink>
          </w:p>
        </w:tc>
        <w:tc>
          <w:tcPr>
            <w:tcW w:w="480" w:type="dxa"/>
            <w:vAlign w:val="bottom"/>
            <w:tcBorders>
              <w:top w:val="single" w:sz="8" w:color="0000EE"/>
              <w:bottom w:val="single" w:sz="8" w:color="CCEEFF"/>
            </w:tcBorders>
            <w:gridSpan w:val="10"/>
            <w:shd w:val="clear" w:color="auto" w:fill="CCEEFF"/>
          </w:tcPr>
          <w:p>
            <w:pPr>
              <w:spacing w:after="0"/>
              <w:rPr>
                <w:sz w:val="17"/>
                <w:szCs w:val="17"/>
                <w:color w:val="auto"/>
              </w:rPr>
            </w:pPr>
          </w:p>
        </w:tc>
        <w:tc>
          <w:tcPr>
            <w:tcW w:w="120" w:type="dxa"/>
            <w:vAlign w:val="bottom"/>
            <w:tcBorders>
              <w:top w:val="single" w:sz="8" w:color="CCEEFF"/>
              <w:bottom w:val="single" w:sz="8" w:color="CCEEFF"/>
            </w:tcBorders>
            <w:gridSpan w:val="5"/>
            <w:shd w:val="clear" w:color="auto" w:fill="CCEEFF"/>
          </w:tcPr>
          <w:p>
            <w:pPr>
              <w:spacing w:after="0"/>
              <w:rPr>
                <w:sz w:val="17"/>
                <w:szCs w:val="17"/>
                <w:color w:val="auto"/>
              </w:rPr>
            </w:pPr>
          </w:p>
        </w:tc>
      </w:tr>
      <w:tr>
        <w:trPr>
          <w:trHeight w:val="217"/>
        </w:trPr>
        <w:tc>
          <w:tcPr>
            <w:tcW w:w="1040" w:type="dxa"/>
            <w:vAlign w:val="bottom"/>
            <w:tcBorders>
              <w:bottom w:val="single" w:sz="8" w:color="CCEEFF"/>
            </w:tcBorders>
            <w:shd w:val="clear" w:color="auto" w:fill="CCEEFF"/>
          </w:tcPr>
          <w:p>
            <w:pPr>
              <w:spacing w:after="0"/>
              <w:rPr>
                <w:sz w:val="18"/>
                <w:szCs w:val="18"/>
                <w:color w:val="auto"/>
              </w:rPr>
            </w:pPr>
          </w:p>
        </w:tc>
        <w:tc>
          <w:tcPr>
            <w:tcW w:w="2420" w:type="dxa"/>
            <w:vAlign w:val="bottom"/>
            <w:tcBorders>
              <w:bottom w:val="single" w:sz="8" w:color="0000EE"/>
            </w:tcBorders>
            <w:gridSpan w:val="6"/>
            <w:shd w:val="clear" w:color="auto" w:fill="CCEEFF"/>
          </w:tcPr>
          <w:p>
            <w:pPr>
              <w:spacing w:after="0" w:line="196" w:lineRule="exact"/>
              <w:rPr>
                <w:rFonts w:ascii="Arial" w:cs="Arial" w:eastAsia="Arial" w:hAnsi="Arial"/>
                <w:sz w:val="18"/>
                <w:szCs w:val="18"/>
                <w:color w:val="0000EE"/>
                <w:w w:val="94"/>
              </w:rPr>
            </w:pPr>
            <w:hyperlink r:id="rId51">
              <w:r>
                <w:rPr>
                  <w:rFonts w:ascii="Arial" w:cs="Arial" w:eastAsia="Arial" w:hAnsi="Arial"/>
                  <w:sz w:val="18"/>
                  <w:szCs w:val="18"/>
                  <w:color w:val="0000EE"/>
                  <w:w w:val="94"/>
                </w:rPr>
                <w:t>Form 8-K filed on April 6, 2023).</w:t>
              </w:r>
            </w:hyperlink>
          </w:p>
        </w:tc>
        <w:tc>
          <w:tcPr>
            <w:tcW w:w="5120" w:type="dxa"/>
            <w:vAlign w:val="bottom"/>
            <w:tcBorders>
              <w:bottom w:val="single" w:sz="8" w:color="CCEEFF"/>
            </w:tcBorders>
            <w:gridSpan w:val="24"/>
            <w:shd w:val="clear" w:color="auto" w:fill="CCEEFF"/>
          </w:tcPr>
          <w:p>
            <w:pPr>
              <w:spacing w:after="0"/>
              <w:rPr>
                <w:sz w:val="18"/>
                <w:szCs w:val="18"/>
                <w:color w:val="auto"/>
              </w:rPr>
            </w:pPr>
          </w:p>
        </w:tc>
      </w:tr>
      <w:tr>
        <w:trPr>
          <w:trHeight w:val="162"/>
        </w:trPr>
        <w:tc>
          <w:tcPr>
            <w:tcW w:w="1040" w:type="dxa"/>
            <w:vAlign w:val="bottom"/>
          </w:tcPr>
          <w:p>
            <w:pPr>
              <w:spacing w:after="0" w:line="142" w:lineRule="exact"/>
              <w:rPr>
                <w:sz w:val="20"/>
                <w:szCs w:val="20"/>
                <w:color w:val="auto"/>
              </w:rPr>
            </w:pPr>
            <w:r>
              <w:rPr>
                <w:rFonts w:ascii="Arial" w:cs="Arial" w:eastAsia="Arial" w:hAnsi="Arial"/>
                <w:sz w:val="16"/>
                <w:szCs w:val="16"/>
                <w:color w:val="auto"/>
              </w:rPr>
              <w:t>10.32+</w:t>
            </w:r>
          </w:p>
        </w:tc>
        <w:tc>
          <w:tcPr>
            <w:tcW w:w="7400" w:type="dxa"/>
            <w:vAlign w:val="bottom"/>
            <w:tcBorders>
              <w:bottom w:val="single" w:sz="8" w:color="0000EE"/>
            </w:tcBorders>
            <w:gridSpan w:val="24"/>
          </w:tcPr>
          <w:p>
            <w:pPr>
              <w:spacing w:after="0" w:line="142" w:lineRule="exact"/>
              <w:rPr>
                <w:rFonts w:ascii="Arial" w:cs="Arial" w:eastAsia="Arial" w:hAnsi="Arial"/>
                <w:sz w:val="16"/>
                <w:szCs w:val="16"/>
                <w:color w:val="0000EE"/>
              </w:rPr>
            </w:pPr>
            <w:hyperlink r:id="rId52">
              <w:r>
                <w:rPr>
                  <w:rFonts w:ascii="Arial" w:cs="Arial" w:eastAsia="Arial" w:hAnsi="Arial"/>
                  <w:sz w:val="16"/>
                  <w:szCs w:val="16"/>
                  <w:color w:val="0000EE"/>
                </w:rPr>
                <w:t>Ofer of Employment, Daniel Mosher, dated May 12, 2023 (incorporated by reference to Exhibit 10.32</w:t>
              </w:r>
            </w:hyperlink>
          </w:p>
        </w:tc>
        <w:tc>
          <w:tcPr>
            <w:tcW w:w="140" w:type="dxa"/>
            <w:vAlign w:val="bottom"/>
            <w:gridSpan w:val="6"/>
          </w:tcPr>
          <w:p>
            <w:pPr>
              <w:spacing w:after="0"/>
              <w:rPr>
                <w:sz w:val="14"/>
                <w:szCs w:val="14"/>
                <w:color w:val="auto"/>
              </w:rPr>
            </w:pPr>
          </w:p>
        </w:tc>
      </w:tr>
      <w:tr>
        <w:trPr>
          <w:trHeight w:val="196"/>
        </w:trPr>
        <w:tc>
          <w:tcPr>
            <w:tcW w:w="1040" w:type="dxa"/>
            <w:vAlign w:val="bottom"/>
          </w:tcPr>
          <w:p>
            <w:pPr>
              <w:spacing w:after="0"/>
              <w:rPr>
                <w:sz w:val="17"/>
                <w:szCs w:val="17"/>
                <w:color w:val="auto"/>
              </w:rPr>
            </w:pPr>
          </w:p>
        </w:tc>
        <w:tc>
          <w:tcPr>
            <w:tcW w:w="7540" w:type="dxa"/>
            <w:vAlign w:val="bottom"/>
            <w:gridSpan w:val="30"/>
          </w:tcPr>
          <w:p>
            <w:pPr>
              <w:spacing w:after="0" w:line="196" w:lineRule="exact"/>
              <w:rPr>
                <w:rFonts w:ascii="Arial" w:cs="Arial" w:eastAsia="Arial" w:hAnsi="Arial"/>
                <w:sz w:val="18"/>
                <w:szCs w:val="18"/>
                <w:color w:val="0000EE"/>
              </w:rPr>
            </w:pPr>
            <w:hyperlink r:id="rId52">
              <w:r>
                <w:rPr>
                  <w:rFonts w:ascii="Arial" w:cs="Arial" w:eastAsia="Arial" w:hAnsi="Arial"/>
                  <w:sz w:val="18"/>
                  <w:szCs w:val="18"/>
                  <w:color w:val="0000EE"/>
                </w:rPr>
                <w:t>to the Annual Report on Form 10-K fled on October 10, 2023).</w:t>
              </w:r>
            </w:hyperlink>
          </w:p>
        </w:tc>
      </w:tr>
      <w:tr>
        <w:trPr>
          <w:trHeight w:val="34"/>
        </w:trPr>
        <w:tc>
          <w:tcPr>
            <w:tcW w:w="1040" w:type="dxa"/>
            <w:vAlign w:val="bottom"/>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560" w:type="dxa"/>
            <w:vAlign w:val="bottom"/>
            <w:tcBorders>
              <w:top w:val="single" w:sz="8" w:color="0000EE"/>
            </w:tcBorders>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62"/>
        </w:trPr>
        <w:tc>
          <w:tcPr>
            <w:tcW w:w="104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6"/>
                <w:szCs w:val="16"/>
                <w:color w:val="auto"/>
              </w:rPr>
              <w:t>10.33+</w:t>
            </w:r>
          </w:p>
        </w:tc>
        <w:tc>
          <w:tcPr>
            <w:tcW w:w="7540" w:type="dxa"/>
            <w:vAlign w:val="bottom"/>
            <w:tcBorders>
              <w:bottom w:val="single" w:sz="8" w:color="0000EE"/>
            </w:tcBorders>
            <w:gridSpan w:val="30"/>
            <w:shd w:val="clear" w:color="auto" w:fill="CCEEFF"/>
          </w:tcPr>
          <w:p>
            <w:pPr>
              <w:spacing w:after="0" w:line="142" w:lineRule="exact"/>
              <w:rPr>
                <w:rFonts w:ascii="Arial" w:cs="Arial" w:eastAsia="Arial" w:hAnsi="Arial"/>
                <w:sz w:val="16"/>
                <w:szCs w:val="16"/>
                <w:color w:val="0000EE"/>
              </w:rPr>
            </w:pPr>
            <w:hyperlink r:id="rId53">
              <w:r>
                <w:rPr>
                  <w:rFonts w:ascii="Arial" w:cs="Arial" w:eastAsia="Arial" w:hAnsi="Arial"/>
                  <w:sz w:val="16"/>
                  <w:szCs w:val="16"/>
                  <w:color w:val="0000EE"/>
                </w:rPr>
                <w:t>Ofer of Employment, Xavier Casanova, dated April 25, 2023 (incorporated by reference to Exhibit 10.33</w:t>
              </w:r>
            </w:hyperlink>
          </w:p>
        </w:tc>
      </w:tr>
      <w:tr>
        <w:trPr>
          <w:trHeight w:val="196"/>
        </w:trPr>
        <w:tc>
          <w:tcPr>
            <w:tcW w:w="1040" w:type="dxa"/>
            <w:vAlign w:val="bottom"/>
            <w:shd w:val="clear" w:color="auto" w:fill="CCEEFF"/>
          </w:tcPr>
          <w:p>
            <w:pPr>
              <w:spacing w:after="0"/>
              <w:rPr>
                <w:sz w:val="17"/>
                <w:szCs w:val="17"/>
                <w:color w:val="auto"/>
              </w:rPr>
            </w:pPr>
          </w:p>
        </w:tc>
        <w:tc>
          <w:tcPr>
            <w:tcW w:w="7540" w:type="dxa"/>
            <w:vAlign w:val="bottom"/>
            <w:gridSpan w:val="30"/>
            <w:shd w:val="clear" w:color="auto" w:fill="CCEEFF"/>
          </w:tcPr>
          <w:p>
            <w:pPr>
              <w:spacing w:after="0" w:line="196" w:lineRule="exact"/>
              <w:rPr>
                <w:rFonts w:ascii="Arial" w:cs="Arial" w:eastAsia="Arial" w:hAnsi="Arial"/>
                <w:sz w:val="18"/>
                <w:szCs w:val="18"/>
                <w:color w:val="0000EE"/>
              </w:rPr>
            </w:pPr>
            <w:hyperlink r:id="rId53">
              <w:r>
                <w:rPr>
                  <w:rFonts w:ascii="Arial" w:cs="Arial" w:eastAsia="Arial" w:hAnsi="Arial"/>
                  <w:sz w:val="18"/>
                  <w:szCs w:val="18"/>
                  <w:color w:val="0000EE"/>
                </w:rPr>
                <w:t>to the Annual Report on Form 10-K fled on October 10, 2023).</w:t>
              </w:r>
            </w:hyperlink>
          </w:p>
        </w:tc>
      </w:tr>
      <w:tr>
        <w:trPr>
          <w:trHeight w:val="34"/>
        </w:trPr>
        <w:tc>
          <w:tcPr>
            <w:tcW w:w="104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56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62"/>
        </w:trPr>
        <w:tc>
          <w:tcPr>
            <w:tcW w:w="1040" w:type="dxa"/>
            <w:vAlign w:val="bottom"/>
          </w:tcPr>
          <w:p>
            <w:pPr>
              <w:spacing w:after="0" w:line="142" w:lineRule="exact"/>
              <w:rPr>
                <w:sz w:val="20"/>
                <w:szCs w:val="20"/>
                <w:color w:val="auto"/>
              </w:rPr>
            </w:pPr>
            <w:r>
              <w:rPr>
                <w:rFonts w:ascii="Arial" w:cs="Arial" w:eastAsia="Arial" w:hAnsi="Arial"/>
                <w:sz w:val="16"/>
                <w:szCs w:val="16"/>
                <w:color w:val="auto"/>
              </w:rPr>
              <w:t>16.1</w:t>
            </w:r>
          </w:p>
        </w:tc>
        <w:tc>
          <w:tcPr>
            <w:tcW w:w="7540" w:type="dxa"/>
            <w:vAlign w:val="bottom"/>
            <w:gridSpan w:val="30"/>
          </w:tcPr>
          <w:p>
            <w:pPr>
              <w:spacing w:after="0" w:line="142" w:lineRule="exact"/>
              <w:rPr>
                <w:rFonts w:ascii="Arial" w:cs="Arial" w:eastAsia="Arial" w:hAnsi="Arial"/>
                <w:sz w:val="16"/>
                <w:szCs w:val="16"/>
                <w:color w:val="0000EE"/>
              </w:rPr>
            </w:pPr>
            <w:hyperlink r:id="rId54">
              <w:r>
                <w:rPr>
                  <w:rFonts w:ascii="Arial" w:cs="Arial" w:eastAsia="Arial" w:hAnsi="Arial"/>
                  <w:sz w:val="16"/>
                  <w:szCs w:val="16"/>
                  <w:color w:val="0000EE"/>
                </w:rPr>
                <w:t>Leter from Withum Smith+Brown, PC (incorporated by reference to Exhibit 16.1 to the Current Report</w:t>
              </w:r>
            </w:hyperlink>
          </w:p>
        </w:tc>
      </w:tr>
      <w:tr>
        <w:trPr>
          <w:trHeight w:val="196"/>
        </w:trPr>
        <w:tc>
          <w:tcPr>
            <w:tcW w:w="1040" w:type="dxa"/>
            <w:vAlign w:val="bottom"/>
          </w:tcPr>
          <w:p>
            <w:pPr>
              <w:spacing w:after="0"/>
              <w:rPr>
                <w:sz w:val="17"/>
                <w:szCs w:val="17"/>
                <w:color w:val="auto"/>
              </w:rPr>
            </w:pPr>
          </w:p>
        </w:tc>
        <w:tc>
          <w:tcPr>
            <w:tcW w:w="744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54">
              <w:r>
                <w:rPr>
                  <w:rFonts w:ascii="Arial" w:cs="Arial" w:eastAsia="Arial" w:hAnsi="Arial"/>
                  <w:sz w:val="18"/>
                  <w:szCs w:val="18"/>
                  <w:color w:val="0000EE"/>
                </w:rPr>
                <w:t>on Form 8-K fled on November 2, 2022).</w:t>
              </w:r>
            </w:hyperlink>
          </w:p>
        </w:tc>
        <w:tc>
          <w:tcPr>
            <w:tcW w:w="100" w:type="dxa"/>
            <w:vAlign w:val="bottom"/>
            <w:gridSpan w:val="4"/>
          </w:tcPr>
          <w:p>
            <w:pPr>
              <w:spacing w:after="0"/>
              <w:rPr>
                <w:sz w:val="17"/>
                <w:szCs w:val="17"/>
                <w:color w:val="auto"/>
              </w:rPr>
            </w:pPr>
          </w:p>
        </w:tc>
      </w:tr>
      <w:tr>
        <w:trPr>
          <w:trHeight w:val="34"/>
        </w:trPr>
        <w:tc>
          <w:tcPr>
            <w:tcW w:w="1040" w:type="dxa"/>
            <w:vAlign w:val="bottom"/>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62"/>
        </w:trPr>
        <w:tc>
          <w:tcPr>
            <w:tcW w:w="104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6"/>
                <w:szCs w:val="16"/>
                <w:color w:val="auto"/>
              </w:rPr>
              <w:t>21.1</w:t>
            </w:r>
          </w:p>
        </w:tc>
        <w:tc>
          <w:tcPr>
            <w:tcW w:w="7400" w:type="dxa"/>
            <w:vAlign w:val="bottom"/>
            <w:tcBorders>
              <w:bottom w:val="single" w:sz="8" w:color="0000EE"/>
            </w:tcBorders>
            <w:gridSpan w:val="24"/>
            <w:shd w:val="clear" w:color="auto" w:fill="CCEEFF"/>
          </w:tcPr>
          <w:p>
            <w:pPr>
              <w:spacing w:after="0" w:line="142" w:lineRule="exact"/>
              <w:rPr>
                <w:rFonts w:ascii="Arial" w:cs="Arial" w:eastAsia="Arial" w:hAnsi="Arial"/>
                <w:sz w:val="16"/>
                <w:szCs w:val="16"/>
                <w:color w:val="0000EE"/>
              </w:rPr>
            </w:pPr>
            <w:hyperlink r:id="rId55">
              <w:r>
                <w:rPr>
                  <w:rFonts w:ascii="Arial" w:cs="Arial" w:eastAsia="Arial" w:hAnsi="Arial"/>
                  <w:sz w:val="16"/>
                  <w:szCs w:val="16"/>
                  <w:color w:val="0000EE"/>
                </w:rPr>
                <w:t>List of Subsidiaries*List of Subsidiaries(incorporated by reference to Exhibit 21.1 to the Annual Report</w:t>
              </w:r>
            </w:hyperlink>
          </w:p>
        </w:tc>
        <w:tc>
          <w:tcPr>
            <w:tcW w:w="140" w:type="dxa"/>
            <w:vAlign w:val="bottom"/>
            <w:tcBorders>
              <w:bottom w:val="single" w:sz="8" w:color="CCEEFF"/>
            </w:tcBorders>
            <w:gridSpan w:val="6"/>
            <w:shd w:val="clear" w:color="auto" w:fill="CCEEFF"/>
          </w:tcPr>
          <w:p>
            <w:pPr>
              <w:spacing w:after="0"/>
              <w:rPr>
                <w:sz w:val="14"/>
                <w:szCs w:val="14"/>
                <w:color w:val="auto"/>
              </w:rPr>
            </w:pPr>
          </w:p>
        </w:tc>
      </w:tr>
      <w:tr>
        <w:trPr>
          <w:trHeight w:val="230"/>
        </w:trPr>
        <w:tc>
          <w:tcPr>
            <w:tcW w:w="1040" w:type="dxa"/>
            <w:vAlign w:val="bottom"/>
            <w:tcBorders>
              <w:bottom w:val="single" w:sz="8" w:color="CCEEFF"/>
            </w:tcBorders>
            <w:shd w:val="clear" w:color="auto" w:fill="CCEEFF"/>
          </w:tcPr>
          <w:p>
            <w:pPr>
              <w:spacing w:after="0"/>
              <w:rPr>
                <w:sz w:val="20"/>
                <w:szCs w:val="20"/>
                <w:color w:val="auto"/>
              </w:rPr>
            </w:pPr>
          </w:p>
        </w:tc>
        <w:tc>
          <w:tcPr>
            <w:tcW w:w="2980" w:type="dxa"/>
            <w:vAlign w:val="bottom"/>
            <w:tcBorders>
              <w:bottom w:val="single" w:sz="8" w:color="0000EE"/>
            </w:tcBorders>
            <w:gridSpan w:val="10"/>
            <w:shd w:val="clear" w:color="auto" w:fill="CCEEFF"/>
          </w:tcPr>
          <w:p>
            <w:pPr>
              <w:spacing w:after="0" w:line="196" w:lineRule="exact"/>
              <w:rPr>
                <w:rFonts w:ascii="Arial" w:cs="Arial" w:eastAsia="Arial" w:hAnsi="Arial"/>
                <w:sz w:val="18"/>
                <w:szCs w:val="18"/>
                <w:color w:val="0000EE"/>
                <w:w w:val="91"/>
              </w:rPr>
            </w:pPr>
            <w:hyperlink r:id="rId55">
              <w:r>
                <w:rPr>
                  <w:rFonts w:ascii="Arial" w:cs="Arial" w:eastAsia="Arial" w:hAnsi="Arial"/>
                  <w:sz w:val="18"/>
                  <w:szCs w:val="18"/>
                  <w:color w:val="0000EE"/>
                  <w:w w:val="91"/>
                </w:rPr>
                <w:t>on Form 10-K fled on October 10, 2023).</w:t>
              </w:r>
            </w:hyperlink>
          </w:p>
        </w:tc>
        <w:tc>
          <w:tcPr>
            <w:tcW w:w="4560" w:type="dxa"/>
            <w:vAlign w:val="bottom"/>
            <w:tcBorders>
              <w:bottom w:val="single" w:sz="8" w:color="CCEEFF"/>
            </w:tcBorders>
            <w:gridSpan w:val="20"/>
            <w:shd w:val="clear" w:color="auto" w:fill="CCEEFF"/>
          </w:tcPr>
          <w:p>
            <w:pPr>
              <w:spacing w:after="0"/>
              <w:rPr>
                <w:sz w:val="20"/>
                <w:szCs w:val="20"/>
                <w:color w:val="auto"/>
              </w:rPr>
            </w:pPr>
          </w:p>
        </w:tc>
      </w:tr>
      <w:tr>
        <w:trPr>
          <w:trHeight w:val="162"/>
        </w:trPr>
        <w:tc>
          <w:tcPr>
            <w:tcW w:w="1040" w:type="dxa"/>
            <w:vAlign w:val="bottom"/>
          </w:tcPr>
          <w:p>
            <w:pPr>
              <w:spacing w:after="0" w:line="142" w:lineRule="exact"/>
              <w:rPr>
                <w:sz w:val="20"/>
                <w:szCs w:val="20"/>
                <w:color w:val="auto"/>
              </w:rPr>
            </w:pPr>
            <w:r>
              <w:rPr>
                <w:rFonts w:ascii="Arial" w:cs="Arial" w:eastAsia="Arial" w:hAnsi="Arial"/>
                <w:sz w:val="16"/>
                <w:szCs w:val="16"/>
                <w:color w:val="auto"/>
              </w:rPr>
              <w:t>23.1</w:t>
            </w:r>
          </w:p>
        </w:tc>
        <w:tc>
          <w:tcPr>
            <w:tcW w:w="7020" w:type="dxa"/>
            <w:vAlign w:val="bottom"/>
            <w:tcBorders>
              <w:bottom w:val="single" w:sz="8" w:color="0000EE"/>
            </w:tcBorders>
            <w:gridSpan w:val="18"/>
          </w:tcPr>
          <w:p>
            <w:pPr>
              <w:spacing w:after="0" w:line="142" w:lineRule="exact"/>
              <w:rPr>
                <w:rFonts w:ascii="Arial" w:cs="Arial" w:eastAsia="Arial" w:hAnsi="Arial"/>
                <w:sz w:val="16"/>
                <w:szCs w:val="16"/>
                <w:color w:val="0000EE"/>
              </w:rPr>
            </w:pPr>
            <w:hyperlink r:id="rId56">
              <w:r>
                <w:rPr>
                  <w:rFonts w:ascii="Arial" w:cs="Arial" w:eastAsia="Arial" w:hAnsi="Arial"/>
                  <w:sz w:val="16"/>
                  <w:szCs w:val="16"/>
                  <w:color w:val="0000EE"/>
                </w:rPr>
                <w:t>Consent of Moss Adams, LLP. (incorporated by reference to Exhibit 23.1 to the Annual Report on</w:t>
              </w:r>
            </w:hyperlink>
          </w:p>
        </w:tc>
        <w:tc>
          <w:tcPr>
            <w:tcW w:w="520" w:type="dxa"/>
            <w:vAlign w:val="bottom"/>
            <w:gridSpan w:val="12"/>
          </w:tcPr>
          <w:p>
            <w:pPr>
              <w:spacing w:after="0"/>
              <w:rPr>
                <w:sz w:val="14"/>
                <w:szCs w:val="14"/>
                <w:color w:val="auto"/>
              </w:rPr>
            </w:pPr>
          </w:p>
        </w:tc>
      </w:tr>
      <w:tr>
        <w:trPr>
          <w:trHeight w:val="196"/>
        </w:trPr>
        <w:tc>
          <w:tcPr>
            <w:tcW w:w="1040" w:type="dxa"/>
            <w:vAlign w:val="bottom"/>
          </w:tcPr>
          <w:p>
            <w:pPr>
              <w:spacing w:after="0"/>
              <w:rPr>
                <w:sz w:val="17"/>
                <w:szCs w:val="17"/>
                <w:color w:val="auto"/>
              </w:rPr>
            </w:pPr>
          </w:p>
        </w:tc>
        <w:tc>
          <w:tcPr>
            <w:tcW w:w="7540" w:type="dxa"/>
            <w:vAlign w:val="bottom"/>
            <w:gridSpan w:val="30"/>
          </w:tcPr>
          <w:p>
            <w:pPr>
              <w:spacing w:after="0" w:line="196" w:lineRule="exact"/>
              <w:rPr>
                <w:rFonts w:ascii="Arial" w:cs="Arial" w:eastAsia="Arial" w:hAnsi="Arial"/>
                <w:sz w:val="18"/>
                <w:szCs w:val="18"/>
                <w:color w:val="0000EE"/>
              </w:rPr>
            </w:pPr>
            <w:hyperlink r:id="rId56">
              <w:r>
                <w:rPr>
                  <w:rFonts w:ascii="Arial" w:cs="Arial" w:eastAsia="Arial" w:hAnsi="Arial"/>
                  <w:sz w:val="18"/>
                  <w:szCs w:val="18"/>
                  <w:color w:val="0000EE"/>
                </w:rPr>
                <w:t>Form 10-K fled on October 10, 2023)</w:t>
              </w:r>
            </w:hyperlink>
          </w:p>
        </w:tc>
      </w:tr>
      <w:tr>
        <w:trPr>
          <w:trHeight w:val="34"/>
        </w:trPr>
        <w:tc>
          <w:tcPr>
            <w:tcW w:w="1040" w:type="dxa"/>
            <w:vAlign w:val="bottom"/>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75"/>
        </w:trPr>
        <w:tc>
          <w:tcPr>
            <w:tcW w:w="10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24.1</w:t>
            </w:r>
          </w:p>
        </w:tc>
        <w:tc>
          <w:tcPr>
            <w:tcW w:w="7400" w:type="dxa"/>
            <w:vAlign w:val="bottom"/>
            <w:tcBorders>
              <w:bottom w:val="single" w:sz="8" w:color="0000EE"/>
            </w:tcBorders>
            <w:gridSpan w:val="24"/>
            <w:shd w:val="clear" w:color="auto" w:fill="CCEEFF"/>
          </w:tcPr>
          <w:p>
            <w:pPr>
              <w:spacing w:after="0" w:line="176" w:lineRule="exact"/>
              <w:rPr>
                <w:rFonts w:ascii="Arial" w:cs="Arial" w:eastAsia="Arial" w:hAnsi="Arial"/>
                <w:sz w:val="18"/>
                <w:szCs w:val="18"/>
                <w:color w:val="0000EE"/>
                <w:w w:val="92"/>
              </w:rPr>
            </w:pPr>
            <w:hyperlink r:id="rId57">
              <w:r>
                <w:rPr>
                  <w:rFonts w:ascii="Arial" w:cs="Arial" w:eastAsia="Arial" w:hAnsi="Arial"/>
                  <w:sz w:val="18"/>
                  <w:szCs w:val="18"/>
                  <w:color w:val="0000EE"/>
                  <w:w w:val="92"/>
                </w:rPr>
                <w:t>Power of Attorney (incorporated by reference to Exhibit 24.1 to the Annual Report on Form 10-K fled</w:t>
              </w:r>
            </w:hyperlink>
          </w:p>
        </w:tc>
        <w:tc>
          <w:tcPr>
            <w:tcW w:w="140" w:type="dxa"/>
            <w:vAlign w:val="bottom"/>
            <w:tcBorders>
              <w:bottom w:val="single" w:sz="8" w:color="CCEEFF"/>
            </w:tcBorders>
            <w:gridSpan w:val="6"/>
            <w:shd w:val="clear" w:color="auto" w:fill="CCEEFF"/>
          </w:tcPr>
          <w:p>
            <w:pPr>
              <w:spacing w:after="0"/>
              <w:rPr>
                <w:sz w:val="15"/>
                <w:szCs w:val="15"/>
                <w:color w:val="auto"/>
              </w:rPr>
            </w:pPr>
          </w:p>
        </w:tc>
      </w:tr>
      <w:tr>
        <w:trPr>
          <w:trHeight w:val="196"/>
        </w:trPr>
        <w:tc>
          <w:tcPr>
            <w:tcW w:w="1040" w:type="dxa"/>
            <w:vAlign w:val="bottom"/>
            <w:shd w:val="clear" w:color="auto" w:fill="CCEEFF"/>
          </w:tcPr>
          <w:p>
            <w:pPr>
              <w:spacing w:after="0"/>
              <w:rPr>
                <w:sz w:val="17"/>
                <w:szCs w:val="17"/>
                <w:color w:val="auto"/>
              </w:rPr>
            </w:pPr>
          </w:p>
        </w:tc>
        <w:tc>
          <w:tcPr>
            <w:tcW w:w="7540" w:type="dxa"/>
            <w:vAlign w:val="bottom"/>
            <w:gridSpan w:val="30"/>
            <w:shd w:val="clear" w:color="auto" w:fill="CCEEFF"/>
          </w:tcPr>
          <w:p>
            <w:pPr>
              <w:spacing w:after="0" w:line="196" w:lineRule="exact"/>
              <w:rPr>
                <w:rFonts w:ascii="Arial" w:cs="Arial" w:eastAsia="Arial" w:hAnsi="Arial"/>
                <w:sz w:val="18"/>
                <w:szCs w:val="18"/>
                <w:color w:val="0000EE"/>
              </w:rPr>
            </w:pPr>
            <w:hyperlink r:id="rId57">
              <w:r>
                <w:rPr>
                  <w:rFonts w:ascii="Arial" w:cs="Arial" w:eastAsia="Arial" w:hAnsi="Arial"/>
                  <w:sz w:val="18"/>
                  <w:szCs w:val="18"/>
                  <w:color w:val="0000EE"/>
                </w:rPr>
                <w:t>on October 10, 2023)</w:t>
              </w:r>
            </w:hyperlink>
          </w:p>
        </w:tc>
      </w:tr>
      <w:tr>
        <w:trPr>
          <w:trHeight w:val="250"/>
        </w:trPr>
        <w:tc>
          <w:tcPr>
            <w:tcW w:w="10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0000EE"/>
            </w:tcBorders>
            <w:shd w:val="clear" w:color="auto" w:fill="CCEEFF"/>
          </w:tcPr>
          <w:p>
            <w:pPr>
              <w:spacing w:after="0"/>
              <w:rPr>
                <w:sz w:val="21"/>
                <w:szCs w:val="21"/>
                <w:color w:val="auto"/>
              </w:rPr>
            </w:pPr>
          </w:p>
        </w:tc>
        <w:tc>
          <w:tcPr>
            <w:tcW w:w="220" w:type="dxa"/>
            <w:vAlign w:val="bottom"/>
            <w:tcBorders>
              <w:top w:val="single" w:sz="8" w:color="0000EE"/>
            </w:tcBorders>
            <w:shd w:val="clear" w:color="auto" w:fill="CCEEFF"/>
          </w:tcPr>
          <w:p>
            <w:pPr>
              <w:spacing w:after="0"/>
              <w:rPr>
                <w:sz w:val="21"/>
                <w:szCs w:val="21"/>
                <w:color w:val="auto"/>
              </w:rPr>
            </w:pPr>
          </w:p>
        </w:tc>
        <w:tc>
          <w:tcPr>
            <w:tcW w:w="220" w:type="dxa"/>
            <w:vAlign w:val="bottom"/>
            <w:tcBorders>
              <w:top w:val="single" w:sz="8" w:color="0000EE"/>
            </w:tcBorders>
            <w:shd w:val="clear" w:color="auto" w:fill="CCEEFF"/>
          </w:tcPr>
          <w:p>
            <w:pPr>
              <w:spacing w:after="0"/>
              <w:rPr>
                <w:sz w:val="21"/>
                <w:szCs w:val="21"/>
                <w:color w:val="auto"/>
              </w:rPr>
            </w:pPr>
          </w:p>
        </w:tc>
        <w:tc>
          <w:tcPr>
            <w:tcW w:w="5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560" w:type="dxa"/>
            <w:vAlign w:val="bottom"/>
            <w:tcBorders>
              <w:top w:val="single" w:sz="8" w:color="CCEEFF"/>
            </w:tcBorders>
            <w:shd w:val="clear" w:color="auto" w:fill="CCEEFF"/>
          </w:tcPr>
          <w:p>
            <w:pPr>
              <w:spacing w:after="0"/>
              <w:rPr>
                <w:sz w:val="21"/>
                <w:szCs w:val="21"/>
                <w:color w:val="auto"/>
              </w:rPr>
            </w:pPr>
          </w:p>
        </w:tc>
        <w:tc>
          <w:tcPr>
            <w:tcW w:w="6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CCEEFF"/>
            </w:tcBorders>
            <w:shd w:val="clear" w:color="auto" w:fill="CCEEFF"/>
          </w:tcPr>
          <w:p>
            <w:pPr>
              <w:spacing w:after="0"/>
              <w:rPr>
                <w:sz w:val="21"/>
                <w:szCs w:val="21"/>
                <w:color w:val="auto"/>
              </w:rPr>
            </w:pPr>
          </w:p>
        </w:tc>
        <w:tc>
          <w:tcPr>
            <w:tcW w:w="980" w:type="dxa"/>
            <w:vAlign w:val="bottom"/>
            <w:tcBorders>
              <w:top w:val="single" w:sz="8" w:color="CCEEFF"/>
            </w:tcBorders>
            <w:shd w:val="clear" w:color="auto" w:fill="CCEEFF"/>
          </w:tcPr>
          <w:p>
            <w:pPr>
              <w:spacing w:after="0"/>
              <w:rPr>
                <w:sz w:val="21"/>
                <w:szCs w:val="21"/>
                <w:color w:val="auto"/>
              </w:rPr>
            </w:pPr>
          </w:p>
        </w:tc>
        <w:tc>
          <w:tcPr>
            <w:tcW w:w="56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r>
      <w:tr>
        <w:trPr>
          <w:trHeight w:val="162"/>
        </w:trPr>
        <w:tc>
          <w:tcPr>
            <w:tcW w:w="1040" w:type="dxa"/>
            <w:vAlign w:val="bottom"/>
          </w:tcPr>
          <w:p>
            <w:pPr>
              <w:spacing w:after="0" w:line="142" w:lineRule="exact"/>
              <w:rPr>
                <w:sz w:val="20"/>
                <w:szCs w:val="20"/>
                <w:color w:val="auto"/>
              </w:rPr>
            </w:pPr>
            <w:r>
              <w:rPr>
                <w:rFonts w:ascii="Arial" w:cs="Arial" w:eastAsia="Arial" w:hAnsi="Arial"/>
                <w:sz w:val="16"/>
                <w:szCs w:val="16"/>
                <w:color w:val="auto"/>
              </w:rPr>
              <w:t>31.1</w:t>
            </w:r>
          </w:p>
        </w:tc>
        <w:tc>
          <w:tcPr>
            <w:tcW w:w="7180" w:type="dxa"/>
            <w:vAlign w:val="bottom"/>
            <w:tcBorders>
              <w:bottom w:val="single" w:sz="8" w:color="0000EE"/>
            </w:tcBorders>
            <w:gridSpan w:val="19"/>
          </w:tcPr>
          <w:p>
            <w:pPr>
              <w:spacing w:after="0" w:line="142" w:lineRule="exact"/>
              <w:rPr>
                <w:rFonts w:ascii="Arial" w:cs="Arial" w:eastAsia="Arial" w:hAnsi="Arial"/>
                <w:sz w:val="16"/>
                <w:szCs w:val="16"/>
                <w:color w:val="0000EE"/>
              </w:rPr>
            </w:pPr>
            <w:hyperlink r:id="rId58">
              <w:r>
                <w:rPr>
                  <w:rFonts w:ascii="Arial" w:cs="Arial" w:eastAsia="Arial" w:hAnsi="Arial"/>
                  <w:sz w:val="16"/>
                  <w:szCs w:val="16"/>
                  <w:color w:val="0000EE"/>
                </w:rPr>
                <w:t>Certfcaton of Chief Executve Ofcer (Principal Executve Ofcer) Pursuant to Rules 13a-14(a) and</w:t>
              </w:r>
            </w:hyperlink>
          </w:p>
        </w:tc>
        <w:tc>
          <w:tcPr>
            <w:tcW w:w="360" w:type="dxa"/>
            <w:vAlign w:val="bottom"/>
            <w:gridSpan w:val="11"/>
          </w:tcPr>
          <w:p>
            <w:pPr>
              <w:spacing w:after="0"/>
              <w:rPr>
                <w:sz w:val="14"/>
                <w:szCs w:val="14"/>
                <w:color w:val="auto"/>
              </w:rPr>
            </w:pPr>
          </w:p>
        </w:tc>
      </w:tr>
      <w:tr>
        <w:trPr>
          <w:trHeight w:val="196"/>
        </w:trPr>
        <w:tc>
          <w:tcPr>
            <w:tcW w:w="1040" w:type="dxa"/>
            <w:vAlign w:val="bottom"/>
          </w:tcPr>
          <w:p>
            <w:pPr>
              <w:spacing w:after="0"/>
              <w:rPr>
                <w:sz w:val="17"/>
                <w:szCs w:val="17"/>
                <w:color w:val="auto"/>
              </w:rPr>
            </w:pPr>
          </w:p>
        </w:tc>
        <w:tc>
          <w:tcPr>
            <w:tcW w:w="700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58">
              <w:r>
                <w:rPr>
                  <w:rFonts w:ascii="Arial" w:cs="Arial" w:eastAsia="Arial" w:hAnsi="Arial"/>
                  <w:sz w:val="18"/>
                  <w:szCs w:val="18"/>
                  <w:color w:val="0000EE"/>
                  <w:w w:val="91"/>
                </w:rPr>
                <w:t>15d-14(a) under the Securites Exchange Act of 1934, as Adopted Pursuant to Secton 302 of the</w:t>
              </w:r>
            </w:hyperlink>
          </w:p>
        </w:tc>
        <w:tc>
          <w:tcPr>
            <w:tcW w:w="540" w:type="dxa"/>
            <w:vAlign w:val="bottom"/>
            <w:gridSpan w:val="13"/>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7540" w:type="dxa"/>
            <w:vAlign w:val="bottom"/>
            <w:gridSpan w:val="30"/>
          </w:tcPr>
          <w:p>
            <w:pPr>
              <w:spacing w:after="0" w:line="196" w:lineRule="exact"/>
              <w:rPr>
                <w:rFonts w:ascii="Arial" w:cs="Arial" w:eastAsia="Arial" w:hAnsi="Arial"/>
                <w:sz w:val="18"/>
                <w:szCs w:val="18"/>
                <w:color w:val="0000EE"/>
                <w:w w:val="93"/>
              </w:rPr>
            </w:pPr>
            <w:hyperlink r:id="rId58">
              <w:r>
                <w:rPr>
                  <w:rFonts w:ascii="Arial" w:cs="Arial" w:eastAsia="Arial" w:hAnsi="Arial"/>
                  <w:sz w:val="18"/>
                  <w:szCs w:val="18"/>
                  <w:color w:val="0000EE"/>
                  <w:w w:val="93"/>
                </w:rPr>
                <w:t>Sarbanes-Oxley Act of 2002. (incorporated by reference to Exhibit 31.1 to the Annual Report on Form</w:t>
              </w:r>
            </w:hyperlink>
          </w:p>
        </w:tc>
      </w:tr>
      <w:tr>
        <w:trPr>
          <w:trHeight w:val="183"/>
        </w:trPr>
        <w:tc>
          <w:tcPr>
            <w:tcW w:w="1040" w:type="dxa"/>
            <w:vAlign w:val="bottom"/>
          </w:tcPr>
          <w:p>
            <w:pPr>
              <w:spacing w:after="0"/>
              <w:rPr>
                <w:sz w:val="15"/>
                <w:szCs w:val="15"/>
                <w:color w:val="auto"/>
              </w:rPr>
            </w:pPr>
          </w:p>
        </w:tc>
        <w:tc>
          <w:tcPr>
            <w:tcW w:w="736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r:id="rId58">
              <w:r>
                <w:rPr>
                  <w:rFonts w:ascii="Arial" w:cs="Arial" w:eastAsia="Arial" w:hAnsi="Arial"/>
                  <w:sz w:val="18"/>
                  <w:szCs w:val="18"/>
                  <w:color w:val="0000EE"/>
                </w:rPr>
                <w:t>10-K fled on October 10, 2023)</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34"/>
        </w:trPr>
        <w:tc>
          <w:tcPr>
            <w:tcW w:w="1040" w:type="dxa"/>
            <w:vAlign w:val="bottom"/>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62"/>
        </w:trPr>
        <w:tc>
          <w:tcPr>
            <w:tcW w:w="104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6"/>
                <w:szCs w:val="16"/>
                <w:color w:val="auto"/>
              </w:rPr>
              <w:t>31.2</w:t>
            </w:r>
          </w:p>
        </w:tc>
        <w:tc>
          <w:tcPr>
            <w:tcW w:w="7200" w:type="dxa"/>
            <w:vAlign w:val="bottom"/>
            <w:tcBorders>
              <w:bottom w:val="single" w:sz="8" w:color="0000EE"/>
            </w:tcBorders>
            <w:gridSpan w:val="20"/>
            <w:shd w:val="clear" w:color="auto" w:fill="CCEEFF"/>
          </w:tcPr>
          <w:p>
            <w:pPr>
              <w:spacing w:after="0" w:line="142" w:lineRule="exact"/>
              <w:rPr>
                <w:rFonts w:ascii="Arial" w:cs="Arial" w:eastAsia="Arial" w:hAnsi="Arial"/>
                <w:sz w:val="16"/>
                <w:szCs w:val="16"/>
                <w:color w:val="0000EE"/>
              </w:rPr>
            </w:pPr>
            <w:hyperlink r:id="rId59">
              <w:r>
                <w:rPr>
                  <w:rFonts w:ascii="Arial" w:cs="Arial" w:eastAsia="Arial" w:hAnsi="Arial"/>
                  <w:sz w:val="16"/>
                  <w:szCs w:val="16"/>
                  <w:color w:val="0000EE"/>
                </w:rPr>
                <w:t>Certfcaton of Chief Financial Ofcer (Principal Financial and Accountng Ofcer) Pursuant to Rules</w:t>
              </w:r>
            </w:hyperlink>
          </w:p>
        </w:tc>
        <w:tc>
          <w:tcPr>
            <w:tcW w:w="340" w:type="dxa"/>
            <w:vAlign w:val="bottom"/>
            <w:tcBorders>
              <w:bottom w:val="single" w:sz="8" w:color="CCEEFF"/>
            </w:tcBorders>
            <w:gridSpan w:val="10"/>
            <w:shd w:val="clear" w:color="auto" w:fill="CCEEFF"/>
          </w:tcPr>
          <w:p>
            <w:pPr>
              <w:spacing w:after="0"/>
              <w:rPr>
                <w:sz w:val="14"/>
                <w:szCs w:val="14"/>
                <w:color w:val="auto"/>
              </w:rPr>
            </w:pPr>
          </w:p>
        </w:tc>
      </w:tr>
      <w:tr>
        <w:trPr>
          <w:trHeight w:val="196"/>
        </w:trPr>
        <w:tc>
          <w:tcPr>
            <w:tcW w:w="1040" w:type="dxa"/>
            <w:vAlign w:val="bottom"/>
            <w:shd w:val="clear" w:color="auto" w:fill="CCEEFF"/>
          </w:tcPr>
          <w:p>
            <w:pPr>
              <w:spacing w:after="0"/>
              <w:rPr>
                <w:sz w:val="17"/>
                <w:szCs w:val="17"/>
                <w:color w:val="auto"/>
              </w:rPr>
            </w:pPr>
          </w:p>
        </w:tc>
        <w:tc>
          <w:tcPr>
            <w:tcW w:w="7540" w:type="dxa"/>
            <w:vAlign w:val="bottom"/>
            <w:gridSpan w:val="30"/>
            <w:shd w:val="clear" w:color="auto" w:fill="CCEEFF"/>
          </w:tcPr>
          <w:p>
            <w:pPr>
              <w:spacing w:after="0" w:line="196" w:lineRule="exact"/>
              <w:rPr>
                <w:rFonts w:ascii="Arial" w:cs="Arial" w:eastAsia="Arial" w:hAnsi="Arial"/>
                <w:sz w:val="18"/>
                <w:szCs w:val="18"/>
                <w:color w:val="0000EE"/>
                <w:w w:val="94"/>
              </w:rPr>
            </w:pPr>
            <w:hyperlink r:id="rId59">
              <w:r>
                <w:rPr>
                  <w:rFonts w:ascii="Arial" w:cs="Arial" w:eastAsia="Arial" w:hAnsi="Arial"/>
                  <w:sz w:val="18"/>
                  <w:szCs w:val="18"/>
                  <w:color w:val="0000EE"/>
                  <w:w w:val="94"/>
                </w:rPr>
                <w:t>13a-14(a) and 15d-14(a) under the Securites Exchange Act of 1934, as Adopted Pursuant to Secton</w:t>
              </w:r>
            </w:hyperlink>
          </w:p>
        </w:tc>
      </w:tr>
      <w:tr>
        <w:trPr>
          <w:trHeight w:val="20"/>
        </w:trPr>
        <w:tc>
          <w:tcPr>
            <w:tcW w:w="1040" w:type="dxa"/>
            <w:vAlign w:val="bottom"/>
            <w:shd w:val="clear" w:color="auto" w:fill="CCEEFF"/>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232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7540" w:type="dxa"/>
            <w:vAlign w:val="bottom"/>
            <w:gridSpan w:val="30"/>
            <w:shd w:val="clear" w:color="auto" w:fill="CCEEFF"/>
          </w:tcPr>
          <w:p>
            <w:pPr>
              <w:spacing w:after="0" w:line="196" w:lineRule="exact"/>
              <w:rPr>
                <w:rFonts w:ascii="Arial" w:cs="Arial" w:eastAsia="Arial" w:hAnsi="Arial"/>
                <w:sz w:val="18"/>
                <w:szCs w:val="18"/>
                <w:color w:val="0000EE"/>
                <w:w w:val="91"/>
              </w:rPr>
            </w:pPr>
            <w:hyperlink r:id="rId59">
              <w:r>
                <w:rPr>
                  <w:rFonts w:ascii="Arial" w:cs="Arial" w:eastAsia="Arial" w:hAnsi="Arial"/>
                  <w:sz w:val="18"/>
                  <w:szCs w:val="18"/>
                  <w:color w:val="0000EE"/>
                  <w:w w:val="91"/>
                </w:rPr>
                <w:t>302 of the Sarbanes-Oxley Act of 2002. (incorporated by reference to Exhibit 31.2 to the Annual Report</w:t>
              </w:r>
            </w:hyperlink>
          </w:p>
        </w:tc>
      </w:tr>
      <w:tr>
        <w:trPr>
          <w:trHeight w:val="217"/>
        </w:trPr>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2980" w:type="dxa"/>
            <w:vAlign w:val="bottom"/>
            <w:tcBorders>
              <w:top w:val="single" w:sz="8" w:color="0000EE"/>
              <w:bottom w:val="single" w:sz="8" w:color="0000EE"/>
            </w:tcBorders>
            <w:gridSpan w:val="10"/>
            <w:shd w:val="clear" w:color="auto" w:fill="CCEEFF"/>
          </w:tcPr>
          <w:p>
            <w:pPr>
              <w:spacing w:after="0" w:line="182" w:lineRule="exact"/>
              <w:rPr>
                <w:rFonts w:ascii="Arial" w:cs="Arial" w:eastAsia="Arial" w:hAnsi="Arial"/>
                <w:sz w:val="18"/>
                <w:szCs w:val="18"/>
                <w:color w:val="0000EE"/>
                <w:w w:val="91"/>
              </w:rPr>
            </w:pPr>
            <w:hyperlink r:id="rId59">
              <w:r>
                <w:rPr>
                  <w:rFonts w:ascii="Arial" w:cs="Arial" w:eastAsia="Arial" w:hAnsi="Arial"/>
                  <w:sz w:val="18"/>
                  <w:szCs w:val="18"/>
                  <w:color w:val="0000EE"/>
                  <w:w w:val="91"/>
                </w:rPr>
                <w:t>on Form 10-K fled on October 10, 2023).</w:t>
              </w:r>
            </w:hyperlink>
          </w:p>
        </w:tc>
        <w:tc>
          <w:tcPr>
            <w:tcW w:w="4520" w:type="dxa"/>
            <w:vAlign w:val="bottom"/>
            <w:tcBorders>
              <w:top w:val="single" w:sz="8" w:color="0000EE"/>
              <w:bottom w:val="single" w:sz="8" w:color="CCEEFF"/>
            </w:tcBorders>
            <w:gridSpan w:val="19"/>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62"/>
        </w:trPr>
        <w:tc>
          <w:tcPr>
            <w:tcW w:w="1040" w:type="dxa"/>
            <w:vAlign w:val="bottom"/>
          </w:tcPr>
          <w:p>
            <w:pPr>
              <w:spacing w:after="0" w:line="142" w:lineRule="exact"/>
              <w:rPr>
                <w:sz w:val="20"/>
                <w:szCs w:val="20"/>
                <w:color w:val="auto"/>
              </w:rPr>
            </w:pPr>
            <w:r>
              <w:rPr>
                <w:rFonts w:ascii="Arial" w:cs="Arial" w:eastAsia="Arial" w:hAnsi="Arial"/>
                <w:sz w:val="16"/>
                <w:szCs w:val="16"/>
                <w:color w:val="auto"/>
              </w:rPr>
              <w:t>31.3*</w:t>
            </w:r>
          </w:p>
        </w:tc>
        <w:tc>
          <w:tcPr>
            <w:tcW w:w="7180" w:type="dxa"/>
            <w:vAlign w:val="bottom"/>
            <w:tcBorders>
              <w:bottom w:val="single" w:sz="8" w:color="0000EE"/>
            </w:tcBorders>
            <w:gridSpan w:val="19"/>
          </w:tcPr>
          <w:p>
            <w:pPr>
              <w:spacing w:after="0" w:line="142" w:lineRule="exact"/>
              <w:rPr>
                <w:sz w:val="20"/>
                <w:szCs w:val="20"/>
                <w:color w:val="auto"/>
              </w:rPr>
            </w:pPr>
            <w:r>
              <w:rPr>
                <w:rFonts w:ascii="Arial" w:cs="Arial" w:eastAsia="Arial" w:hAnsi="Arial"/>
                <w:sz w:val="16"/>
                <w:szCs w:val="16"/>
                <w:color w:val="0000EE"/>
              </w:rPr>
              <w:t>Certfcaton of Chief Executve Ofcer (Principal Executve Ofcer) Pursuant to Rules 13a-14(a) and</w:t>
            </w:r>
          </w:p>
        </w:tc>
        <w:tc>
          <w:tcPr>
            <w:tcW w:w="360" w:type="dxa"/>
            <w:vAlign w:val="bottom"/>
            <w:gridSpan w:val="11"/>
          </w:tcPr>
          <w:p>
            <w:pPr>
              <w:spacing w:after="0"/>
              <w:rPr>
                <w:sz w:val="14"/>
                <w:szCs w:val="14"/>
                <w:color w:val="auto"/>
              </w:rPr>
            </w:pPr>
          </w:p>
        </w:tc>
      </w:tr>
      <w:tr>
        <w:trPr>
          <w:trHeight w:val="196"/>
        </w:trPr>
        <w:tc>
          <w:tcPr>
            <w:tcW w:w="1040" w:type="dxa"/>
            <w:vAlign w:val="bottom"/>
          </w:tcPr>
          <w:p>
            <w:pPr>
              <w:spacing w:after="0"/>
              <w:rPr>
                <w:sz w:val="17"/>
                <w:szCs w:val="17"/>
                <w:color w:val="auto"/>
              </w:rPr>
            </w:pPr>
          </w:p>
        </w:tc>
        <w:tc>
          <w:tcPr>
            <w:tcW w:w="698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91"/>
              </w:rPr>
              <w:t>15d-14(a) under the Securites Exchange Act of 1934, as Adopted Pursuant to Secton 302 of the</w:t>
            </w:r>
          </w:p>
        </w:tc>
        <w:tc>
          <w:tcPr>
            <w:tcW w:w="560" w:type="dxa"/>
            <w:vAlign w:val="bottom"/>
            <w:gridSpan w:val="14"/>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7540" w:type="dxa"/>
            <w:vAlign w:val="bottom"/>
            <w:gridSpan w:val="30"/>
          </w:tcPr>
          <w:p>
            <w:pPr>
              <w:spacing w:after="0" w:line="196" w:lineRule="exact"/>
              <w:rPr>
                <w:sz w:val="20"/>
                <w:szCs w:val="20"/>
                <w:color w:val="auto"/>
              </w:rPr>
            </w:pPr>
            <w:r>
              <w:rPr>
                <w:rFonts w:ascii="Arial" w:cs="Arial" w:eastAsia="Arial" w:hAnsi="Arial"/>
                <w:sz w:val="18"/>
                <w:szCs w:val="18"/>
                <w:color w:val="0000EE"/>
              </w:rPr>
              <w:t>Sarbanes-Oxley Act of 2002.</w:t>
            </w:r>
          </w:p>
        </w:tc>
      </w:tr>
      <w:tr>
        <w:trPr>
          <w:trHeight w:val="34"/>
        </w:trPr>
        <w:tc>
          <w:tcPr>
            <w:tcW w:w="1040" w:type="dxa"/>
            <w:vAlign w:val="bottom"/>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62"/>
        </w:trPr>
        <w:tc>
          <w:tcPr>
            <w:tcW w:w="104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6"/>
                <w:szCs w:val="16"/>
                <w:color w:val="auto"/>
              </w:rPr>
              <w:t>31.4*</w:t>
            </w:r>
          </w:p>
        </w:tc>
        <w:tc>
          <w:tcPr>
            <w:tcW w:w="7200" w:type="dxa"/>
            <w:vAlign w:val="bottom"/>
            <w:tcBorders>
              <w:bottom w:val="single" w:sz="8" w:color="0000EE"/>
            </w:tcBorders>
            <w:gridSpan w:val="20"/>
            <w:shd w:val="clear" w:color="auto" w:fill="CCEEFF"/>
          </w:tcPr>
          <w:p>
            <w:pPr>
              <w:spacing w:after="0" w:line="142" w:lineRule="exact"/>
              <w:rPr>
                <w:sz w:val="20"/>
                <w:szCs w:val="20"/>
                <w:color w:val="auto"/>
              </w:rPr>
            </w:pPr>
            <w:r>
              <w:rPr>
                <w:rFonts w:ascii="Arial" w:cs="Arial" w:eastAsia="Arial" w:hAnsi="Arial"/>
                <w:sz w:val="16"/>
                <w:szCs w:val="16"/>
                <w:color w:val="0000EE"/>
              </w:rPr>
              <w:t>Certfcaton of Chief Financial Ofcer (Principal Financial and Accountng Ofcer) Pursuant to Rules</w:t>
            </w:r>
          </w:p>
        </w:tc>
        <w:tc>
          <w:tcPr>
            <w:tcW w:w="340" w:type="dxa"/>
            <w:vAlign w:val="bottom"/>
            <w:tcBorders>
              <w:bottom w:val="single" w:sz="8" w:color="CCEEFF"/>
            </w:tcBorders>
            <w:gridSpan w:val="10"/>
            <w:shd w:val="clear" w:color="auto" w:fill="CCEEFF"/>
          </w:tcPr>
          <w:p>
            <w:pPr>
              <w:spacing w:after="0"/>
              <w:rPr>
                <w:sz w:val="14"/>
                <w:szCs w:val="14"/>
                <w:color w:val="auto"/>
              </w:rPr>
            </w:pPr>
          </w:p>
        </w:tc>
      </w:tr>
      <w:tr>
        <w:trPr>
          <w:trHeight w:val="196"/>
        </w:trPr>
        <w:tc>
          <w:tcPr>
            <w:tcW w:w="1040" w:type="dxa"/>
            <w:vAlign w:val="bottom"/>
            <w:shd w:val="clear" w:color="auto" w:fill="CCEEFF"/>
          </w:tcPr>
          <w:p>
            <w:pPr>
              <w:spacing w:after="0"/>
              <w:rPr>
                <w:sz w:val="17"/>
                <w:szCs w:val="17"/>
                <w:color w:val="auto"/>
              </w:rPr>
            </w:pPr>
          </w:p>
        </w:tc>
        <w:tc>
          <w:tcPr>
            <w:tcW w:w="7540" w:type="dxa"/>
            <w:vAlign w:val="bottom"/>
            <w:gridSpan w:val="30"/>
            <w:shd w:val="clear" w:color="auto" w:fill="CCEEFF"/>
          </w:tcPr>
          <w:p>
            <w:pPr>
              <w:spacing w:after="0" w:line="196" w:lineRule="exact"/>
              <w:rPr>
                <w:sz w:val="20"/>
                <w:szCs w:val="20"/>
                <w:color w:val="auto"/>
              </w:rPr>
            </w:pPr>
            <w:r>
              <w:rPr>
                <w:rFonts w:ascii="Arial" w:cs="Arial" w:eastAsia="Arial" w:hAnsi="Arial"/>
                <w:sz w:val="18"/>
                <w:szCs w:val="18"/>
                <w:color w:val="0000EE"/>
                <w:w w:val="94"/>
              </w:rPr>
              <w:t>13a-14(a) and 15d-14(a) under the Securites Exchange Act of 1934, as Adopted Pursuant to Secton</w:t>
            </w:r>
          </w:p>
        </w:tc>
      </w:tr>
      <w:tr>
        <w:trPr>
          <w:trHeight w:val="230"/>
        </w:trPr>
        <w:tc>
          <w:tcPr>
            <w:tcW w:w="1040" w:type="dxa"/>
            <w:vAlign w:val="bottom"/>
            <w:tcBorders>
              <w:top w:val="single" w:sz="8" w:color="CCEEFF"/>
              <w:bottom w:val="single" w:sz="8" w:color="CCEEFF"/>
            </w:tcBorders>
            <w:shd w:val="clear" w:color="auto" w:fill="CCEEFF"/>
          </w:tcPr>
          <w:p>
            <w:pPr>
              <w:spacing w:after="0"/>
              <w:rPr>
                <w:sz w:val="20"/>
                <w:szCs w:val="20"/>
                <w:color w:val="auto"/>
              </w:rPr>
            </w:pPr>
          </w:p>
        </w:tc>
        <w:tc>
          <w:tcPr>
            <w:tcW w:w="2840" w:type="dxa"/>
            <w:vAlign w:val="bottom"/>
            <w:tcBorders>
              <w:top w:val="single" w:sz="8" w:color="0000EE"/>
              <w:bottom w:val="single" w:sz="8" w:color="0000EE"/>
            </w:tcBorders>
            <w:gridSpan w:val="8"/>
            <w:shd w:val="clear" w:color="auto" w:fill="CCEEFF"/>
          </w:tcPr>
          <w:p>
            <w:pPr>
              <w:spacing w:after="0" w:line="196" w:lineRule="exact"/>
              <w:rPr>
                <w:sz w:val="20"/>
                <w:szCs w:val="20"/>
                <w:color w:val="auto"/>
              </w:rPr>
            </w:pPr>
            <w:r>
              <w:rPr>
                <w:rFonts w:ascii="Arial" w:cs="Arial" w:eastAsia="Arial" w:hAnsi="Arial"/>
                <w:sz w:val="18"/>
                <w:szCs w:val="18"/>
                <w:color w:val="0000EE"/>
                <w:w w:val="89"/>
              </w:rPr>
              <w:t>302 of the Sarbanes-Oxley Act of 2002.</w:t>
            </w:r>
          </w:p>
        </w:tc>
        <w:tc>
          <w:tcPr>
            <w:tcW w:w="4400" w:type="dxa"/>
            <w:vAlign w:val="bottom"/>
            <w:tcBorders>
              <w:top w:val="single" w:sz="8" w:color="0000EE"/>
              <w:bottom w:val="single" w:sz="8" w:color="CCEEFF"/>
            </w:tcBorders>
            <w:gridSpan w:val="13"/>
            <w:shd w:val="clear" w:color="auto" w:fill="CCEEFF"/>
          </w:tcPr>
          <w:p>
            <w:pPr>
              <w:spacing w:after="0"/>
              <w:rPr>
                <w:sz w:val="20"/>
                <w:szCs w:val="20"/>
                <w:color w:val="auto"/>
              </w:rPr>
            </w:pPr>
          </w:p>
        </w:tc>
        <w:tc>
          <w:tcPr>
            <w:tcW w:w="300" w:type="dxa"/>
            <w:vAlign w:val="bottom"/>
            <w:tcBorders>
              <w:top w:val="single" w:sz="8" w:color="CCEEFF"/>
              <w:bottom w:val="single" w:sz="8" w:color="CCEEFF"/>
            </w:tcBorders>
            <w:gridSpan w:val="9"/>
            <w:shd w:val="clear" w:color="auto" w:fill="CCEEFF"/>
          </w:tcPr>
          <w:p>
            <w:pPr>
              <w:spacing w:after="0"/>
              <w:rPr>
                <w:sz w:val="20"/>
                <w:szCs w:val="20"/>
                <w:color w:val="auto"/>
              </w:rPr>
            </w:pPr>
          </w:p>
        </w:tc>
      </w:tr>
      <w:tr>
        <w:trPr>
          <w:trHeight w:val="162"/>
        </w:trPr>
        <w:tc>
          <w:tcPr>
            <w:tcW w:w="1040" w:type="dxa"/>
            <w:vAlign w:val="bottom"/>
          </w:tcPr>
          <w:p>
            <w:pPr>
              <w:spacing w:after="0" w:line="142" w:lineRule="exact"/>
              <w:rPr>
                <w:sz w:val="20"/>
                <w:szCs w:val="20"/>
                <w:color w:val="auto"/>
              </w:rPr>
            </w:pPr>
            <w:r>
              <w:rPr>
                <w:rFonts w:ascii="Arial" w:cs="Arial" w:eastAsia="Arial" w:hAnsi="Arial"/>
                <w:sz w:val="16"/>
                <w:szCs w:val="16"/>
                <w:color w:val="auto"/>
              </w:rPr>
              <w:t>32.1**</w:t>
            </w:r>
          </w:p>
        </w:tc>
        <w:tc>
          <w:tcPr>
            <w:tcW w:w="7540" w:type="dxa"/>
            <w:vAlign w:val="bottom"/>
            <w:gridSpan w:val="30"/>
          </w:tcPr>
          <w:p>
            <w:pPr>
              <w:spacing w:after="0" w:line="142" w:lineRule="exact"/>
              <w:rPr>
                <w:rFonts w:ascii="Arial" w:cs="Arial" w:eastAsia="Arial" w:hAnsi="Arial"/>
                <w:sz w:val="16"/>
                <w:szCs w:val="16"/>
                <w:color w:val="0000EE"/>
              </w:rPr>
            </w:pPr>
            <w:hyperlink r:id="rId60">
              <w:r>
                <w:rPr>
                  <w:rFonts w:ascii="Arial" w:cs="Arial" w:eastAsia="Arial" w:hAnsi="Arial"/>
                  <w:sz w:val="16"/>
                  <w:szCs w:val="16"/>
                  <w:color w:val="0000EE"/>
                </w:rPr>
                <w:t>Certfcaton of Chief Executve Ofcer (Principal Executve Ofcer) Pursuant to 18 U.S.C. Secton 1350,</w:t>
              </w:r>
            </w:hyperlink>
          </w:p>
        </w:tc>
      </w:tr>
      <w:tr>
        <w:trPr>
          <w:trHeight w:val="209"/>
        </w:trPr>
        <w:tc>
          <w:tcPr>
            <w:tcW w:w="1040" w:type="dxa"/>
            <w:vAlign w:val="bottom"/>
          </w:tcPr>
          <w:p>
            <w:pPr>
              <w:spacing w:after="0"/>
              <w:rPr>
                <w:sz w:val="18"/>
                <w:szCs w:val="18"/>
                <w:color w:val="auto"/>
              </w:rPr>
            </w:pPr>
          </w:p>
        </w:tc>
        <w:tc>
          <w:tcPr>
            <w:tcW w:w="7380" w:type="dxa"/>
            <w:vAlign w:val="bottom"/>
            <w:tcBorders>
              <w:top w:val="single" w:sz="8" w:color="0000EE"/>
              <w:bottom w:val="single" w:sz="8" w:color="0000EE"/>
            </w:tcBorders>
            <w:gridSpan w:val="23"/>
          </w:tcPr>
          <w:p>
            <w:pPr>
              <w:spacing w:after="0"/>
              <w:rPr>
                <w:rFonts w:ascii="Arial" w:cs="Arial" w:eastAsia="Arial" w:hAnsi="Arial"/>
                <w:sz w:val="18"/>
                <w:szCs w:val="18"/>
                <w:color w:val="0000EE"/>
                <w:w w:val="91"/>
              </w:rPr>
            </w:pPr>
            <w:hyperlink r:id="rId60">
              <w:r>
                <w:rPr>
                  <w:rFonts w:ascii="Arial" w:cs="Arial" w:eastAsia="Arial" w:hAnsi="Arial"/>
                  <w:sz w:val="18"/>
                  <w:szCs w:val="18"/>
                  <w:color w:val="0000EE"/>
                  <w:w w:val="91"/>
                </w:rPr>
                <w:t>as Adopted Pursuant to Secton 906 of the Sarbanes-Oxley Act of 2002. (incorporated by reference to</w:t>
              </w:r>
            </w:hyperlink>
          </w:p>
        </w:tc>
        <w:tc>
          <w:tcPr>
            <w:tcW w:w="20" w:type="dxa"/>
            <w:vAlign w:val="bottom"/>
            <w:tcBorders>
              <w:top w:val="single" w:sz="8" w:color="0000EE"/>
            </w:tcBorders>
          </w:tcPr>
          <w:p>
            <w:pPr>
              <w:spacing w:after="0"/>
              <w:rPr>
                <w:sz w:val="18"/>
                <w:szCs w:val="18"/>
                <w:color w:val="auto"/>
              </w:rPr>
            </w:pPr>
          </w:p>
        </w:tc>
        <w:tc>
          <w:tcPr>
            <w:tcW w:w="140" w:type="dxa"/>
            <w:vAlign w:val="bottom"/>
            <w:gridSpan w:val="6"/>
          </w:tcPr>
          <w:p>
            <w:pPr>
              <w:spacing w:after="0"/>
              <w:rPr>
                <w:sz w:val="18"/>
                <w:szCs w:val="18"/>
                <w:color w:val="auto"/>
              </w:rPr>
            </w:pPr>
          </w:p>
        </w:tc>
      </w:tr>
      <w:tr>
        <w:trPr>
          <w:trHeight w:val="196"/>
        </w:trPr>
        <w:tc>
          <w:tcPr>
            <w:tcW w:w="1040" w:type="dxa"/>
            <w:vAlign w:val="bottom"/>
          </w:tcPr>
          <w:p>
            <w:pPr>
              <w:spacing w:after="0"/>
              <w:rPr>
                <w:sz w:val="17"/>
                <w:szCs w:val="17"/>
                <w:color w:val="auto"/>
              </w:rPr>
            </w:pPr>
          </w:p>
        </w:tc>
        <w:tc>
          <w:tcPr>
            <w:tcW w:w="7540" w:type="dxa"/>
            <w:vAlign w:val="bottom"/>
            <w:gridSpan w:val="30"/>
          </w:tcPr>
          <w:p>
            <w:pPr>
              <w:spacing w:after="0" w:line="196" w:lineRule="exact"/>
              <w:rPr>
                <w:rFonts w:ascii="Arial" w:cs="Arial" w:eastAsia="Arial" w:hAnsi="Arial"/>
                <w:sz w:val="18"/>
                <w:szCs w:val="18"/>
                <w:color w:val="0000EE"/>
              </w:rPr>
            </w:pPr>
            <w:hyperlink r:id="rId60">
              <w:r>
                <w:rPr>
                  <w:rFonts w:ascii="Arial" w:cs="Arial" w:eastAsia="Arial" w:hAnsi="Arial"/>
                  <w:sz w:val="18"/>
                  <w:szCs w:val="18"/>
                  <w:color w:val="0000EE"/>
                </w:rPr>
                <w:t>Exhibit 32.1 to the Annual Report on Form 10-K fled on October 10, 2023)</w:t>
              </w:r>
            </w:hyperlink>
          </w:p>
        </w:tc>
      </w:tr>
      <w:tr>
        <w:trPr>
          <w:trHeight w:val="34"/>
        </w:trPr>
        <w:tc>
          <w:tcPr>
            <w:tcW w:w="1040" w:type="dxa"/>
            <w:vAlign w:val="bottom"/>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56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62"/>
        </w:trPr>
        <w:tc>
          <w:tcPr>
            <w:tcW w:w="104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6"/>
                <w:szCs w:val="16"/>
                <w:color w:val="auto"/>
              </w:rPr>
              <w:t>32.2**</w:t>
            </w:r>
          </w:p>
        </w:tc>
        <w:tc>
          <w:tcPr>
            <w:tcW w:w="7480" w:type="dxa"/>
            <w:vAlign w:val="bottom"/>
            <w:tcBorders>
              <w:bottom w:val="single" w:sz="8" w:color="0000EE"/>
            </w:tcBorders>
            <w:gridSpan w:val="28"/>
            <w:shd w:val="clear" w:color="auto" w:fill="CCEEFF"/>
          </w:tcPr>
          <w:p>
            <w:pPr>
              <w:spacing w:after="0" w:line="142" w:lineRule="exact"/>
              <w:rPr>
                <w:rFonts w:ascii="Arial" w:cs="Arial" w:eastAsia="Arial" w:hAnsi="Arial"/>
                <w:sz w:val="16"/>
                <w:szCs w:val="16"/>
                <w:color w:val="0000EE"/>
              </w:rPr>
            </w:pPr>
            <w:hyperlink r:id="rId61">
              <w:r>
                <w:rPr>
                  <w:rFonts w:ascii="Arial" w:cs="Arial" w:eastAsia="Arial" w:hAnsi="Arial"/>
                  <w:sz w:val="16"/>
                  <w:szCs w:val="16"/>
                  <w:color w:val="0000EE"/>
                </w:rPr>
                <w:t>Certfcaton of Chief Financial Ofcer (Principal Financial and Accountng Ofcer) Pursuant to 18 U.S.C.</w:t>
              </w:r>
            </w:hyperlink>
          </w:p>
        </w:tc>
        <w:tc>
          <w:tcPr>
            <w:tcW w:w="60" w:type="dxa"/>
            <w:vAlign w:val="bottom"/>
            <w:tcBorders>
              <w:bottom w:val="single" w:sz="8" w:color="CCEEFF"/>
            </w:tcBorders>
            <w:gridSpan w:val="2"/>
            <w:shd w:val="clear" w:color="auto" w:fill="CCEEFF"/>
          </w:tcPr>
          <w:p>
            <w:pPr>
              <w:spacing w:after="0"/>
              <w:rPr>
                <w:sz w:val="14"/>
                <w:szCs w:val="14"/>
                <w:color w:val="auto"/>
              </w:rPr>
            </w:pPr>
          </w:p>
        </w:tc>
      </w:tr>
      <w:tr>
        <w:trPr>
          <w:trHeight w:val="210"/>
        </w:trPr>
        <w:tc>
          <w:tcPr>
            <w:tcW w:w="1040" w:type="dxa"/>
            <w:vAlign w:val="bottom"/>
            <w:tcBorders>
              <w:bottom w:val="single" w:sz="8" w:color="CCEEFF"/>
            </w:tcBorders>
            <w:shd w:val="clear" w:color="auto" w:fill="CCEEFF"/>
          </w:tcPr>
          <w:p>
            <w:pPr>
              <w:spacing w:after="0"/>
              <w:rPr>
                <w:sz w:val="18"/>
                <w:szCs w:val="18"/>
                <w:color w:val="auto"/>
              </w:rPr>
            </w:pPr>
          </w:p>
        </w:tc>
        <w:tc>
          <w:tcPr>
            <w:tcW w:w="7460" w:type="dxa"/>
            <w:vAlign w:val="bottom"/>
            <w:tcBorders>
              <w:bottom w:val="single" w:sz="8" w:color="0000EE"/>
            </w:tcBorders>
            <w:gridSpan w:val="27"/>
            <w:shd w:val="clear" w:color="auto" w:fill="CCEEFF"/>
          </w:tcPr>
          <w:p>
            <w:pPr>
              <w:spacing w:after="0"/>
              <w:rPr>
                <w:rFonts w:ascii="Arial" w:cs="Arial" w:eastAsia="Arial" w:hAnsi="Arial"/>
                <w:sz w:val="18"/>
                <w:szCs w:val="18"/>
                <w:color w:val="0000EE"/>
                <w:w w:val="91"/>
              </w:rPr>
            </w:pPr>
            <w:hyperlink r:id="rId61">
              <w:r>
                <w:rPr>
                  <w:rFonts w:ascii="Arial" w:cs="Arial" w:eastAsia="Arial" w:hAnsi="Arial"/>
                  <w:sz w:val="18"/>
                  <w:szCs w:val="18"/>
                  <w:color w:val="0000EE"/>
                  <w:w w:val="91"/>
                </w:rPr>
                <w:t>Secton 1350, as Adopted Pursuant to Secton 906 of the Sarbanes-Oxley Act of 2002. (incorporated by</w:t>
              </w:r>
            </w:hyperlink>
          </w:p>
        </w:tc>
        <w:tc>
          <w:tcPr>
            <w:tcW w:w="80" w:type="dxa"/>
            <w:vAlign w:val="bottom"/>
            <w:tcBorders>
              <w:bottom w:val="single" w:sz="8" w:color="CCEEFF"/>
            </w:tcBorders>
            <w:gridSpan w:val="3"/>
            <w:shd w:val="clear" w:color="auto" w:fill="CCEEFF"/>
          </w:tcPr>
          <w:p>
            <w:pPr>
              <w:spacing w:after="0"/>
              <w:rPr>
                <w:sz w:val="18"/>
                <w:szCs w:val="18"/>
                <w:color w:val="auto"/>
              </w:rPr>
            </w:pPr>
          </w:p>
        </w:tc>
      </w:tr>
      <w:tr>
        <w:trPr>
          <w:trHeight w:val="230"/>
        </w:trPr>
        <w:tc>
          <w:tcPr>
            <w:tcW w:w="1040" w:type="dxa"/>
            <w:vAlign w:val="bottom"/>
            <w:tcBorders>
              <w:bottom w:val="single" w:sz="8" w:color="CCEEFF"/>
            </w:tcBorders>
            <w:shd w:val="clear" w:color="auto" w:fill="CCEEFF"/>
          </w:tcPr>
          <w:p>
            <w:pPr>
              <w:spacing w:after="0"/>
              <w:rPr>
                <w:sz w:val="20"/>
                <w:szCs w:val="20"/>
                <w:color w:val="auto"/>
              </w:rPr>
            </w:pPr>
          </w:p>
        </w:tc>
        <w:tc>
          <w:tcPr>
            <w:tcW w:w="6380" w:type="dxa"/>
            <w:vAlign w:val="bottom"/>
            <w:tcBorders>
              <w:bottom w:val="single" w:sz="8" w:color="0000EE"/>
            </w:tcBorders>
            <w:gridSpan w:val="14"/>
            <w:shd w:val="clear" w:color="auto" w:fill="CCEEFF"/>
          </w:tcPr>
          <w:p>
            <w:pPr>
              <w:spacing w:after="0" w:line="196" w:lineRule="exact"/>
              <w:rPr>
                <w:rFonts w:ascii="Arial" w:cs="Arial" w:eastAsia="Arial" w:hAnsi="Arial"/>
                <w:sz w:val="18"/>
                <w:szCs w:val="18"/>
                <w:color w:val="0000EE"/>
                <w:w w:val="91"/>
              </w:rPr>
            </w:pPr>
            <w:hyperlink r:id="rId61">
              <w:r>
                <w:rPr>
                  <w:rFonts w:ascii="Arial" w:cs="Arial" w:eastAsia="Arial" w:hAnsi="Arial"/>
                  <w:sz w:val="18"/>
                  <w:szCs w:val="18"/>
                  <w:color w:val="0000EE"/>
                  <w:w w:val="91"/>
                </w:rPr>
                <w:t>reference to Exhibit 32.2 to the Annual Report on Form 10-K fled on October 10, 2023).</w:t>
              </w:r>
            </w:hyperlink>
          </w:p>
        </w:tc>
        <w:tc>
          <w:tcPr>
            <w:tcW w:w="1160" w:type="dxa"/>
            <w:vAlign w:val="bottom"/>
            <w:tcBorders>
              <w:bottom w:val="single" w:sz="8" w:color="CCEEFF"/>
            </w:tcBorders>
            <w:gridSpan w:val="16"/>
            <w:shd w:val="clear" w:color="auto" w:fill="CCEEFF"/>
          </w:tcPr>
          <w:p>
            <w:pPr>
              <w:spacing w:after="0"/>
              <w:rPr>
                <w:sz w:val="20"/>
                <w:szCs w:val="20"/>
                <w:color w:val="auto"/>
              </w:rPr>
            </w:pPr>
          </w:p>
        </w:tc>
      </w:tr>
      <w:tr>
        <w:trPr>
          <w:trHeight w:val="162"/>
        </w:trPr>
        <w:tc>
          <w:tcPr>
            <w:tcW w:w="1040" w:type="dxa"/>
            <w:vAlign w:val="bottom"/>
          </w:tcPr>
          <w:p>
            <w:pPr>
              <w:spacing w:after="0" w:line="142" w:lineRule="exact"/>
              <w:rPr>
                <w:sz w:val="20"/>
                <w:szCs w:val="20"/>
                <w:color w:val="auto"/>
              </w:rPr>
            </w:pPr>
            <w:r>
              <w:rPr>
                <w:rFonts w:ascii="Arial" w:cs="Arial" w:eastAsia="Arial" w:hAnsi="Arial"/>
                <w:sz w:val="16"/>
                <w:szCs w:val="16"/>
                <w:color w:val="auto"/>
              </w:rPr>
              <w:t>32.3**</w:t>
            </w:r>
          </w:p>
        </w:tc>
        <w:tc>
          <w:tcPr>
            <w:tcW w:w="7540" w:type="dxa"/>
            <w:vAlign w:val="bottom"/>
            <w:gridSpan w:val="30"/>
          </w:tcPr>
          <w:p>
            <w:pPr>
              <w:spacing w:after="0" w:line="142" w:lineRule="exact"/>
              <w:rPr>
                <w:sz w:val="20"/>
                <w:szCs w:val="20"/>
                <w:color w:val="auto"/>
              </w:rPr>
            </w:pPr>
            <w:r>
              <w:rPr>
                <w:rFonts w:ascii="Arial" w:cs="Arial" w:eastAsia="Arial" w:hAnsi="Arial"/>
                <w:sz w:val="16"/>
                <w:szCs w:val="16"/>
                <w:color w:val="0000EE"/>
              </w:rPr>
              <w:t>Certfcaton of Chief Executve Ofcer (Principal Executve Ofcer) Pursuant to 18 U.S.C. Secton 1350,</w:t>
            </w:r>
          </w:p>
        </w:tc>
      </w:tr>
      <w:tr>
        <w:trPr>
          <w:trHeight w:val="196"/>
        </w:trPr>
        <w:tc>
          <w:tcPr>
            <w:tcW w:w="1040" w:type="dxa"/>
            <w:vAlign w:val="bottom"/>
          </w:tcPr>
          <w:p>
            <w:pPr>
              <w:spacing w:after="0"/>
              <w:rPr>
                <w:sz w:val="17"/>
                <w:szCs w:val="17"/>
                <w:color w:val="auto"/>
              </w:rPr>
            </w:pPr>
          </w:p>
        </w:tc>
        <w:tc>
          <w:tcPr>
            <w:tcW w:w="7400" w:type="dxa"/>
            <w:vAlign w:val="bottom"/>
            <w:tcBorders>
              <w:top w:val="single" w:sz="8" w:color="0000EE"/>
            </w:tcBorders>
            <w:gridSpan w:val="24"/>
          </w:tcPr>
          <w:p>
            <w:pPr>
              <w:spacing w:after="0" w:line="196" w:lineRule="exact"/>
              <w:rPr>
                <w:sz w:val="20"/>
                <w:szCs w:val="20"/>
                <w:color w:val="auto"/>
              </w:rPr>
            </w:pPr>
            <w:r>
              <w:rPr>
                <w:rFonts w:ascii="Arial" w:cs="Arial" w:eastAsia="Arial" w:hAnsi="Arial"/>
                <w:sz w:val="18"/>
                <w:szCs w:val="18"/>
                <w:color w:val="0000EE"/>
              </w:rPr>
              <w:t>as Adopted Pursuant to Secton 906 of the Sarbanes-Oxley Act of 2002.</w:t>
            </w:r>
          </w:p>
        </w:tc>
        <w:tc>
          <w:tcPr>
            <w:tcW w:w="140" w:type="dxa"/>
            <w:vAlign w:val="bottom"/>
            <w:gridSpan w:val="6"/>
          </w:tcPr>
          <w:p>
            <w:pPr>
              <w:spacing w:after="0"/>
              <w:rPr>
                <w:sz w:val="17"/>
                <w:szCs w:val="17"/>
                <w:color w:val="auto"/>
              </w:rPr>
            </w:pPr>
          </w:p>
        </w:tc>
      </w:tr>
      <w:tr>
        <w:trPr>
          <w:trHeight w:val="34"/>
        </w:trPr>
        <w:tc>
          <w:tcPr>
            <w:tcW w:w="1040" w:type="dxa"/>
            <w:vAlign w:val="bottom"/>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56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101.INS*</w:t>
            </w:r>
          </w:p>
        </w:tc>
        <w:tc>
          <w:tcPr>
            <w:tcW w:w="7540" w:type="dxa"/>
            <w:vAlign w:val="bottom"/>
            <w:gridSpan w:val="30"/>
            <w:shd w:val="clear" w:color="auto" w:fill="CCEEFF"/>
          </w:tcPr>
          <w:p>
            <w:pPr>
              <w:spacing w:after="0"/>
              <w:rPr>
                <w:sz w:val="20"/>
                <w:szCs w:val="20"/>
                <w:color w:val="auto"/>
              </w:rPr>
            </w:pPr>
            <w:r>
              <w:rPr>
                <w:rFonts w:ascii="Arial" w:cs="Arial" w:eastAsia="Arial" w:hAnsi="Arial"/>
                <w:sz w:val="18"/>
                <w:szCs w:val="18"/>
                <w:color w:val="auto"/>
              </w:rPr>
              <w:t>Inline XBRL Instance Document.</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7540" w:type="dxa"/>
            <w:vAlign w:val="bottom"/>
            <w:gridSpan w:val="30"/>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101.CAL*</w:t>
            </w:r>
          </w:p>
        </w:tc>
        <w:tc>
          <w:tcPr>
            <w:tcW w:w="7540" w:type="dxa"/>
            <w:vAlign w:val="bottom"/>
            <w:gridSpan w:val="30"/>
            <w:shd w:val="clear" w:color="auto" w:fill="CCEEFF"/>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7540" w:type="dxa"/>
            <w:vAlign w:val="bottom"/>
            <w:gridSpan w:val="30"/>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7540" w:type="dxa"/>
            <w:vAlign w:val="bottom"/>
            <w:gridSpan w:val="30"/>
            <w:shd w:val="clear" w:color="auto" w:fill="CCEEFF"/>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7540" w:type="dxa"/>
            <w:vAlign w:val="bottom"/>
            <w:gridSpan w:val="30"/>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104*</w:t>
            </w:r>
          </w:p>
        </w:tc>
        <w:tc>
          <w:tcPr>
            <w:tcW w:w="7540" w:type="dxa"/>
            <w:vAlign w:val="bottom"/>
            <w:gridSpan w:val="30"/>
            <w:shd w:val="clear" w:color="auto" w:fill="CCEEFF"/>
          </w:tcPr>
          <w:p>
            <w:pPr>
              <w:spacing w:after="0"/>
              <w:rPr>
                <w:sz w:val="20"/>
                <w:szCs w:val="20"/>
                <w:color w:val="auto"/>
              </w:rPr>
            </w:pPr>
            <w:r>
              <w:rPr>
                <w:rFonts w:ascii="Arial" w:cs="Arial" w:eastAsia="Arial" w:hAnsi="Arial"/>
                <w:sz w:val="18"/>
                <w:szCs w:val="18"/>
                <w:color w:val="auto"/>
                <w:w w:val="92"/>
              </w:rPr>
              <w:t>Cover Page Interactive Data File (Embedded within the Inline XBRL document and included in Exhibit)</w:t>
            </w:r>
          </w:p>
        </w:tc>
      </w:tr>
      <w:tr>
        <w:trPr>
          <w:trHeight w:val="108"/>
        </w:trPr>
        <w:tc>
          <w:tcPr>
            <w:tcW w:w="10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r>
    </w:tbl>
    <w:p>
      <w:pPr>
        <w:spacing w:after="0" w:line="80" w:lineRule="exact"/>
        <w:rPr>
          <w:sz w:val="20"/>
          <w:szCs w:val="20"/>
          <w:color w:val="auto"/>
        </w:rPr>
      </w:pPr>
    </w:p>
    <w:p>
      <w:pPr>
        <w:ind w:left="540" w:hanging="331"/>
        <w:spacing w:after="0"/>
        <w:tabs>
          <w:tab w:leader="none" w:pos="540" w:val="left"/>
        </w:tabs>
        <w:numPr>
          <w:ilvl w:val="0"/>
          <w:numId w:val="2"/>
        </w:numPr>
        <w:rPr>
          <w:rFonts w:ascii="Arial" w:cs="Arial" w:eastAsia="Arial" w:hAnsi="Arial"/>
          <w:sz w:val="17"/>
          <w:szCs w:val="17"/>
          <w:color w:val="auto"/>
        </w:rPr>
      </w:pPr>
      <w:r>
        <w:rPr>
          <w:rFonts w:ascii="Arial" w:cs="Arial" w:eastAsia="Arial" w:hAnsi="Arial"/>
          <w:sz w:val="17"/>
          <w:szCs w:val="17"/>
          <w:color w:val="auto"/>
        </w:rPr>
        <w:t>Certain of the exhibits and schedules to this Exhibit have been omitted in accordance with Regulation S-</w:t>
      </w:r>
    </w:p>
    <w:p>
      <w:pPr>
        <w:spacing w:after="0" w:line="34" w:lineRule="exact"/>
        <w:rPr>
          <w:rFonts w:ascii="Arial" w:cs="Arial" w:eastAsia="Arial" w:hAnsi="Arial"/>
          <w:sz w:val="17"/>
          <w:szCs w:val="17"/>
          <w:color w:val="auto"/>
        </w:rPr>
      </w:pPr>
    </w:p>
    <w:p>
      <w:pPr>
        <w:ind w:left="540" w:right="259"/>
        <w:spacing w:after="0" w:line="245" w:lineRule="auto"/>
        <w:rPr>
          <w:rFonts w:ascii="Arial" w:cs="Arial" w:eastAsia="Arial" w:hAnsi="Arial"/>
          <w:sz w:val="17"/>
          <w:szCs w:val="17"/>
          <w:color w:val="auto"/>
        </w:rPr>
      </w:pPr>
      <w:r>
        <w:rPr>
          <w:rFonts w:ascii="Arial" w:cs="Arial" w:eastAsia="Arial" w:hAnsi="Arial"/>
          <w:sz w:val="18"/>
          <w:szCs w:val="18"/>
          <w:color w:val="auto"/>
        </w:rPr>
        <w:t>K Item 601(a)(5). The Company agrees to furnish a copy of all omitted exhibits and schedules to the SEC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72" w:right="1440" w:bottom="1440" w:gutter="0" w:footer="0" w:header="0"/>
        </w:sectPr>
      </w:pPr>
    </w:p>
    <w:bookmarkStart w:id="6" w:name="page7"/>
    <w:bookmarkEnd w:id="6"/>
    <w:p>
      <w:pPr>
        <w:ind w:left="200"/>
        <w:spacing w:after="0"/>
        <w:rPr>
          <w:sz w:val="20"/>
          <w:szCs w:val="20"/>
          <w:color w:val="auto"/>
        </w:rPr>
      </w:pPr>
      <w:r>
        <w:rPr>
          <w:rFonts w:ascii="Arial" w:cs="Arial" w:eastAsia="Arial" w:hAnsi="Arial"/>
          <w:sz w:val="18"/>
          <w:szCs w:val="18"/>
          <w:color w:val="auto"/>
        </w:rPr>
        <w:t>+ Denotes management contract of compensatory plan or arrangement.</w:t>
      </w:r>
    </w:p>
    <w:p>
      <w:pPr>
        <w:spacing w:after="0" w:line="230" w:lineRule="exact"/>
        <w:rPr>
          <w:sz w:val="20"/>
          <w:szCs w:val="20"/>
          <w:color w:val="auto"/>
        </w:rPr>
      </w:pPr>
    </w:p>
    <w:p>
      <w:pPr>
        <w:jc w:val="both"/>
        <w:ind w:left="640" w:right="219" w:hanging="431"/>
        <w:spacing w:after="0" w:line="262" w:lineRule="auto"/>
        <w:tabs>
          <w:tab w:leader="none" w:pos="698" w:val="left"/>
        </w:tabs>
        <w:numPr>
          <w:ilvl w:val="0"/>
          <w:numId w:val="3"/>
        </w:numPr>
        <w:rPr>
          <w:rFonts w:ascii="Arial" w:cs="Arial" w:eastAsia="Arial" w:hAnsi="Arial"/>
          <w:sz w:val="16"/>
          <w:szCs w:val="16"/>
          <w:color w:val="auto"/>
        </w:rPr>
      </w:pPr>
      <w:r>
        <w:rPr>
          <w:rFonts w:ascii="Arial" w:cs="Arial" w:eastAsia="Arial" w:hAnsi="Arial"/>
          <w:sz w:val="16"/>
          <w:szCs w:val="16"/>
          <w:color w:val="auto"/>
        </w:rPr>
        <w:t>Certain identified information has been omitted pursuant to Item 601(b)(10) of Regulation S-K because such information is both (i) not material and (ii) would likely cause competitive harm to the Registrant if publicly disclosed. The Registrant hereby undertakes to furnish supplemental copies of the unredacted exhibit upon request by the Securities and Exchange Commission.</w:t>
      </w:r>
    </w:p>
    <w:p>
      <w:pPr>
        <w:spacing w:after="0" w:line="394" w:lineRule="exact"/>
        <w:rPr>
          <w:sz w:val="20"/>
          <w:szCs w:val="20"/>
          <w:color w:val="auto"/>
        </w:rPr>
      </w:pPr>
    </w:p>
    <w:p>
      <w:pPr>
        <w:ind w:left="540" w:hanging="331"/>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200"/>
        <w:spacing w:after="0"/>
        <w:tabs>
          <w:tab w:leader="none" w:pos="5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623570</wp:posOffset>
            </wp:positionV>
            <wp:extent cx="545211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89" w:right="1440"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200" w:right="279" w:firstLine="648"/>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hereunto duly authorized.</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Dated: October 12, 2023</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PRESTO AUTOMATION INC.</w:t>
      </w:r>
    </w:p>
    <w:p>
      <w:pPr>
        <w:spacing w:after="0" w:line="211" w:lineRule="exact"/>
        <w:rPr>
          <w:sz w:val="20"/>
          <w:szCs w:val="20"/>
          <w:color w:val="auto"/>
        </w:rPr>
      </w:pPr>
    </w:p>
    <w:p>
      <w:pPr>
        <w:ind w:left="4640"/>
        <w:spacing w:after="0"/>
        <w:tabs>
          <w:tab w:leader="none" w:pos="5100" w:val="left"/>
        </w:tabs>
        <w:rPr>
          <w:sz w:val="20"/>
          <w:szCs w:val="20"/>
          <w:color w:val="auto"/>
        </w:rPr>
      </w:pPr>
      <w:r>
        <w:rPr>
          <w:rFonts w:ascii="Arial" w:cs="Arial" w:eastAsia="Arial" w:hAnsi="Arial"/>
          <w:sz w:val="18"/>
          <w:szCs w:val="18"/>
          <w:color w:val="auto"/>
        </w:rPr>
        <w:t>By:</w:t>
        <w:tab/>
        <w:t>/s/ Xavier Cassanova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3254375</wp:posOffset>
            </wp:positionH>
            <wp:positionV relativeFrom="paragraph">
              <wp:posOffset>14605</wp:posOffset>
            </wp:positionV>
            <wp:extent cx="23317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4">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Name:Xavier Cassanova</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Title: Chief Executive Officer</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1463040</wp:posOffset>
            </wp:positionV>
            <wp:extent cx="545211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5">
                      <a:extLst>
                        <a:ext uri="{28A0092B-C50C-407E-A947-70E740481C1C}"/>
                      </a:extLst>
                    </a:blip>
                    <a:srcRect/>
                    <a:stretch>
                      <a:fillRect/>
                    </a:stretch>
                  </pic:blipFill>
                  <pic:spPr bwMode="auto">
                    <a:xfrm>
                      <a:off x="0" y="0"/>
                      <a:ext cx="5452110" cy="1714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280035</wp:posOffset>
            </wp:positionV>
            <wp:extent cx="23317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6">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ectPr>
          <w:pgSz w:w="11900" w:h="16838" w:orient="portrait"/>
          <w:cols w:equalWidth="0" w:num="1">
            <w:col w:w="9019"/>
          </w:cols>
          <w:pgMar w:left="1440" w:top="985" w:right="1440"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31.3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 13a-14(a)/15d-14(a)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Xavier Casanova, certify that:</w:t>
      </w:r>
    </w:p>
    <w:p>
      <w:pPr>
        <w:spacing w:after="0" w:line="198" w:lineRule="exact"/>
        <w:rPr>
          <w:sz w:val="20"/>
          <w:szCs w:val="20"/>
          <w:color w:val="auto"/>
        </w:rPr>
      </w:pPr>
    </w:p>
    <w:p>
      <w:pPr>
        <w:ind w:left="660" w:right="8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Amendment No. 1 to the annual report on Form 10-K for the year ended June 30, 2023 of Presto Automation, Inc.; and;</w:t>
      </w:r>
    </w:p>
    <w:p>
      <w:pPr>
        <w:spacing w:after="0" w:line="129" w:lineRule="exact"/>
        <w:rPr>
          <w:rFonts w:ascii="Arial" w:cs="Arial" w:eastAsia="Arial" w:hAnsi="Arial"/>
          <w:sz w:val="18"/>
          <w:szCs w:val="18"/>
          <w:color w:val="auto"/>
        </w:rPr>
      </w:pPr>
    </w:p>
    <w:p>
      <w:pPr>
        <w:ind w:left="660" w:right="20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Date: October 12, 2023</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Xavier Casanova</w:t>
            </w:r>
          </w:p>
        </w:tc>
      </w:tr>
      <w:tr>
        <w:trPr>
          <w:trHeight w:val="195"/>
        </w:trPr>
        <w:tc>
          <w:tcPr>
            <w:tcW w:w="4860" w:type="dxa"/>
            <w:vAlign w:val="bottom"/>
          </w:tcPr>
          <w:p>
            <w:pPr>
              <w:spacing w:after="0"/>
              <w:rPr>
                <w:sz w:val="16"/>
                <w:szCs w:val="16"/>
                <w:color w:val="auto"/>
              </w:rPr>
            </w:pPr>
          </w:p>
        </w:tc>
        <w:tc>
          <w:tcPr>
            <w:tcW w:w="5060" w:type="dxa"/>
            <w:vAlign w:val="bottom"/>
          </w:tcPr>
          <w:p>
            <w:pPr>
              <w:spacing w:after="0" w:line="195" w:lineRule="exact"/>
              <w:rPr>
                <w:sz w:val="20"/>
                <w:szCs w:val="20"/>
                <w:color w:val="auto"/>
              </w:rPr>
            </w:pPr>
            <w:r>
              <w:rPr>
                <w:rFonts w:ascii="Arial" w:cs="Arial" w:eastAsia="Arial" w:hAnsi="Arial"/>
                <w:sz w:val="18"/>
                <w:szCs w:val="18"/>
                <w:color w:val="auto"/>
              </w:rPr>
              <w:t>Xavier Casanova</w:t>
            </w:r>
          </w:p>
        </w:tc>
      </w:tr>
      <w:tr>
        <w:trPr>
          <w:trHeight w:val="216"/>
        </w:trPr>
        <w:tc>
          <w:tcPr>
            <w:tcW w:w="486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486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776"/>
        </w:trPr>
        <w:tc>
          <w:tcPr>
            <w:tcW w:w="486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31.4</w:t>
      </w:r>
    </w:p>
    <w:p>
      <w:pPr>
        <w:spacing w:after="0" w:line="225"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5"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Pursuant to Exchange Act Rule 13a-14(a)/15d-14(a)</w:t>
      </w:r>
    </w:p>
    <w:p>
      <w:pPr>
        <w:jc w:val="center"/>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Stanley Mbugua, certify that:</w:t>
      </w:r>
    </w:p>
    <w:p>
      <w:pPr>
        <w:spacing w:after="0" w:line="185" w:lineRule="exact"/>
        <w:rPr>
          <w:sz w:val="20"/>
          <w:szCs w:val="20"/>
          <w:color w:val="auto"/>
        </w:rPr>
      </w:pPr>
    </w:p>
    <w:p>
      <w:pPr>
        <w:ind w:left="660" w:right="8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Amendment No 1 to the annual report on Form 10-K for the year ended June 30, 2023 of Presto Automation Inc.; and</w:t>
      </w:r>
    </w:p>
    <w:p>
      <w:pPr>
        <w:spacing w:after="0" w:line="129" w:lineRule="exact"/>
        <w:rPr>
          <w:rFonts w:ascii="Arial" w:cs="Arial" w:eastAsia="Arial" w:hAnsi="Arial"/>
          <w:sz w:val="18"/>
          <w:szCs w:val="18"/>
          <w:color w:val="auto"/>
        </w:rPr>
      </w:pPr>
    </w:p>
    <w:p>
      <w:pPr>
        <w:ind w:left="660" w:right="20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Date: October 12, 2023</w:t>
            </w:r>
          </w:p>
        </w:tc>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Stanley Mbugua</w:t>
            </w:r>
          </w:p>
        </w:tc>
      </w:tr>
      <w:tr>
        <w:trPr>
          <w:trHeight w:val="195"/>
        </w:trPr>
        <w:tc>
          <w:tcPr>
            <w:tcW w:w="4080" w:type="dxa"/>
            <w:vAlign w:val="bottom"/>
          </w:tcPr>
          <w:p>
            <w:pPr>
              <w:spacing w:after="0"/>
              <w:rPr>
                <w:sz w:val="16"/>
                <w:szCs w:val="16"/>
                <w:color w:val="auto"/>
              </w:rPr>
            </w:pPr>
          </w:p>
        </w:tc>
        <w:tc>
          <w:tcPr>
            <w:tcW w:w="5840" w:type="dxa"/>
            <w:vAlign w:val="bottom"/>
          </w:tcPr>
          <w:p>
            <w:pPr>
              <w:spacing w:after="0" w:line="195" w:lineRule="exact"/>
              <w:rPr>
                <w:sz w:val="20"/>
                <w:szCs w:val="20"/>
                <w:color w:val="auto"/>
              </w:rPr>
            </w:pPr>
            <w:r>
              <w:rPr>
                <w:rFonts w:ascii="Arial" w:cs="Arial" w:eastAsia="Arial" w:hAnsi="Arial"/>
                <w:sz w:val="18"/>
                <w:szCs w:val="18"/>
                <w:color w:val="auto"/>
              </w:rPr>
              <w:t>Stanley Mbugua</w:t>
            </w:r>
          </w:p>
        </w:tc>
      </w:tr>
      <w:tr>
        <w:trPr>
          <w:trHeight w:val="216"/>
        </w:trPr>
        <w:tc>
          <w:tcPr>
            <w:tcW w:w="408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230"/>
        </w:trPr>
        <w:tc>
          <w:tcPr>
            <w:tcW w:w="408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(Principal Financial Officer and Accounting Officer)</w:t>
            </w:r>
          </w:p>
        </w:tc>
      </w:tr>
      <w:tr>
        <w:trPr>
          <w:trHeight w:val="763"/>
        </w:trPr>
        <w:tc>
          <w:tcPr>
            <w:tcW w:w="408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32.3</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I, Xavier Casanova, Chief Executive Officer of Presto Automation Inc. (the “Company”), hereby certify, that, to my knowledge:</w:t>
      </w:r>
    </w:p>
    <w:p>
      <w:pPr>
        <w:spacing w:after="0" w:line="143" w:lineRule="exact"/>
        <w:rPr>
          <w:sz w:val="20"/>
          <w:szCs w:val="20"/>
          <w:color w:val="auto"/>
        </w:rPr>
      </w:pPr>
    </w:p>
    <w:p>
      <w:pPr>
        <w:jc w:val="both"/>
        <w:ind w:left="660" w:right="34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Annual Report on Form 10-K for the year ended June 30, 2023, as amended by Amendment No. 1 (the “Report”) of the Company fully complies with the requirements of Section 13(a) or 15(d) of the Securities Exchange Act of 1934 (15 U.S.C. 78m(a) or 78o(d)); and</w:t>
      </w:r>
    </w:p>
    <w:p>
      <w:pPr>
        <w:spacing w:after="0" w:line="143"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Date: October 12, 2023</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Xavier Casanova</w:t>
            </w:r>
          </w:p>
        </w:tc>
      </w:tr>
      <w:tr>
        <w:trPr>
          <w:trHeight w:val="195"/>
        </w:trPr>
        <w:tc>
          <w:tcPr>
            <w:tcW w:w="5040" w:type="dxa"/>
            <w:vAlign w:val="bottom"/>
          </w:tcPr>
          <w:p>
            <w:pPr>
              <w:spacing w:after="0"/>
              <w:rPr>
                <w:sz w:val="16"/>
                <w:szCs w:val="16"/>
                <w:color w:val="auto"/>
              </w:rPr>
            </w:pPr>
          </w:p>
        </w:tc>
        <w:tc>
          <w:tcPr>
            <w:tcW w:w="4880" w:type="dxa"/>
            <w:vAlign w:val="bottom"/>
          </w:tcPr>
          <w:p>
            <w:pPr>
              <w:spacing w:after="0" w:line="195" w:lineRule="exact"/>
              <w:rPr>
                <w:sz w:val="20"/>
                <w:szCs w:val="20"/>
                <w:color w:val="auto"/>
              </w:rPr>
            </w:pPr>
            <w:r>
              <w:rPr>
                <w:rFonts w:ascii="Arial" w:cs="Arial" w:eastAsia="Arial" w:hAnsi="Arial"/>
                <w:sz w:val="18"/>
                <w:szCs w:val="18"/>
                <w:color w:val="010302"/>
              </w:rPr>
              <w:t>Xavier Casanova</w:t>
            </w:r>
          </w:p>
        </w:tc>
      </w:tr>
      <w:tr>
        <w:trPr>
          <w:trHeight w:val="216"/>
        </w:trPr>
        <w:tc>
          <w:tcPr>
            <w:tcW w:w="504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504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763"/>
        </w:trPr>
        <w:tc>
          <w:tcPr>
            <w:tcW w:w="504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Ù"/>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62" Type="http://schemas.openxmlformats.org/officeDocument/2006/relationships/image" Target="media/image8.png"/><Relationship Id="rId63" Type="http://schemas.openxmlformats.org/officeDocument/2006/relationships/image" Target="media/image9.png"/><Relationship Id="rId64" Type="http://schemas.openxmlformats.org/officeDocument/2006/relationships/image" Target="media/image10.png"/><Relationship Id="rId65" Type="http://schemas.openxmlformats.org/officeDocument/2006/relationships/image" Target="media/image11.png"/><Relationship Id="rId66" Type="http://schemas.openxmlformats.org/officeDocument/2006/relationships/image" Target="media/image12.png"/><Relationship Id="rId15" Type="http://schemas.openxmlformats.org/officeDocument/2006/relationships/hyperlink" Target="https://www.sec.gov/Archives/edgar/data/1822145/000121390021058217/ea150262ex2-1_ventouxccm.htm" TargetMode="External"/><Relationship Id="rId16" Type="http://schemas.openxmlformats.org/officeDocument/2006/relationships/hyperlink" Target="https://www.sec.gov/Archives/edgar/data/1822145/000121390022017828/ea157923ex2-1_ventoux.htm" TargetMode="External"/><Relationship Id="rId17" Type="http://schemas.openxmlformats.org/officeDocument/2006/relationships/hyperlink" Target="https://www.sec.gov/Archives/edgar/data/1822145/000121390022041523/ea163294ex2-1_ventoux.htm" TargetMode="External"/><Relationship Id="rId18" Type="http://schemas.openxmlformats.org/officeDocument/2006/relationships/hyperlink" Target="https://www.sec.gov/Archives/edgar/data/1822145/000121390022059478/ea166244ex3-1_prestoauto.htm" TargetMode="External"/><Relationship Id="rId19" Type="http://schemas.openxmlformats.org/officeDocument/2006/relationships/hyperlink" Target="https://www.sec.gov/Archives/edgar/data/1822145/000121390022059478/ea166244ex3-2_prestoauto.htm" TargetMode="External"/><Relationship Id="rId20" Type="http://schemas.openxmlformats.org/officeDocument/2006/relationships/hyperlink" Target="https://www.sec.gov/Archives/edgar/data/1822145/000155837023016336/prst-20230630xex4d1.htm" TargetMode="External"/><Relationship Id="rId21" Type="http://schemas.openxmlformats.org/officeDocument/2006/relationships/hyperlink" Target="http://www.sec.gov/Archives/edgar/data/1822145/000121390022059478/ea166244ex10-1_prestoauto.htm" TargetMode="External"/><Relationship Id="rId22" Type="http://schemas.openxmlformats.org/officeDocument/2006/relationships/hyperlink" Target="http://www.sec.gov/Archives/edgar/data/1822145/000121390022059478/ea166244ex10-2_prestoauto.htm" TargetMode="External"/><Relationship Id="rId23" Type="http://schemas.openxmlformats.org/officeDocument/2006/relationships/hyperlink" Target="http://www.sec.gov/Archives/edgar/data/1822145/000121390022059478/ea166244ex10-3_prestoauto.htm" TargetMode="External"/><Relationship Id="rId24" Type="http://schemas.openxmlformats.org/officeDocument/2006/relationships/hyperlink" Target="http://www.sec.gov/Archives/edgar/data/1822145/000121390022059478/ea166244ex10-4_prestoauto.htm" TargetMode="External"/><Relationship Id="rId25" Type="http://schemas.openxmlformats.org/officeDocument/2006/relationships/hyperlink" Target="http://www.sec.gov/Archives/edgar/data/1822145/000121390022059478/ea166244ex10-5_prestoauto.htm" TargetMode="External"/><Relationship Id="rId26" Type="http://schemas.openxmlformats.org/officeDocument/2006/relationships/hyperlink" Target="http://www.sec.gov/Archives/edgar/data/1822145/000121390022065582/fs12022ex10-6_presto.htm" TargetMode="External"/><Relationship Id="rId27" Type="http://schemas.openxmlformats.org/officeDocument/2006/relationships/hyperlink" Target="http://www.sec.gov/Archives/edgar/data/1822145/000121390022065582/fs12022ex10-7_presto.htm" TargetMode="External"/><Relationship Id="rId28" Type="http://schemas.openxmlformats.org/officeDocument/2006/relationships/hyperlink" Target="http://www.sec.gov/Archives/edgar/data/1822145/000121390022059478/ea166244ex10-6_prestoauto.htm" TargetMode="External"/><Relationship Id="rId29" Type="http://schemas.openxmlformats.org/officeDocument/2006/relationships/hyperlink" Target="http://www.sec.gov/Archives/edgar/data/1822145/000121390022059478/ea166244ex10-7_prestoauto.htm" TargetMode="External"/><Relationship Id="rId30" Type="http://schemas.openxmlformats.org/officeDocument/2006/relationships/hyperlink" Target="http://www.sec.gov/Archives/edgar/data/1822145/000121390022041523/ea163294ex10-2_ventoux.htm" TargetMode="External"/><Relationship Id="rId31" Type="http://schemas.openxmlformats.org/officeDocument/2006/relationships/hyperlink" Target="http://www.sec.gov/Archives/edgar/data/1822145/000121390022041523/ea163294ex10-3_ventoux.htm" TargetMode="External"/><Relationship Id="rId32" Type="http://schemas.openxmlformats.org/officeDocument/2006/relationships/hyperlink" Target="http://www.sec.gov/Archives/edgar/data/1822145/000121390022065582/fs12022ex10-12_presto.htm" TargetMode="External"/><Relationship Id="rId33" Type="http://schemas.openxmlformats.org/officeDocument/2006/relationships/hyperlink" Target="http://www.sec.gov/Archives/edgar/data/1822145/000121390022065582/fs12022ex10-13_presto.htm" TargetMode="External"/><Relationship Id="rId34" Type="http://schemas.openxmlformats.org/officeDocument/2006/relationships/hyperlink" Target="https://www.sec.gov/Archives/edgar/data/1822145/000155837023003048/prst-20230304xex10d1.htm" TargetMode="External"/><Relationship Id="rId35" Type="http://schemas.openxmlformats.org/officeDocument/2006/relationships/hyperlink" Target="https://www.sec.gov/Archives/edgar/data/1822145/000155837023005593/prst-20230331xex10d1.htm" TargetMode="External"/><Relationship Id="rId36" Type="http://schemas.openxmlformats.org/officeDocument/2006/relationships/hyperlink" Target="https://www.sec.gov/Archives/edgar/data/1822145/000155837023005593/prst-20230331xex10d2.htm" TargetMode="External"/><Relationship Id="rId37" Type="http://schemas.openxmlformats.org/officeDocument/2006/relationships/hyperlink" Target="https://www.sec.gov/Archives/edgar/data/1822145/000155837023005593/prst-20230331xex10d3.htm" TargetMode="External"/><Relationship Id="rId38" Type="http://schemas.openxmlformats.org/officeDocument/2006/relationships/hyperlink" Target="https://www.sec.gov/Archives/edgar/data/1822145/000155837023005593/prst-20230331xex10d4.htm" TargetMode="External"/><Relationship Id="rId39" Type="http://schemas.openxmlformats.org/officeDocument/2006/relationships/hyperlink" Target="https://www.sec.gov/Archives/edgar/data/1822145/000155837023005593/prst-20230331xex10d5.htm" TargetMode="External"/><Relationship Id="rId40" Type="http://schemas.openxmlformats.org/officeDocument/2006/relationships/hyperlink" Target="https://www.sec.gov/Archives/edgar/data/1822145/000155837023005593/prst-20230331xex10d6.htm" TargetMode="External"/><Relationship Id="rId41" Type="http://schemas.openxmlformats.org/officeDocument/2006/relationships/hyperlink" Target="https://www.sec.gov/Archives/edgar/data/1822145/000155837023005593/prst-20230331xex10d7.htm" TargetMode="External"/><Relationship Id="rId42" Type="http://schemas.openxmlformats.org/officeDocument/2006/relationships/hyperlink" Target="http://www.sec.gov/Archives/edgar/data/1822145/000110465923057853/tm2315172d1_ex10-1.htm" TargetMode="External"/><Relationship Id="rId43" Type="http://schemas.openxmlformats.org/officeDocument/2006/relationships/hyperlink" Target="http://www.sec.gov/Archives/edgar/data/1822145/000121390023041754/ea179025ex10-1_prestoauto.htm" TargetMode="External"/><Relationship Id="rId44" Type="http://schemas.openxmlformats.org/officeDocument/2006/relationships/hyperlink" Target="http://www.sec.gov/Archives/edgar/data/1822145/000121390023041754/ea179025ex10-2_prestoauto.htm" TargetMode="External"/><Relationship Id="rId45" Type="http://schemas.openxmlformats.org/officeDocument/2006/relationships/hyperlink" Target="http://www.sec.gov/Archives/edgar/data/1822145/000121390023041754/ea179025ex10-3_prestoauto.htm" TargetMode="External"/><Relationship Id="rId46" Type="http://schemas.openxmlformats.org/officeDocument/2006/relationships/hyperlink" Target="http://www.sec.gov/Archives/edgar/data/1822145/000121390023041754/ea179025ex10-4_prestoauto.htm" TargetMode="External"/><Relationship Id="rId47" Type="http://schemas.openxmlformats.org/officeDocument/2006/relationships/hyperlink" Target="http://www.sec.gov/Archives/edgar/data/1822145/000121390023041754/ea179025ex10-5_prestoauto.htm" TargetMode="External"/><Relationship Id="rId48" Type="http://schemas.openxmlformats.org/officeDocument/2006/relationships/hyperlink" Target="http://www.sec.gov/Archives/edgar/data/1822145/000121390023041754/ea179025ex10-6_prestoauto.htm" TargetMode="External"/><Relationship Id="rId49" Type="http://schemas.openxmlformats.org/officeDocument/2006/relationships/hyperlink" Target="http://www.sec.gov/Archives/edgar/data/1822145/000121390023041754/ea179025ex10-7_prestoauto.htm" TargetMode="External"/><Relationship Id="rId50" Type="http://schemas.openxmlformats.org/officeDocument/2006/relationships/hyperlink" Target="http://www.sec.gov/Archives/edgar/data/1822145/000121390023041754/ea179025ex10-8_prestoauto.htm" TargetMode="External"/><Relationship Id="rId51" Type="http://schemas.openxmlformats.org/officeDocument/2006/relationships/hyperlink" Target="http://www.sec.gov/Archives/edgar/data/1822145/000155837023005593/prst-20230331xex10d7.htm" TargetMode="External"/><Relationship Id="rId52" Type="http://schemas.openxmlformats.org/officeDocument/2006/relationships/hyperlink" Target="https://www.sec.gov/Archives/edgar/data/1822145/000155837023016336/prst-20230630xex10d32.htm" TargetMode="External"/><Relationship Id="rId53" Type="http://schemas.openxmlformats.org/officeDocument/2006/relationships/hyperlink" Target="https://www.sec.gov/Archives/edgar/data/1822145/000155837023016336/prst-20230630xex10d33.htm" TargetMode="External"/><Relationship Id="rId54" Type="http://schemas.openxmlformats.org/officeDocument/2006/relationships/hyperlink" Target="https://www.sec.gov/Archives/edgar/data/1822145/000121390022068735/ea167911ex16-1_prestoauto.htm" TargetMode="External"/><Relationship Id="rId55" Type="http://schemas.openxmlformats.org/officeDocument/2006/relationships/hyperlink" Target="https://www.sec.gov/Archives/edgar/data/1822145/000155837023016336/prst-20230630xex21d1.htm" TargetMode="External"/><Relationship Id="rId56" Type="http://schemas.openxmlformats.org/officeDocument/2006/relationships/hyperlink" Target="https://www.sec.gov/Archives/edgar/data/1822145/000155837023016336/prst-20230630xex23d1.htm" TargetMode="External"/><Relationship Id="rId57" Type="http://schemas.openxmlformats.org/officeDocument/2006/relationships/hyperlink" Target="https://www.sec.gov/ix?doc=/Archives/edgar/data/1822145/000155837023016336/prst-20230630x10k.htm" TargetMode="External"/><Relationship Id="rId58" Type="http://schemas.openxmlformats.org/officeDocument/2006/relationships/hyperlink" Target="https://www.sec.gov/Archives/edgar/data/1822145/000155837023016336/prst-20230630xex31d1.htm" TargetMode="External"/><Relationship Id="rId59" Type="http://schemas.openxmlformats.org/officeDocument/2006/relationships/hyperlink" Target="https://www.sec.gov/Archives/edgar/data/1822145/000155837023016336/prst-20230630xex31d2.htm" TargetMode="External"/><Relationship Id="rId60" Type="http://schemas.openxmlformats.org/officeDocument/2006/relationships/hyperlink" Target="https://www.sec.gov/Archives/edgar/data/1822145/000155837023016336/prst-20230630xex32d1.htm" TargetMode="External"/><Relationship Id="rId61" Type="http://schemas.openxmlformats.org/officeDocument/2006/relationships/hyperlink" Target="https://www.sec.gov/Archives/edgar/data/1822145/000155837023016336/prst-20230630xex32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2023-10-12T16:34:30Z</dcterms:created>
  <dcterms:modified xsi:type="dcterms:W3CDTF">2023-10-12T16:34:30Z</dcterms:modified>
</cp:coreProperties>
</file>