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660" w:right="940" w:hanging="2712"/>
        <w:spacing w:after="0" w:line="476" w:lineRule="auto"/>
        <w:tabs>
          <w:tab w:leader="none" w:pos="11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001-39830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Borders>
              <w:bottom w:val="single" w:sz="8" w:color="auto"/>
            </w:tcBorders>
            <w:gridSpan w:val="3"/>
          </w:tcPr>
          <w:p>
            <w:pPr>
              <w:jc w:val="center"/>
              <w:ind w:left="1250"/>
              <w:spacing w:after="0"/>
              <w:rPr>
                <w:sz w:val="20"/>
                <w:szCs w:val="20"/>
                <w:color w:val="auto"/>
              </w:rPr>
            </w:pPr>
            <w:r>
              <w:rPr>
                <w:rFonts w:ascii="Arial" w:cs="Arial" w:eastAsia="Arial" w:hAnsi="Arial"/>
                <w:sz w:val="18"/>
                <w:szCs w:val="18"/>
                <w:b w:val="1"/>
                <w:bCs w:val="1"/>
                <w:color w:val="auto"/>
                <w:w w:val="91"/>
              </w:rPr>
              <w:t>Delaware</w:t>
            </w:r>
          </w:p>
        </w:tc>
        <w:tc>
          <w:tcPr>
            <w:tcW w:w="1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Arial" w:cs="Arial" w:eastAsia="Arial" w:hAnsi="Arial"/>
                <w:sz w:val="18"/>
                <w:szCs w:val="18"/>
                <w:b w:val="1"/>
                <w:bCs w:val="1"/>
                <w:color w:val="auto"/>
                <w:w w:val="89"/>
              </w:rPr>
              <w:t>84-2968594</w:t>
            </w:r>
          </w:p>
        </w:tc>
      </w:tr>
      <w:tr>
        <w:trPr>
          <w:trHeight w:val="202"/>
        </w:trPr>
        <w:tc>
          <w:tcPr>
            <w:tcW w:w="4180" w:type="dxa"/>
            <w:vAlign w:val="bottom"/>
            <w:gridSpan w:val="3"/>
          </w:tcPr>
          <w:p>
            <w:pPr>
              <w:jc w:val="center"/>
              <w:ind w:left="125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180" w:type="dxa"/>
            <w:vAlign w:val="bottom"/>
            <w:gridSpan w:val="3"/>
          </w:tcPr>
          <w:p>
            <w:pPr>
              <w:jc w:val="center"/>
              <w:ind w:left="1250"/>
              <w:spacing w:after="0"/>
              <w:rPr>
                <w:sz w:val="20"/>
                <w:szCs w:val="20"/>
                <w:color w:val="auto"/>
              </w:rPr>
            </w:pPr>
            <w:r>
              <w:rPr>
                <w:rFonts w:ascii="Arial" w:cs="Arial" w:eastAsia="Arial" w:hAnsi="Arial"/>
                <w:sz w:val="18"/>
                <w:szCs w:val="18"/>
                <w:color w:val="auto"/>
                <w:w w:val="92"/>
              </w:rPr>
              <w:t>incorporation or organization)</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0"/>
              </w:rPr>
              <w:t>1 East Putnam Avenue, Floor 4</w:t>
            </w: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3"/>
              </w:rPr>
              <w:t>Greenwich, CT</w:t>
            </w:r>
          </w:p>
        </w:tc>
        <w:tc>
          <w:tcPr>
            <w:tcW w:w="36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60" w:type="dxa"/>
            <w:vAlign w:val="bottom"/>
            <w:gridSpan w:val="4"/>
          </w:tcPr>
          <w:p>
            <w:pPr>
              <w:jc w:val="center"/>
              <w:ind w:right="56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tcPr>
          <w:p>
            <w:pPr>
              <w:spacing w:after="0"/>
              <w:rPr>
                <w:sz w:val="20"/>
                <w:szCs w:val="20"/>
                <w:color w:val="auto"/>
              </w:rPr>
            </w:pP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(646) 465-9000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6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(Registrant’s telephone number)</w:t>
            </w:r>
          </w:p>
        </w:tc>
        <w:tc>
          <w:tcPr>
            <w:tcW w:w="3600" w:type="dxa"/>
            <w:vAlign w:val="bottom"/>
          </w:tcPr>
          <w:p>
            <w:pPr>
              <w:spacing w:after="0"/>
              <w:rPr>
                <w:sz w:val="20"/>
                <w:szCs w:val="20"/>
                <w:color w:val="auto"/>
              </w:rPr>
            </w:pPr>
          </w:p>
        </w:tc>
      </w:tr>
      <w:tr>
        <w:trPr>
          <w:trHeight w:val="432"/>
        </w:trPr>
        <w:tc>
          <w:tcPr>
            <w:tcW w:w="4180" w:type="dxa"/>
            <w:vAlign w:val="bottom"/>
            <w:gridSpan w:val="3"/>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1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60" w:type="dxa"/>
            <w:vAlign w:val="bottom"/>
            <w:tcBorders>
              <w:top w:val="single" w:sz="8" w:color="auto"/>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rPr>
              <w:t>VTAQ</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4180" w:type="dxa"/>
            <w:vAlign w:val="bottom"/>
            <w:gridSpan w:val="3"/>
          </w:tcPr>
          <w:p>
            <w:pPr>
              <w:jc w:val="center"/>
              <w:ind w:right="580"/>
              <w:spacing w:after="0"/>
              <w:rPr>
                <w:sz w:val="20"/>
                <w:szCs w:val="20"/>
                <w:color w:val="auto"/>
              </w:rPr>
            </w:pPr>
            <w:r>
              <w:rPr>
                <w:rFonts w:ascii="Arial" w:cs="Arial" w:eastAsia="Arial" w:hAnsi="Arial"/>
                <w:sz w:val="18"/>
                <w:szCs w:val="18"/>
                <w:color w:val="auto"/>
                <w:w w:val="87"/>
              </w:rPr>
              <w:t>Warrants</w:t>
            </w:r>
          </w:p>
        </w:tc>
        <w:tc>
          <w:tcPr>
            <w:tcW w:w="3460" w:type="dxa"/>
            <w:vAlign w:val="bottom"/>
            <w:gridSpan w:val="4"/>
          </w:tcPr>
          <w:p>
            <w:pPr>
              <w:jc w:val="center"/>
              <w:ind w:right="560"/>
              <w:spacing w:after="0"/>
              <w:rPr>
                <w:sz w:val="20"/>
                <w:szCs w:val="20"/>
                <w:color w:val="auto"/>
              </w:rPr>
            </w:pPr>
            <w:r>
              <w:rPr>
                <w:rFonts w:ascii="Arial" w:cs="Arial" w:eastAsia="Arial" w:hAnsi="Arial"/>
                <w:sz w:val="18"/>
                <w:szCs w:val="18"/>
                <w:color w:val="auto"/>
                <w:w w:val="99"/>
              </w:rPr>
              <w:t>VTAQW</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418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3"/>
              </w:rPr>
              <w:t>Rights</w:t>
            </w:r>
          </w:p>
        </w:tc>
        <w:tc>
          <w:tcPr>
            <w:tcW w:w="3460" w:type="dxa"/>
            <w:vAlign w:val="bottom"/>
            <w:gridSpan w:val="4"/>
            <w:shd w:val="clear" w:color="auto" w:fill="CCEEFF"/>
          </w:tcPr>
          <w:p>
            <w:pPr>
              <w:jc w:val="center"/>
              <w:ind w:right="560"/>
              <w:spacing w:after="0"/>
              <w:rPr>
                <w:sz w:val="20"/>
                <w:szCs w:val="20"/>
                <w:color w:val="auto"/>
              </w:rPr>
            </w:pPr>
            <w:r>
              <w:rPr>
                <w:rFonts w:ascii="Arial" w:cs="Arial" w:eastAsia="Arial" w:hAnsi="Arial"/>
                <w:sz w:val="18"/>
                <w:szCs w:val="18"/>
                <w:color w:val="auto"/>
                <w:w w:val="99"/>
              </w:rPr>
              <w:t>VTAQR</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180" w:type="dxa"/>
            <w:vAlign w:val="bottom"/>
            <w:gridSpan w:val="3"/>
          </w:tcPr>
          <w:p>
            <w:pPr>
              <w:jc w:val="center"/>
              <w:ind w:right="580"/>
              <w:spacing w:after="0"/>
              <w:rPr>
                <w:sz w:val="20"/>
                <w:szCs w:val="20"/>
                <w:color w:val="auto"/>
              </w:rPr>
            </w:pPr>
            <w:r>
              <w:rPr>
                <w:rFonts w:ascii="Arial" w:cs="Arial" w:eastAsia="Arial" w:hAnsi="Arial"/>
                <w:sz w:val="18"/>
                <w:szCs w:val="18"/>
                <w:color w:val="auto"/>
                <w:w w:val="97"/>
              </w:rPr>
              <w:t>Units</w:t>
            </w:r>
          </w:p>
        </w:tc>
        <w:tc>
          <w:tcPr>
            <w:tcW w:w="3460" w:type="dxa"/>
            <w:vAlign w:val="bottom"/>
            <w:gridSpan w:val="4"/>
          </w:tcPr>
          <w:p>
            <w:pPr>
              <w:jc w:val="center"/>
              <w:ind w:right="560"/>
              <w:spacing w:after="0"/>
              <w:rPr>
                <w:sz w:val="20"/>
                <w:szCs w:val="20"/>
                <w:color w:val="auto"/>
              </w:rPr>
            </w:pPr>
            <w:r>
              <w:rPr>
                <w:rFonts w:ascii="Arial" w:cs="Arial" w:eastAsia="Arial" w:hAnsi="Arial"/>
                <w:sz w:val="18"/>
                <w:szCs w:val="18"/>
                <w:color w:val="auto"/>
                <w:w w:val="99"/>
              </w:rPr>
              <w:t>VTAQU</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4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December 3, 2021, there were 21,562,500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20" w:type="dxa"/>
            <w:vAlign w:val="bottom"/>
            <w:gridSpan w:val="9"/>
          </w:tcPr>
          <w:p>
            <w:pPr>
              <w:jc w:val="center"/>
              <w:ind w:right="2020"/>
              <w:spacing w:after="0"/>
              <w:rPr>
                <w:sz w:val="20"/>
                <w:szCs w:val="20"/>
                <w:color w:val="auto"/>
              </w:rPr>
            </w:pPr>
            <w:r>
              <w:rPr>
                <w:rFonts w:ascii="Arial" w:cs="Arial" w:eastAsia="Arial" w:hAnsi="Arial"/>
                <w:sz w:val="18"/>
                <w:szCs w:val="18"/>
                <w:b w:val="1"/>
                <w:bCs w:val="1"/>
                <w:color w:val="auto"/>
              </w:rPr>
              <w:t>VENTOUX CCM ACQUISITION CORP.</w:t>
            </w:r>
          </w:p>
        </w:tc>
        <w:tc>
          <w:tcPr>
            <w:tcW w:w="1000" w:type="dxa"/>
            <w:vAlign w:val="bottom"/>
          </w:tcPr>
          <w:p>
            <w:pPr>
              <w:spacing w:after="0"/>
              <w:rPr>
                <w:sz w:val="20"/>
                <w:szCs w:val="20"/>
                <w:color w:val="auto"/>
              </w:rPr>
            </w:pPr>
          </w:p>
        </w:tc>
      </w:tr>
      <w:tr>
        <w:trPr>
          <w:trHeight w:val="432"/>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60" w:type="dxa"/>
            <w:vAlign w:val="bottom"/>
            <w:gridSpan w:val="10"/>
          </w:tcPr>
          <w:p>
            <w:pPr>
              <w:jc w:val="center"/>
              <w:ind w:right="1760"/>
              <w:spacing w:after="0"/>
              <w:rPr>
                <w:sz w:val="20"/>
                <w:szCs w:val="20"/>
                <w:color w:val="auto"/>
              </w:rPr>
            </w:pPr>
            <w:r>
              <w:rPr>
                <w:rFonts w:ascii="Arial" w:cs="Arial" w:eastAsia="Arial" w:hAnsi="Arial"/>
                <w:sz w:val="18"/>
                <w:szCs w:val="18"/>
                <w:b w:val="1"/>
                <w:bCs w:val="1"/>
                <w:color w:val="auto"/>
                <w:w w:val="98"/>
              </w:rPr>
              <w:t>FORM 10-Q FOR THE QUARTER ENDED SEPTEMBER 30, 2021</w:t>
            </w:r>
          </w:p>
        </w:tc>
        <w:tc>
          <w:tcPr>
            <w:tcW w:w="1000" w:type="dxa"/>
            <w:vAlign w:val="bottom"/>
          </w:tcPr>
          <w:p>
            <w:pPr>
              <w:spacing w:after="0"/>
              <w:rPr>
                <w:sz w:val="24"/>
                <w:szCs w:val="24"/>
                <w:color w:val="auto"/>
              </w:rPr>
            </w:pPr>
          </w:p>
        </w:tc>
      </w:tr>
      <w:tr>
        <w:trPr>
          <w:trHeight w:val="432"/>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4"/>
                <w:szCs w:val="24"/>
                <w:color w:val="auto"/>
              </w:rPr>
            </w:pPr>
          </w:p>
        </w:tc>
      </w:tr>
      <w:tr>
        <w:trPr>
          <w:trHeight w:val="439"/>
        </w:trPr>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Page</w:t>
            </w:r>
          </w:p>
        </w:tc>
      </w:tr>
      <w:tr>
        <w:trPr>
          <w:trHeight w:val="162"/>
        </w:trPr>
        <w:tc>
          <w:tcPr>
            <w:tcW w:w="10240" w:type="dxa"/>
            <w:vAlign w:val="bottom"/>
            <w:gridSpan w:val="23"/>
            <w:shd w:val="clear" w:color="auto" w:fill="CCEEFF"/>
          </w:tcPr>
          <w:p>
            <w:pPr>
              <w:spacing w:after="0" w:line="142" w:lineRule="exact"/>
              <w:rPr>
                <w:rFonts w:ascii="Arial" w:cs="Arial" w:eastAsia="Arial" w:hAnsi="Arial"/>
                <w:sz w:val="16"/>
                <w:szCs w:val="16"/>
                <w:color w:val="0000EE"/>
              </w:rPr>
            </w:pPr>
            <w:hyperlink w:anchor="page4">
              <w:r>
                <w:rPr>
                  <w:rFonts w:ascii="Arial" w:cs="Arial" w:eastAsia="Arial" w:hAnsi="Arial"/>
                  <w:sz w:val="16"/>
                  <w:szCs w:val="16"/>
                  <w:color w:val="0000EE"/>
                </w:rPr>
                <w:t>Part I. Financial Information</w:t>
              </w:r>
            </w:hyperlink>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1</w:t>
            </w:r>
          </w:p>
        </w:tc>
      </w:tr>
      <w:tr>
        <w:trPr>
          <w:trHeight w:val="34"/>
        </w:trPr>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6"/>
        </w:trPr>
        <w:tc>
          <w:tcPr>
            <w:tcW w:w="140" w:type="dxa"/>
            <w:vAlign w:val="bottom"/>
          </w:tcPr>
          <w:p>
            <w:pPr>
              <w:spacing w:after="0"/>
              <w:rPr>
                <w:sz w:val="15"/>
                <w:szCs w:val="15"/>
                <w:color w:val="auto"/>
              </w:rPr>
            </w:pPr>
          </w:p>
        </w:tc>
        <w:tc>
          <w:tcPr>
            <w:tcW w:w="10100" w:type="dxa"/>
            <w:vAlign w:val="bottom"/>
            <w:gridSpan w:val="2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Interim Financial Statements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Sheets as of September 30, 2021 (Unaudited) and December 31, 2020</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80" w:type="dxa"/>
            <w:vAlign w:val="bottom"/>
            <w:gridSpan w:val="21"/>
          </w:tcPr>
          <w:p>
            <w:pPr>
              <w:ind w:lef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Statements of Operations for the three and nine months ended September 30, 2021 and 2020</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20"/>
            <w:shd w:val="clear" w:color="auto" w:fill="CCEEFF"/>
          </w:tcPr>
          <w:p>
            <w:pPr>
              <w:ind w:left="20"/>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Statements of Changes in Stockholders’ Equity (Deficit) for the three and nine months ended September 30, 2021</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6"/>
        </w:trPr>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40" w:type="dxa"/>
            <w:vAlign w:val="bottom"/>
            <w:gridSpan w:val="20"/>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2020</w:t>
              </w:r>
            </w:hyperlink>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80" w:type="dxa"/>
            <w:vAlign w:val="bottom"/>
            <w:gridSpan w:val="21"/>
          </w:tcPr>
          <w:p>
            <w:pPr>
              <w:ind w:lef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Statements of Cash Flows for the nine months ended September 30, 2021 and 2020</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Financial Statements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0" w:type="dxa"/>
            <w:vAlign w:val="bottom"/>
          </w:tcPr>
          <w:p>
            <w:pPr>
              <w:spacing w:after="0"/>
              <w:rPr>
                <w:sz w:val="15"/>
                <w:szCs w:val="15"/>
                <w:color w:val="auto"/>
              </w:rPr>
            </w:pPr>
          </w:p>
        </w:tc>
        <w:tc>
          <w:tcPr>
            <w:tcW w:w="10100" w:type="dxa"/>
            <w:vAlign w:val="bottom"/>
            <w:gridSpan w:val="22"/>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Item 3. Quantitative and Qualitative Disclosures Regarding Market Risk</w:t>
              </w:r>
            </w:hyperlink>
          </w:p>
        </w:tc>
        <w:tc>
          <w:tcPr>
            <w:tcW w:w="488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176"/>
        </w:trPr>
        <w:tc>
          <w:tcPr>
            <w:tcW w:w="140" w:type="dxa"/>
            <w:vAlign w:val="bottom"/>
          </w:tcPr>
          <w:p>
            <w:pPr>
              <w:spacing w:after="0"/>
              <w:rPr>
                <w:sz w:val="15"/>
                <w:szCs w:val="15"/>
                <w:color w:val="auto"/>
              </w:rPr>
            </w:pPr>
          </w:p>
        </w:tc>
        <w:tc>
          <w:tcPr>
            <w:tcW w:w="10100" w:type="dxa"/>
            <w:vAlign w:val="bottom"/>
            <w:gridSpan w:val="2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4. Controls and Procedures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0"/>
        </w:trPr>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0240" w:type="dxa"/>
            <w:vAlign w:val="bottom"/>
            <w:gridSpan w:val="23"/>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Part II. Other Information</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
        </w:trPr>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1. Legal Proceedings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175"/>
        </w:trPr>
        <w:tc>
          <w:tcPr>
            <w:tcW w:w="140" w:type="dxa"/>
            <w:vAlign w:val="bottom"/>
            <w:tcBorders>
              <w:top w:val="single" w:sz="8" w:color="CCEEFF"/>
            </w:tcBorders>
          </w:tcPr>
          <w:p>
            <w:pPr>
              <w:spacing w:after="0"/>
              <w:rPr>
                <w:sz w:val="15"/>
                <w:szCs w:val="15"/>
                <w:color w:val="auto"/>
              </w:rPr>
            </w:pPr>
          </w:p>
        </w:tc>
        <w:tc>
          <w:tcPr>
            <w:tcW w:w="18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8220" w:type="dxa"/>
            <w:vAlign w:val="bottom"/>
            <w:tcBorders>
              <w:top w:val="single" w:sz="8" w:color="CCEEFF"/>
            </w:tcBorders>
            <w:gridSpan w:val="1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
        </w:trPr>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2. Unregistered Sales of Equity Securities and Use of Proceeds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176"/>
        </w:trPr>
        <w:tc>
          <w:tcPr>
            <w:tcW w:w="14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3. Defaults Upon Senior Securities</w:t>
              </w:r>
            </w:hyperlink>
          </w:p>
        </w:tc>
        <w:tc>
          <w:tcPr>
            <w:tcW w:w="5200" w:type="dxa"/>
            <w:vAlign w:val="bottom"/>
            <w:tcBorders>
              <w:top w:val="single" w:sz="8" w:color="CCEEFF"/>
            </w:tcBorders>
            <w:gridSpan w:val="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0"/>
        </w:trPr>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4. Mine Safety Disclosures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176"/>
        </w:trPr>
        <w:tc>
          <w:tcPr>
            <w:tcW w:w="14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5. Other Information</w:t>
              </w:r>
            </w:hyperlink>
          </w:p>
        </w:tc>
        <w:tc>
          <w:tcPr>
            <w:tcW w:w="7780" w:type="dxa"/>
            <w:vAlign w:val="bottom"/>
            <w:tcBorders>
              <w:top w:val="single" w:sz="8" w:color="CCEEFF"/>
            </w:tcBorders>
            <w:gridSpan w:val="11"/>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
        </w:trPr>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6. Exhibits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16"/>
        </w:trPr>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23"/>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Part III. Signatures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0"/>
        </w:trPr>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Ventoux CCM Acquisition Corp. (the “Company,” “we,” “us” or “our”) is filing this Amendment No. 1 to its Quarterly Report on Form 10-Q/A for the quarterly period ended September 30, 2021 (this “Quarterly Report”) to amend and restate certain terms in its Quarterly Report on Form 10-Q for the quarterly period September 30, 2021 originally filed with the Securities and Exchange Commission (the “SEC”) on November 15, 2021 (the “Original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Restatement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All of the shares held by the Company’s public stockholders (the “Public Shares”) contain a redemption feature which provides each holder of such shares with the opportunity to have their shares redeemed, and management has no control over which Public Shares will be redeemed. ASC 480-10-S99-3A provides that redemption provisions not solely within the control of the issuer require shares subject to redemption to be classified outside of permanent equity. Furthermore, ASC 480-10-25-6(b) provides guidance stating that in determining if an instrument is mandatorily redeemable, a provision that defers redemption until a specified liquidity level is reached would not affect classification of the instrument. As such, management has identified errors made in the historical financial statements where, at the closing of the Company’s Initial Public Offering, the Company improperly valued its common stock subject to possible redemption. The Company previously determined the common stock subject to possible redemption to be equal to the redemption value, while also taking into consideration a redemption cannot result in net tangible assets being less than $5,000,001. Management determined that the Public Shares can be redeemed or become redeemable subject to the occurrence of future events considered outside the Company’s control. Therefore, management concluded that the redemption value should include all common stock subject to possible redemption, resulting in the common stock subject to possible redemption being equal to their redemption value. As a result, management has noted a reclassification adjustment related to temporary equity and permanent equity as of the Initial Public Offering date and all subsequent reporting periods.</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a result, the Company’s management, together with the Audit Committee, determined that the Company’s financial statements and other financial data as of and for the three months ended March 31, 2021 and June 30, 2021 should be restated in the Form 10-Q/A as a result of this error. The three months ended March 31, 2021 and June 30, 2021 will be restated in Note 2 of this September 30, 2021 amended Form 10-Q. These restatements result in a change in the initial carrying value of the common stock subject to possible redemption with the offset recorded to additional paid-in capital (to the extent available), accumulated deficit and common stock. Further, there is no impact to the reported amounts for total assets, total liabilities, cash flows, or net income (loss) but earnings per share was impacted due to a change in presentation relating to the restatements.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information that has been previously filed or otherwise reported for this period is superseded by the information in this Form 10-Q/A, and the financial statements and related financial information contained in the Original Quarterly Report should no longer be relied upon. On December 2, 2021, the Company filed a report on Form 8-K disclosing the non-reliance on the financial statements included in the Original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Considerations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restatement, management has re-evaluated the effectiveness of the Company’s disclosure controls and procedures and internal control over financial reporting as of September 30, 2021. The Company’s management has concluded that, in light of the errors described above, and the filing of the Form 10-Q, a material weakness exists in the Company’s internal control over financial reporting and that the Company’s disclosure controls and procedures were not effective. Management plans to enhance the system of evaluating and implementing the accounting standards that apply to our financial statements, including enhanced training of our personnel and increased communication among our personnel and third-party professionals with whom we consult regarding application of complex financial instruments. For a discussion of management’s consideration of our disclosure controls and procedures, internal controls over financial reporting, and the material weaknesses identified, see Part I, Item 4, “Controls and Procedures” of this Form 10-Q/A.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Interim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VENTOUX CCM ACQUISITION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505,849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1,071,253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120,495</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626,344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1,100,453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174,262,524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151,500,000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w w:val="99"/>
              </w:rPr>
              <w:t>174,888,868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w w:val="93"/>
              </w:rPr>
              <w:t>152,600,453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304,003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Advance from related party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120,005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308,345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1,668,750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7,320,000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1,977,095</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7,458,128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subject to possible redemption 17,250,000 and 15,000,000 shares at $10.10 per share redemption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as of September 30, 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174,225,000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151,500,000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$0.0001 par value; 50,000,000 shares authorized; 4,312,500 shares issued and outstanding as of</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2021 and December 31, 2020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(1,313,658)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(6,358,106)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(1,313,227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(6,357,675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9"/>
              </w:rPr>
              <w:t>174,888,868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93"/>
              </w:rPr>
              <w:t>152,600,453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189,283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639,984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(189,283)</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(639,984)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(85)</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(loss):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1,001,250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6,488,250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Loss on initial issuance of private warrants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(162,000)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2,618</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37,524</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other income, net</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1,003,868</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6,363,774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814,585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5,723,790</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(4,342)</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814,585</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5,719,448</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of common stock</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21,562,500</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3,750,000</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21,529,412</w:t>
            </w: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3,750,000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9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80" w:type="dxa"/>
            <w:vAlign w:val="bottom"/>
          </w:tcPr>
          <w:p>
            <w:pPr>
              <w:spacing w:after="0"/>
              <w:rPr>
                <w:sz w:val="20"/>
                <w:szCs w:val="20"/>
                <w:color w:val="auto"/>
              </w:rPr>
            </w:pPr>
            <w:r>
              <w:rPr>
                <w:rFonts w:ascii="Arial" w:cs="Arial" w:eastAsia="Arial" w:hAnsi="Arial"/>
                <w:sz w:val="18"/>
                <w:szCs w:val="18"/>
                <w:b w:val="1"/>
                <w:bCs w:val="1"/>
                <w:color w:val="auto"/>
              </w:rPr>
              <w:t>Basic and diluted net income per share of common stock</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0.04</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0.27</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line="275" w:lineRule="auto"/>
        <w:rPr>
          <w:sz w:val="20"/>
          <w:szCs w:val="20"/>
          <w:color w:val="auto"/>
        </w:rPr>
      </w:pPr>
      <w:r>
        <w:rPr>
          <w:rFonts w:ascii="Arial" w:cs="Arial" w:eastAsia="Arial" w:hAnsi="Arial"/>
          <w:sz w:val="18"/>
          <w:szCs w:val="18"/>
          <w:b w:val="1"/>
          <w:bCs w:val="1"/>
          <w:color w:val="auto"/>
        </w:rPr>
        <w:t>VENTOUX CCM ACQUISITION CORP. CONDENSED STATEMENTS OF CHANGES IN STOCKHOLDERS’ EQUITY (UNAUDITED)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9"/>
          </w:tcPr>
          <w:p>
            <w:pPr>
              <w:ind w:left="3160"/>
              <w:spacing w:after="0"/>
              <w:rPr>
                <w:sz w:val="20"/>
                <w:szCs w:val="20"/>
                <w:color w:val="auto"/>
              </w:rPr>
            </w:pPr>
            <w:r>
              <w:rPr>
                <w:rFonts w:ascii="Arial" w:cs="Arial" w:eastAsia="Arial" w:hAnsi="Arial"/>
                <w:sz w:val="18"/>
                <w:szCs w:val="18"/>
                <w:b w:val="1"/>
                <w:bCs w:val="1"/>
                <w:color w:val="auto"/>
              </w:rPr>
              <w:t>THREE AND NINE MONTHS ENDED SEPTEMBER 30, 2021</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Deficit)</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Paid</w:t>
            </w:r>
          </w:p>
        </w:tc>
        <w:tc>
          <w:tcPr>
            <w:tcW w:w="140" w:type="dxa"/>
            <w:vAlign w:val="bottom"/>
          </w:tcPr>
          <w:p>
            <w:pPr>
              <w:spacing w:after="0"/>
              <w:rPr>
                <w:sz w:val="22"/>
                <w:szCs w:val="2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(6,358,106)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(6,357,675)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Initial Public Offering to public warrants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Initial Public Offering to public rights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956,250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956,250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Accretion for common shares to redemption amount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(2,306,250)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(2,981,250)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3,461,107</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3,461,107</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 (as restated – see Note 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(3,571,999)</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(3,571,568)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1,443,756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1,443,756</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 (as restated – see Note 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(2,128,243)</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(2,127,812)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814,585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814,585</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2021 (unaudited)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(1,313,658</w:t>
            </w:r>
            <w:r>
              <w:rPr>
                <w:rFonts w:ascii="Arial" w:cs="Arial" w:eastAsia="Arial" w:hAnsi="Arial"/>
                <w:sz w:val="29"/>
                <w:szCs w:val="29"/>
                <w:b w:val="1"/>
                <w:bCs w:val="1"/>
                <w:color w:val="auto"/>
                <w:vertAlign w:val="superscript"/>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b w:val="1"/>
                <w:bCs w:val="1"/>
                <w:color w:val="auto"/>
              </w:rPr>
              <w:t>(1,313,227</w:t>
            </w:r>
            <w:r>
              <w:rPr>
                <w:rFonts w:ascii="Arial" w:cs="Arial" w:eastAsia="Arial" w:hAnsi="Arial"/>
                <w:sz w:val="29"/>
                <w:szCs w:val="29"/>
                <w:b w:val="1"/>
                <w:bCs w:val="1"/>
                <w:color w:val="auto"/>
                <w:vertAlign w:val="superscript"/>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00" w:type="dxa"/>
            <w:vAlign w:val="bottom"/>
            <w:gridSpan w:val="9"/>
          </w:tcPr>
          <w:p>
            <w:pPr>
              <w:ind w:left="3160"/>
              <w:spacing w:after="0"/>
              <w:rPr>
                <w:sz w:val="20"/>
                <w:szCs w:val="20"/>
                <w:color w:val="auto"/>
              </w:rPr>
            </w:pPr>
            <w:r>
              <w:rPr>
                <w:rFonts w:ascii="Arial" w:cs="Arial" w:eastAsia="Arial" w:hAnsi="Arial"/>
                <w:sz w:val="18"/>
                <w:szCs w:val="18"/>
                <w:b w:val="1"/>
                <w:bCs w:val="1"/>
                <w:color w:val="auto"/>
              </w:rPr>
              <w:t>THREE AND NINE MONTHS ENDED SEPTEMBER 30, 2020</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Deficit)</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Paid</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24,569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24,569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24,569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(1,535)</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23,465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24,569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(1,535</w:t>
            </w:r>
            <w:r>
              <w:rPr>
                <w:rFonts w:ascii="Arial" w:cs="Arial" w:eastAsia="Arial" w:hAnsi="Arial"/>
                <w:sz w:val="29"/>
                <w:szCs w:val="29"/>
                <w:b w:val="1"/>
                <w:bCs w:val="1"/>
                <w:color w:val="auto"/>
                <w:vertAlign w:val="superscript"/>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23,465</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ind w:left="32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left="3280"/>
        <w:spacing w:after="0"/>
        <w:rPr>
          <w:sz w:val="20"/>
          <w:szCs w:val="20"/>
          <w:color w:val="auto"/>
        </w:rPr>
      </w:pPr>
      <w:r>
        <w:rPr>
          <w:rFonts w:ascii="Arial" w:cs="Arial" w:eastAsia="Arial" w:hAnsi="Arial"/>
          <w:sz w:val="17"/>
          <w:szCs w:val="17"/>
          <w:b w:val="1"/>
          <w:bCs w:val="1"/>
          <w:color w:val="auto"/>
        </w:rPr>
        <w:t>CONDENSED STATEMENTS OF CASH FLOWS</w:t>
      </w:r>
    </w:p>
    <w:p>
      <w:pPr>
        <w:spacing w:after="0" w:line="21" w:lineRule="exact"/>
        <w:rPr>
          <w:sz w:val="20"/>
          <w:szCs w:val="20"/>
          <w:color w:val="auto"/>
        </w:rPr>
      </w:pPr>
    </w:p>
    <w:p>
      <w:pPr>
        <w:jc w:val="center"/>
        <w:ind w:left="32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 in fair value of warrant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on initial issuance of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right="3320"/>
        <w:spacing w:after="0" w:line="250" w:lineRule="auto"/>
        <w:rPr>
          <w:sz w:val="20"/>
          <w:szCs w:val="20"/>
          <w:color w:val="auto"/>
        </w:rPr>
      </w:pPr>
      <w:r>
        <w:rPr>
          <w:rFonts w:ascii="Arial" w:cs="Arial" w:eastAsia="Arial" w:hAnsi="Arial"/>
          <w:sz w:val="18"/>
          <w:szCs w:val="18"/>
          <w:color w:val="auto"/>
        </w:rPr>
        <w:t>Interest earned on marketable securities held in Trust Account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Income taxes payable</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Investment of cash in Trust Account</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Units, net of underwriting discounts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promissory note -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Advances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advances from related 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Offering costs paid through promissory 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spacing w:after="0"/>
        <w:tabs>
          <w:tab w:leader="none" w:pos="380" w:val="left"/>
          <w:tab w:leader="none" w:pos="1320" w:val="left"/>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5,719,448</w:t>
        <w:tab/>
        <w:t>$</w:t>
      </w:r>
      <w:r>
        <w:rPr>
          <w:sz w:val="20"/>
          <w:szCs w:val="20"/>
          <w:color w:val="auto"/>
        </w:rPr>
        <w:tab/>
      </w:r>
      <w:r>
        <w:rPr>
          <w:rFonts w:ascii="Arial" w:cs="Arial" w:eastAsia="Arial" w:hAnsi="Arial"/>
          <w:sz w:val="16"/>
          <w:szCs w:val="16"/>
          <w:color w:val="auto"/>
        </w:rPr>
        <w:t>(85)</w:t>
      </w:r>
    </w:p>
    <w:p>
      <w:pPr>
        <w:spacing w:after="0" w:line="225" w:lineRule="exact"/>
        <w:rPr>
          <w:sz w:val="20"/>
          <w:szCs w:val="20"/>
          <w:color w:val="auto"/>
        </w:rPr>
      </w:pPr>
    </w:p>
    <w:p>
      <w:pPr>
        <w:ind w:left="340"/>
        <w:spacing w:after="0"/>
        <w:tabs>
          <w:tab w:leader="none" w:pos="2260" w:val="left"/>
        </w:tabs>
        <w:rPr>
          <w:sz w:val="20"/>
          <w:szCs w:val="20"/>
          <w:color w:val="auto"/>
        </w:rPr>
      </w:pPr>
      <w:r>
        <w:rPr>
          <w:rFonts w:ascii="Arial" w:cs="Arial" w:eastAsia="Arial" w:hAnsi="Arial"/>
          <w:sz w:val="18"/>
          <w:szCs w:val="18"/>
          <w:color w:val="auto"/>
        </w:rPr>
        <w:t>(6,488,250)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162,000</w:t>
      </w:r>
    </w:p>
    <w:p>
      <w:pPr>
        <w:spacing w:after="0" w:line="9" w:lineRule="exact"/>
        <w:rPr>
          <w:sz w:val="20"/>
          <w:szCs w:val="20"/>
          <w:color w:val="auto"/>
        </w:rPr>
      </w:pPr>
    </w:p>
    <w:p>
      <w:pPr>
        <w:ind w:left="580"/>
        <w:spacing w:after="0"/>
        <w:tabs>
          <w:tab w:leader="none" w:pos="2260" w:val="left"/>
        </w:tabs>
        <w:rPr>
          <w:sz w:val="20"/>
          <w:szCs w:val="20"/>
          <w:color w:val="auto"/>
        </w:rPr>
      </w:pPr>
      <w:r>
        <w:rPr>
          <w:rFonts w:ascii="Arial" w:cs="Arial" w:eastAsia="Arial" w:hAnsi="Arial"/>
          <w:sz w:val="18"/>
          <w:szCs w:val="18"/>
          <w:color w:val="auto"/>
        </w:rPr>
        <w:t>(37,524)</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580"/>
        <w:spacing w:after="0"/>
        <w:tabs>
          <w:tab w:leader="none" w:pos="2260" w:val="left"/>
        </w:tabs>
        <w:rPr>
          <w:sz w:val="20"/>
          <w:szCs w:val="20"/>
          <w:color w:val="auto"/>
        </w:rPr>
      </w:pPr>
      <w:r>
        <w:rPr>
          <w:rFonts w:ascii="Arial" w:cs="Arial" w:eastAsia="Arial" w:hAnsi="Arial"/>
          <w:sz w:val="18"/>
          <w:szCs w:val="18"/>
          <w:color w:val="auto"/>
        </w:rPr>
        <w:t>(91,295)</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540"/>
        <w:spacing w:after="0"/>
        <w:tabs>
          <w:tab w:leader="none" w:pos="2100" w:val="left"/>
        </w:tabs>
        <w:rPr>
          <w:sz w:val="20"/>
          <w:szCs w:val="20"/>
          <w:color w:val="auto"/>
        </w:rPr>
      </w:pPr>
      <w:r>
        <w:rPr>
          <w:rFonts w:ascii="Arial" w:cs="Arial" w:eastAsia="Arial" w:hAnsi="Arial"/>
          <w:sz w:val="18"/>
          <w:szCs w:val="18"/>
          <w:color w:val="auto"/>
        </w:rPr>
        <w:t>285,880</w:t>
      </w:r>
      <w:r>
        <w:rPr>
          <w:sz w:val="20"/>
          <w:szCs w:val="20"/>
          <w:color w:val="auto"/>
        </w:rPr>
        <w:tab/>
      </w:r>
      <w:r>
        <w:rPr>
          <w:rFonts w:ascii="Arial" w:cs="Arial" w:eastAsia="Arial" w:hAnsi="Arial"/>
          <w:sz w:val="18"/>
          <w:szCs w:val="18"/>
          <w:color w:val="auto"/>
        </w:rPr>
        <w:t>(450)</w:t>
      </w:r>
    </w:p>
    <w:p>
      <w:pPr>
        <w:spacing w:after="0" w:line="9" w:lineRule="exact"/>
        <w:rPr>
          <w:sz w:val="20"/>
          <w:szCs w:val="20"/>
          <w:color w:val="auto"/>
        </w:rPr>
      </w:pPr>
    </w:p>
    <w:p>
      <w:pPr>
        <w:ind w:left="720"/>
        <w:spacing w:after="0"/>
        <w:tabs>
          <w:tab w:leader="none" w:pos="2260" w:val="left"/>
        </w:tabs>
        <w:rPr>
          <w:sz w:val="20"/>
          <w:szCs w:val="20"/>
          <w:color w:val="auto"/>
        </w:rPr>
      </w:pPr>
      <w:r>
        <w:rPr>
          <w:rFonts w:ascii="Arial" w:cs="Arial" w:eastAsia="Arial" w:hAnsi="Arial"/>
          <w:sz w:val="18"/>
          <w:szCs w:val="18"/>
          <w:color w:val="auto"/>
        </w:rPr>
        <w:t>4,342</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8"/>
          <w:szCs w:val="18"/>
          <w:b w:val="1"/>
          <w:bCs w:val="1"/>
          <w:color w:val="auto"/>
        </w:rPr>
        <w:t>(445,399)</w:t>
      </w:r>
      <w:r>
        <w:rPr>
          <w:sz w:val="20"/>
          <w:szCs w:val="20"/>
          <w:color w:val="auto"/>
        </w:rPr>
        <w:tab/>
      </w:r>
      <w:r>
        <w:rPr>
          <w:rFonts w:ascii="Arial" w:cs="Arial" w:eastAsia="Arial" w:hAnsi="Arial"/>
          <w:sz w:val="17"/>
          <w:szCs w:val="17"/>
          <w:b w:val="1"/>
          <w:bCs w:val="1"/>
          <w:color w:val="auto"/>
        </w:rPr>
        <w:t>(535)</w:t>
      </w:r>
    </w:p>
    <w:p>
      <w:pPr>
        <w:spacing w:after="0" w:line="200" w:lineRule="exact"/>
        <w:rPr>
          <w:sz w:val="20"/>
          <w:szCs w:val="20"/>
          <w:color w:val="auto"/>
        </w:rPr>
      </w:pPr>
    </w:p>
    <w:p>
      <w:pPr>
        <w:spacing w:after="0" w:line="281" w:lineRule="exact"/>
        <w:rPr>
          <w:sz w:val="20"/>
          <w:szCs w:val="20"/>
          <w:color w:val="auto"/>
        </w:rPr>
      </w:pPr>
    </w:p>
    <w:p>
      <w:pPr>
        <w:ind w:left="260"/>
        <w:spacing w:after="0"/>
        <w:tabs>
          <w:tab w:leader="none" w:pos="2260" w:val="left"/>
        </w:tabs>
        <w:rPr>
          <w:sz w:val="20"/>
          <w:szCs w:val="20"/>
          <w:color w:val="auto"/>
        </w:rPr>
      </w:pPr>
      <w:r>
        <w:rPr>
          <w:rFonts w:ascii="Arial" w:cs="Arial" w:eastAsia="Arial" w:hAnsi="Arial"/>
          <w:sz w:val="18"/>
          <w:szCs w:val="18"/>
          <w:color w:val="auto"/>
        </w:rPr>
        <w:t>(22,725,000)</w:t>
      </w:r>
      <w:r>
        <w:rPr>
          <w:sz w:val="20"/>
          <w:szCs w:val="20"/>
          <w:color w:val="auto"/>
        </w:rPr>
        <w:tab/>
      </w:r>
      <w:r>
        <w:rPr>
          <w:rFonts w:ascii="Arial" w:cs="Arial" w:eastAsia="Arial" w:hAnsi="Arial"/>
          <w:sz w:val="18"/>
          <w:szCs w:val="18"/>
          <w:color w:val="auto"/>
        </w:rPr>
        <w:t>—</w:t>
      </w:r>
    </w:p>
    <w:p>
      <w:pPr>
        <w:spacing w:after="0" w:line="37" w:lineRule="exact"/>
        <w:rPr>
          <w:sz w:val="20"/>
          <w:szCs w:val="20"/>
          <w:color w:val="auto"/>
        </w:rPr>
      </w:pPr>
    </w:p>
    <w:p>
      <w:pPr>
        <w:ind w:left="260"/>
        <w:spacing w:after="0"/>
        <w:tabs>
          <w:tab w:leader="none" w:pos="2260" w:val="left"/>
        </w:tabs>
        <w:rPr>
          <w:sz w:val="20"/>
          <w:szCs w:val="20"/>
          <w:color w:val="auto"/>
        </w:rPr>
      </w:pPr>
      <w:r>
        <w:rPr>
          <w:rFonts w:ascii="Arial" w:cs="Arial" w:eastAsia="Arial" w:hAnsi="Arial"/>
          <w:sz w:val="18"/>
          <w:szCs w:val="18"/>
          <w:b w:val="1"/>
          <w:bCs w:val="1"/>
          <w:color w:val="auto"/>
        </w:rPr>
        <w:t>(22,725,000)</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1" w:lineRule="exact"/>
        <w:rPr>
          <w:sz w:val="20"/>
          <w:szCs w:val="20"/>
          <w:color w:val="auto"/>
        </w:rPr>
      </w:pPr>
    </w:p>
    <w:p>
      <w:pPr>
        <w:ind w:left="320"/>
        <w:spacing w:after="0"/>
        <w:tabs>
          <w:tab w:leader="none" w:pos="2260" w:val="left"/>
        </w:tabs>
        <w:rPr>
          <w:sz w:val="20"/>
          <w:szCs w:val="20"/>
          <w:color w:val="auto"/>
        </w:rPr>
      </w:pPr>
      <w:r>
        <w:rPr>
          <w:rFonts w:ascii="Arial" w:cs="Arial" w:eastAsia="Arial" w:hAnsi="Arial"/>
          <w:sz w:val="18"/>
          <w:szCs w:val="18"/>
          <w:color w:val="auto"/>
        </w:rPr>
        <w:t>22,050,000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color w:val="auto"/>
        </w:rPr>
        <w:t>675,000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145,000</w:t>
      </w:r>
    </w:p>
    <w:p>
      <w:pPr>
        <w:spacing w:after="0" w:line="9"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color w:val="auto"/>
        </w:rPr>
        <w:t>525,000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(103,825)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(645,005)—</w:t>
      </w:r>
    </w:p>
    <w:p>
      <w:pPr>
        <w:spacing w:after="0" w:line="31" w:lineRule="exact"/>
        <w:rPr>
          <w:sz w:val="20"/>
          <w:szCs w:val="20"/>
          <w:color w:val="auto"/>
        </w:rPr>
      </w:pPr>
    </w:p>
    <w:p>
      <w:pPr>
        <w:ind w:left="320"/>
        <w:spacing w:after="0"/>
        <w:tabs>
          <w:tab w:leader="none" w:pos="1940" w:val="left"/>
        </w:tabs>
        <w:rPr>
          <w:sz w:val="20"/>
          <w:szCs w:val="20"/>
          <w:color w:val="auto"/>
        </w:rPr>
      </w:pPr>
      <w:r>
        <w:rPr>
          <w:rFonts w:ascii="Arial" w:cs="Arial" w:eastAsia="Arial" w:hAnsi="Arial"/>
          <w:sz w:val="18"/>
          <w:szCs w:val="18"/>
          <w:b w:val="1"/>
          <w:bCs w:val="1"/>
          <w:color w:val="auto"/>
        </w:rPr>
        <w:t>22,604,995</w:t>
      </w:r>
      <w:r>
        <w:rPr>
          <w:sz w:val="20"/>
          <w:szCs w:val="20"/>
          <w:color w:val="auto"/>
        </w:rPr>
        <w:tab/>
      </w:r>
      <w:r>
        <w:rPr>
          <w:rFonts w:ascii="Arial" w:cs="Arial" w:eastAsia="Arial" w:hAnsi="Arial"/>
          <w:sz w:val="18"/>
          <w:szCs w:val="18"/>
          <w:color w:val="auto"/>
        </w:rPr>
        <w:t>41,175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(565,404)</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40,640</w:t>
            </w:r>
          </w:p>
        </w:tc>
      </w:tr>
      <w:tr>
        <w:trPr>
          <w:trHeight w:val="230"/>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1,071,253</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505,849</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65,640</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95"/>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8,018</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20"/>
          </w:cols>
          <w:pgMar w:left="320" w:top="877" w:right="379" w:bottom="1440" w:gutter="0" w:footer="0" w:header="0"/>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 unaudited condensed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Ventoux CCM Acquisition Corp. (formerly known as Chardan Global Acquisition Corp.) (the “Company”) is a blank check company incorporated in Delaware on July 10, 2019. The Company was formed for the purpose of entering into a merger, share exchange, asset acquisition, stock purchase, recapitalization, reorganization or other similar business transaction with one or more businesses or entities (a “Business Combination”).</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2021 the Company had not commenced any operations. All the Company’s activity through September 30, 2021 related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on marketable securities held in the Trust Account (as defined below)</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December 23, 2020. On December 30, 2020, the Company consummated the Initial Public Offering of 15,000,000 Units (the “Units” and, with respect to the shares of common stock included in the Units sold, the “Public Shares”), at $10.00 per Unit, generating gross proceeds of $150,000,000, which is described in Note 4.</w:t>
      </w:r>
    </w:p>
    <w:p>
      <w:pPr>
        <w:spacing w:after="0" w:line="18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Simultaneously with the closing of the Initial Public Offering, the Company consummated the sale of 6,000,000 warrants (the “Private Warrants”) at a price of $1.00 per Private Warrant in a private placement to Ventoux Acquisition Holdings LLC (“Ventoux Acquisition”), the co-sponsor and an affiliate of certain of the Company’s officers and directors, and Chardan International Investments, LLC (“Chardan Investments”), the co-sponsor and an affiliate of certain of the Company’s directors and Chardan Capital Markets, LLC, generating gross proceeds of $6,000,000, which is described in Note 5.</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closing of the Initial Public Offering on December 30, 2020, an amount of $151,500,000 ($10.10 per Unit) from the net proceeds of the sale of the Units in the Initial Public Offering and the sale of the Private Warrants was placed in a trust account (the “Trust Account”), to be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as described below.</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5, 2021, the underwriters fully exercised their over-allotment option. In connection with the underwriters’ exercise of their over-allotment option, the Company also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As a result of the underwriters’ election to exercise their over-allotment option in full, 562,500 Founder Shares (as defined in Note 6) are no longer subject to forfeiture.</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anticipated to be $10.10 per share, plus any pro rata interest earned on the funds held in the Trust Account and not previously released to the Company to pay its tax obligations). There will be no redemption rights upon the completion of a Business Combination with respect to the Company’s rights or warrants.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Initial Public Offering (collectively, the “Initial Stockholders”) have agreed to (a) vote their Founder Shares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have until March 30, 2022 to consummate a Business Combination. However, if the Company anticipates that it may not be able to consummate a Business Combination by March 30, 2022, the Company may extend the period of time to consummate a Business Combination one time by an additional three months (until June 30, 2022) to complete a Business Combination (the “Combination Period”). In order to extend the time available for the Company to consummate a Business Combination, the Initial Stockholders or their affiliates or designees must deposit into the Trust Account $1,725,000 (due to the exercise in full of the underwriters’ over-allotment option) ($0.10 per Public Share), on or prior to the date of the applicable deadline.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Initial Stockholders have agreed to (i) waive their redemption rights with respect to Founder Shares and any Public Shares they may acquire during or after the Initial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w:t>
      </w:r>
    </w:p>
    <w:p>
      <w:pPr>
        <w:spacing w:after="0" w:line="2" w:lineRule="exact"/>
        <w:rPr>
          <w:sz w:val="20"/>
          <w:szCs w:val="20"/>
          <w:color w:val="auto"/>
        </w:rPr>
      </w:pPr>
    </w:p>
    <w:p>
      <w:pPr>
        <w:jc w:val="both"/>
        <w:ind w:firstLine="8"/>
        <w:spacing w:after="0" w:line="25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protect the amounts held in the Trust Account, certain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and Liquidity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September 30, 2021, the Company had $505,849 in its operating bank accounts, $174,262,524 in securities held in the Trust Account to be used for a Business Combination or to repurchase or redeem its common stock in connection therewith and working capital of $317,999. As of September 30, 2021, $37,524 of the amount on deposit in the Trust Account represented interest income, which is available to pay the Company’s tax obligations.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above,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 liquidity condition and date for mandatory liquidation and dissolution raise substantial doubt about the Company’s ability to continue as a going concern through March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preparation of the Company’s financial statements as of September 30, 2021, management determined it should restate its previously reported financial statements. During the quarter ended September 30, 2021, the Company determined that at the closing of the Company’s Initial Public Offering (including the sale of the shares issued pursuant to the exercise of the underwriters’ overallotment) it had improperly valued its common stock subject to possible redemption at the closing of the Company’s Initial Public Offering and the closing of the sale of shares pursuant to the exercise of the underwriters’ overallotment, it had improperly classified certain of its common stock subject to possible redemption. The Company previously determined the common stock subject to possible redemption to be equal to the redemption value of $10.10 per common stock while also taking into consideration a redemption cannot result in net tangible assets being less than $5,000,001. Management determined that the common stock issued during the Initial Public Offering and pursuant to the exercise of the underwriters’ overallotment can be redeemed or become redeemable subject to the occurrence of future events considered outside the Company’s control. Therefore, management concluded that temporary equity should include all common stock subject to possible redemption, resulting in the common stock subject to possible redemption being equal to their redemption value. As a result, management has noted a reclassification adjustment related to temporary equity and permanent equity. This resulted in an adjustment to the initial carrying value of the common stock subject to possible redemption with the offset recorded to additional paid-in capital (to the extent available), accumulated deficit and common stock.</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change in presentation for the common stock subject to redemption, the Company also restated its income (loss) per common share calculation to no longer present redeemable and non-redeemable common stock per share and to present earnings per share for common stock as a whole. This presentation contemplates a Business Combination as the most likely outcome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change in the Company’s total assets, liabilities or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restatement on the Company’s historical financial statements is reflected in the following tables.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As Previously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As Restated</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Condensed Balance Sheet as of March 31, 2021 (unaudited)</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165,653,423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8,571,577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174,225,000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2,902,897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(2,902,897)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2,096,596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(5,668,595)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(3,571,999)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(8,571,577)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(3,571,568)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16,401,329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848,671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17,250,000</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Condensed Balance Sheet as of June 30, 2021 (unaudited)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167,097,180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7,127,820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174,225,000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1,459,154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(1,459,154)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3,540,352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(5,668,595)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(2,128,243)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(7,127,820)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(2,127,812)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16,544,275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705,725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17,250,000</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320" w:type="dxa"/>
            <w:vAlign w:val="bottom"/>
          </w:tcPr>
          <w:p>
            <w:pPr>
              <w:spacing w:after="0" w:line="198" w:lineRule="exact"/>
              <w:rPr>
                <w:sz w:val="20"/>
                <w:szCs w:val="20"/>
                <w:color w:val="auto"/>
              </w:rPr>
            </w:pPr>
            <w:r>
              <w:rPr>
                <w:rFonts w:ascii="Arial" w:cs="Arial" w:eastAsia="Arial" w:hAnsi="Arial"/>
                <w:sz w:val="18"/>
                <w:szCs w:val="18"/>
                <w:b w:val="1"/>
                <w:bCs w:val="1"/>
                <w:color w:val="auto"/>
              </w:rPr>
              <w:t>Condensed Statement of Cash Flows for the Three Months Ended March 31, 2021</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Initial classification of common stock subject to possible redemption from over-allotment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22,219,813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(22,219,813)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3,291,292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(3,291,292)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Condensed Statement of Cash Flows for the Six Months Ended June 30, 2021 (unaudited)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22,219,813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(22,219,813)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4,735,049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(4,735,049)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Statement of Operations for the Three Months Ended March 31,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redeemable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17,125,000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(17,125,000)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(loss) per share, redeemable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non-redeemable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4,312,500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(4,312,500)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per share of non-redeemable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21,437,500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21,437,500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per share,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Statement of Operations for the Three Months Ended June 30,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redeemable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17,250,000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per share, redeemable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non-redeemable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4,312,500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(4,312,500)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per share of non-redeemable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21,562,500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21,562,500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per share,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Statement of Operations for the Six Months Ended June 30,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redeemable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17,250,000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per share, redeemable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non-redeemable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4,312,500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(4,312,500)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per share of non-redeemable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21,512,500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21,512,500</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per share,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r>
      <w:tr>
        <w:trPr>
          <w:trHeight w:val="641"/>
        </w:trPr>
        <w:tc>
          <w:tcPr>
            <w:tcW w:w="73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636"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accompanying unaudited condensed financial statements should be read in conjunction with the Company’s Annual Report on Form 10-K, Amendment No. 2, for the year ended December 31, 2020 as filed with the SEC on December 3, 2021. The interim results for the three and nine months ended September 30, 2021 are not necessarily indicative of the results to be expected for the year ending December 31, 2021 or for any future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unaudited condensed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September 30, 2021 and December 31,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Certain of the Company’s common stock features certain redemption rights that are considered to be outside of the Company’s control and subject to occurrence of uncertain future events. Accordingly, shares of common stock subject to possible redemption are presented as temporary equity, outside of the stockholders’ equity section of the Company’s balance sheets.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At September 30, 2021, the common stock reflected in the condensed balance sheet are reconciled in the following table: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172,500,000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allocated to Public Warrants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(10,275,000)</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Proceeds Allocated to Public Rights</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(7,331,250)</w:t>
            </w: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issuance costs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(3,968,164)</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Plus: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of carrying value to redemption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23,299,414</w:t>
            </w:r>
          </w:p>
        </w:tc>
      </w:tr>
      <w:tr>
        <w:trPr>
          <w:trHeight w:val="216"/>
        </w:trPr>
        <w:tc>
          <w:tcPr>
            <w:tcW w:w="100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subject to possible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174,225,000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warrants to purchase shares of common stock, to determine if such instruments are derivatives or contain features that qualify as embedded derivatives, pursuant to ASC 480 and FASB ASC Topic 815, “Derivatives and Hedging” (“ASC 815”). The Company accounts for the Public Warrants and Private Warrants in accordance with the guidance contained in ASC 815-40, “</w:t>
      </w:r>
      <w:r>
        <w:rPr>
          <w:rFonts w:ascii="Arial" w:cs="Arial" w:eastAsia="Arial" w:hAnsi="Arial"/>
          <w:sz w:val="16"/>
          <w:szCs w:val="16"/>
          <w:i w:val="1"/>
          <w:iCs w:val="1"/>
          <w:color w:val="auto"/>
        </w:rPr>
        <w:t>Derivatives and Hedging — Contracts in Entity’s Own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w:t>
      </w:r>
      <w:r>
        <w:rPr>
          <w:rFonts w:ascii="Arial" w:cs="Arial" w:eastAsia="Arial" w:hAnsi="Arial"/>
          <w:sz w:val="16"/>
          <w:szCs w:val="16"/>
          <w:color w:val="auto"/>
        </w:rPr>
        <w:t>under which the Private Warrants do not meet the criteria for equity treatment and must be recorded as liabilities. Accordingly,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classifies the Private Warrants as liabilities at their fair value and adjusts the Private Warrants to fair value at each reporting period. This liability is subject to re-measurement at each balance sheet date until exercised, and any change in fair value is recognized in our statements of operations. The Private Warrants were initially and subsequently valued using a Modified Black-Scholes model, which is considered to be a Level 3 fair value measurement.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2021 and December 31, 2020, the Company had deferred tax assets with a full valuation allowance recorded against them.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current taxable income primarily consists of interest earned on the Trust Account. The Company’s general and administrative costs are generally considered start-up costs and are not currently deductible. During the three and nine months ended September 30, 2021, the Company recorded income tax expense of $4,342. The Company’s effective tax rate for three and nine months ended September 30, 2021 differs from the expected income tax rate mainly due to change in fair value of warrants and the full valuation allowance on the Company’s deferred tax assets.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As of September 30,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 of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common stock is computed by dividing net income (loss) by the weighted average number of common stock outstanding for the period. Accretion associated with the redeemable shares of common stock is excluded from earnings per share as the redemption value approximates fair value.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considered the effect of (1) warrants sold in the Initial Public Offering to purchase 15,300,000 common stock, and (2) rights sold in the Initial Public Offering that convert into 862,500 common stock, in the calculation of diluted loss per share, since the exercise of warrants and the conversion of the rights into shares of common stock are contingent upon the occurrence of future events. As a result, diluted net loss per common stock is the same as basic net loss per common stock for the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The Company has not experienced losses on these accounts and management believes the Company is not exposed to significant risks on such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 the carrying amounts represented in the accompanying condensed balance sheets, primarily due to their short-term nature, except for the Private Warrants (see Note 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unaudited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Initial Public Offering, the Company sold 17,250,000 Units, inclusive of 2,250,000 Units sold to the underwriters on January 5, 2021 upon the underwriters’ election to fully exercise their over-allotment option at a purchase price of $10.00 per Unit. Each Unit consists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Simultaneously with the closing of the Initial Public Offering, Ventoux Acquisition purchased an aggregate of 4,000,000 Private Warrants and Chardan Investments purchased an aggregate of 2,000,000 Private Warrants, at $1.00 per Private Warrant resulting in combined aggregate purchase price of $6,000,000 in a private placement. On January 5, 2021, in connection with the underwriters’ election to fully exercise their over-allotment option, the Company sold an additional 450,000 and 225,000 Private Warrants to Ventoux Acquisition and Chardan Investments, respectively, at a price of $1.00 per Private Warrant, generating gross proceeds of $675,000.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As of the date hereof, Ventoux Acquisition holds 2,728,875 Founder Shares.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4,312,500 Founder Shares included an aggregate of up to 562,500 shares subject to forfeiture by the Initial Stockholders to the extent that the underwriters’ over-allotment was not exercised in full or in part, so that the Initial Stockholders would collectively own approximately 20% of the Company’s issued and outstanding shares after the Initial Public Offering (assuming the Initial Stockholders do not purchase any Public Shares in the Initial Public Offering). As a result of the underwriters’ election to fully exercise their over-allotment option on January 5, 2021, the Founder Shares are no longer subject to forfeiture.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an agreement, commencing on December 23, 2020 through the earlier of the Company’s consummation of a Business Combination or its liquidation, to pay Chardan Capital Markets, LLC a total of $10,000 per month for office space, utilities and secretarial support. For the three and nine months ended September 30, 2021, the Company incurred $30,000 and $90,000 in fees for these services, respectively, of which $90,000 is included in accounts payable and accrued expenses in the accompanying unaudited condensed balance sheets as of September 30, 2021. As of December 31, 2020, there were no amounts accrued under this agreement. For the three and nine months ended September 30, 2020, the Company did not incur any fees for these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 As of September 30, 2021 and December 31, 2020, no Working Capital Loans were outstanding.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Extension Loans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discussed in Note 1, the Company may extend the period of time to consummate a Business Combination one time, for an additional three months (until June 30, 2022) to complete a Business Combination. In order to extend the time available for the Company to consummate a Business Combination, the Initial Stockholders or their affiliates or designees must deposit into the Trust Account $1,725,000 (due to the exercise in full of the underwriters’ over-allotment option),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from Related Parties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Related parties advanced the Company approximately $2,520,000 to pay for certain offering costs in connection with the Initial Public Offering. At June 30, 2021, the full balance of advances was repaid. At December 31, 2020, $120,005 was owed to some of these related parties.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registration rights agreement entered into on December 23, 2020, the holders of the Founder Shares and the Private Warrants and securities that may be issued upon conversion of Working Capital Loans will be entitled to registration and stockholder rights pursuant to an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granted the underwriters a 45-day option from the date of the Initial Public Offering to purchase up to 2,250,000 additional Units to cover over-allotments, if any, at the Initial Public Offering price less the underwriting discounts and commissions. On January 5, 2021, the underwriters elected to fully exercise the over-allotment option to purchase an additional 2,250,000 Units at a price of $10.00 per Unit.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underwriters were paid cash underwriting discount of $0.20 per Unit, or $3,450,000 in the aggregate, upon the closing of the Initial Public Offering and the over-allotment option.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consummates its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 the Company’s Amended and Restated Certificate of Incorporation, the Company is authorized to issue up to 1,000,000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stock. As of September 30, 2021 and December 31, 2020, there were no shares of preferred stock issued or outstanding.</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50,000,000 shares of common stock with a par value of $0.0001 per share. Holders of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entitled to one vote for each share. At September 30, 2021 and December 31, 2020, there were 4,312,500 shares of common stock issued and outstanding, excluding 17,250,000 and 15,000,000 shares of common stock, respectively, subject to possible redemption and presented as temporary equity.</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Except in cases where the Company is not the surviving company in a Business Combination, each holder of a right will automatically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not issue fractional shares in connection with an exchange of rights, so holders must hold rights in denominations of 20 in order to receive a share of the Company’s common stock at the closing of the initial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There are 8,625,000 and 7,500,000 Public Warrants outstanding as of September 30, 2021 and December 31, 2020, respectively. The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will become exercisable at any time commencing on the later of one year after the closing of the Initial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70" w:lineRule="exact"/>
        <w:rPr>
          <w:rFonts w:ascii="Arial" w:cs="Arial" w:eastAsia="Arial" w:hAnsi="Arial"/>
          <w:sz w:val="18"/>
          <w:szCs w:val="18"/>
          <w:color w:val="auto"/>
        </w:rPr>
      </w:pPr>
    </w:p>
    <w:p>
      <w:pPr>
        <w:ind w:left="680" w:right="20" w:hanging="335"/>
        <w:spacing w:after="0" w:line="342"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Public Warrants are accounted for as equity on the condensed balance sheets.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Private Warrants are identical to the Public Warrants underlying the Units sold in the Initial Public Offering except that each Private Warrant is exercisable for one share of common stock at an exercise price of $11.50 per share,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 As of September 30, 2021 and December 31, 2020, there are 6,675,000 and 6,000,000 Private Warrants outstanding,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Private Warrants are accounted for as liabilities on the condensed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balance sheets and adjusted for the amortization or accretion of premiums or discounts.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presents its investment in money market funds on the balance sheet at fair value at the end of each reporting period. Gains and losses resulting from the change in fair value of these securities is included in interest income in the accompanying statements of operations. The estimated fair values of investments held in the trust account are determined using available market information.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2021, assets held in the Trust Account was comprised of $174,262,524 in money market funds which are invested primarily in U.S. Treasury Securities. During the three and nine months ended September 30, 2021, the Company did not withdraw any interest income from the Trust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assets held in the Trust Account were comprised of $151,500,000 in cash.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September 30, 2021 and December 31,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174,262,524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240" w:type="dxa"/>
            <w:vAlign w:val="bottom"/>
          </w:tcPr>
          <w:p>
            <w:pPr>
              <w:spacing w:after="0"/>
              <w:rPr>
                <w:sz w:val="20"/>
                <w:szCs w:val="20"/>
                <w:color w:val="auto"/>
              </w:rPr>
            </w:pPr>
          </w:p>
        </w:tc>
        <w:tc>
          <w:tcPr>
            <w:tcW w:w="860" w:type="dxa"/>
            <w:vAlign w:val="bottom"/>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 – Private Warrants</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1,668,750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7,320,000</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Private Warrants were accounted for as liabilities in accordance with ASC 815-40 and are presented within warrant liabilities on the balance sheet. The warrant liabilities are measured at fair value at inception and on a recurring basis, with changes in fair value presented in the statements of operations.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Private Warrants were initially and subsequently valued using a Modified Black-Scholes model, which is considered to be a Level 3 fair value measurement. The Modified Black-Scholes model’s primary unobservable input utilized in determining the fair value of the Private Warrants is the expected volatility of the common stock. The expected volatility was derived from observable public warrant pricing on comparable ‘blank-check’ companies without an identified target. The expected volatility as of subsequent valuation dates will be implied from the Company’s own Public Warrant pricing. Inherent in a Black-Scholes model are assumptions related to expected stock-price volatility, expected life, risk-free interest rate and dividend yield. However, inherent uncertainties are involved. If factors or assumptions change, the estimated fair values could be materially different.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4"/>
          </w:tcPr>
          <w:p>
            <w:pPr>
              <w:spacing w:after="0"/>
              <w:rPr>
                <w:sz w:val="20"/>
                <w:szCs w:val="20"/>
                <w:color w:val="auto"/>
              </w:rPr>
            </w:pPr>
            <w:r>
              <w:rPr>
                <w:rFonts w:ascii="Arial" w:cs="Arial" w:eastAsia="Arial" w:hAnsi="Arial"/>
                <w:sz w:val="18"/>
                <w:szCs w:val="18"/>
                <w:color w:val="auto"/>
              </w:rPr>
              <w:t>The following table presents the quantitative information regarding Level 3 fair value measurements of the warrant liabilities: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6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Stock price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19.15%</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Term</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Dividend yield</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level 3 warrant liabilities:</w:t>
      </w:r>
    </w:p>
    <w:p>
      <w:pPr>
        <w:spacing w:after="0" w:line="221"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Private</w:t>
      </w:r>
    </w:p>
    <w:p>
      <w:pPr>
        <w:spacing w:after="0" w:line="27"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Fair value as of December 31, 2020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Initial measurement on January 5, 2021 (Over 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Fair value as of September 30, 2021</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0" w:hanging="395"/>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7,320,000</w:t>
      </w:r>
    </w:p>
    <w:p>
      <w:pPr>
        <w:spacing w:after="0" w:line="3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837,000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(6,488,250)</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1,668,750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029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wp:posOffset>
            </wp:positionV>
            <wp:extent cx="7029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to/from levels 1, 2, and 3 are recognized at the beginning of the reporting period. There were no transfers in or out of Level 3 from other levels in the fair value hierarchy during the three and nine months ended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other than described below, the Company did not identify any subsequent events that would have required adjustment or disclosure in the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10, 2021, the Company entered into an agreement and plan of merger by and among the Company, Ventoux Merger Sub I Inc., a Delaware corporation and a direct, wholly-owned subsidiary of the Company (“Ventoux Merger Sub”), Ventoux Merger Sub II, LLC, a Delaware limited liability company and a direct, wholly-owned subsidiary of the Company (“Ventoux Merger Sub II”), and E La Carte, Inc., d/b/a Presto, Inc., a Delaware corporation (“Presto”) (as amended and/or restated from time to time, the “Merger Agreement”). The Merger Agreement has been approved by the Company’s and Presto’s board of directors. Subject to the satisfaction or waiver of certain closing conditions set forth in the Merger Agreement, including the approval of the Merger Agreement and the transactions contemplated thereby by Presto and the Company’s stockholders, (a) Ventoux Merger Sub will merge with and into Presto (the “First Merger”), with Presto being the surviving entity in the First Merger and continuing (immediately following the First Merger) as a wholly-owned subsidiary of the Company (the “Surviving Corporation”), and (b) immediately following the First Merger and as part of the same overall transaction as the First Merger, the Surviving Corporation will merge with and into Ventoux Merger Sub II (the “Second Merger”), with Ventoux Merger Sub II being the surviving entity in the Second Merger and continuing (immediately following the Second Merger) as a wholly-owned subsidiary of the Company (the “Mergers” and the other agreements and transactions contemplated by the Merger Agreement, the “Proposed Business Combination”). In addition, in connection with the consummation of the Proposed Business Combination, the Company will be renamed Presto Technologies, Inc. and is referred to herein as “New Presto” as of the time of such change of name.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Merger Agreement, subject to the satisfaction or waiver of certain closing conditions set forth therein, at the closing of the Proposed Business Combination (the “Closing”), the Company will acquire all of the outstanding equity interests of Presto, and stockholders of Presto will receive $800,000,000 in aggregate consideration (the “Aggregate Base Consideration”) in the form of newly issued common stock in New Presto, calculated based on a price of $10.00 per share.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Aggregate Base Consideration, Presto stockholders may be entitled to receive, as additional consideration, and without any action on behalf of the Company, Ventoux Merger Sub, Ventoux Merger Sub II or the Company’s stockholders, 15,000,000 additional shares of common stock of New Presto (the “Presto Earnout Shares”), to be issued as follows: (A) 7,500,000 Presto Earnout Shares, if, during the period from and after the Closing until the third anniversary of the Closing, the Volume Weighted Average Price (“VWAP” as defined in the Merger Agreement) of New Presto common stock is greater than or equal to $12.50 for any 20 trading days within a period of 30 consecutive trading days, and (B) an additional 7,500,000 Presto Earnout Shares, if, during the period from and after the Closing until the fifth anniversary of the Closing, the VWAP of New Presto common stock is greater than or equal to $15.00 for any 20 trading days within a period of 30 consecutive trading days.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Merger Agreement, at the time the First Merger becomes effective (the “Effective Time”), each option exercisable for Presto equity that is outstanding and unexercised immediately prior to the Effective Time will be assumed and converted into a newly issued option exercisable for common stock of New Presto. At the Effective Time, each warrant of Presto that is outstanding and unexercised immediately prior to the Effective Time shall, in accordance with its terms, either be (i) cancelled and converted into the right to receive common stock of New Presto, or (ii) assumed and converted into a newly issued warrant exercisable for common stock of New Presto. Immediately prior to the Effective Time, each convertible promissory note convertible for Presto equity that is issued and outstanding shall be cancelled and converted into the right to receive common stock of New Presto in accordance with the terms therein.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equity subscription agreements (the “Equity Subscription Agreements”) each dated as of November 10, 2021, with certain accredited investors, pursuant to which, among other things, the Company agreed to issue and sell, in private placements to close immediately prior to or substantially concurrently with the Closing, an aggregate of 1,500,000 shares of common stock for $10.00 per share. The Equity Subscription Agreements provide that the Company must file a registration statement to register the resale of the subscribed common stock no later than 30 days after the closing date of the Proposed Business Combination (the “Closing Date”).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entered into a convertible note subscription agreement (the “Convertible Note Subscription Agreement” and, together with the Equity Subscription Agreements, the “Subscription Agreements”), each dated as of November 10, 2021, with an institutional accredited investor (collectively, the “Note Investor”), pursuant to which, among other things, the Company agreed to issue and sell, in a private placement to close immediately prior to the Closing, an aggregate of $55,000,000 in aggregate principal amount of convertible notes (the “Notes”) and an aggregate of 1,000,000 warrants (the “Note Financing Warrants”).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any time prior to the close of business on the second trading day immediately preceding the maturity date of the Notes, the Notes will be convertible, at each holder’s option, into shares of common stock of New Presto at an initial conversion price equal to the lesser of (i) $13.00 and (ii) a 30% premium to the lowest per share price at which any equity of the Company is issued within 15 days prior to the Closing Date (the “Conversion Rate”). In the event of a conversion in connection with a Fundamental Change (as defined below) or a Company Redemption (as defined below), the Conversion Rate will be increased by a number of additional shares set forth in a usual and customary “make-whole table” to be included in the indenture governing the Notes (the “Indenture”).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any time on or after the first anniversary of the issuance of the Notes until the second business day prior to maturity, the Notes will be convertible, in whole but not in part, at the Company’s option (a “Mandatory Conversion”) if the closing price of common stock is greater than or equal to 130% of the conversion price of the Notes for 20 trading days during any 30-consecutive-trading-day period ending on day before the notice of the Mandatory Conversion is given. The Conversion Rate in connection with a Mandatory Conversion will be increased by a number of additional shares pursuant to the make-whole table described above.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Company may redeem the Notes at any time prior to the 21st trading day before maturity by paying, in cash, the principal, accrued interest, and a premium equal to, (1) through third anniversary, the present value of all remaining scheduled interest payments, computed using a discount rate equal to the Treasury Rate (to be defined in the Indenture) plus 0.50%, and warrants to purchase a number of shares equal to 50% of the number of shares into which the Notes redeemed were convertible, or (2) between third anniversary and maturity, of all remaining scheduled interest payments, computed using a discount rate equal to the Treasury Rate.</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holder of a Note will have the right to cause the Company to repurchase for cash all or a portion of the Notes held by such holder at any time upon the occurrence of a “fundamental change,” a customary definition of which will be agreed in the Indenture (a “Fundamental Change”), at a repurchase price equal to 100% of the principal amount of such Notes plus accrued and unpaid interest thereon to, but excluding, the repurchase date.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will pay interest on the principal amount of the Notes in cash or in kind, at the Company’s election. If the Company elects to pay interest in cash (“Cash Interest”), the interest on the Notes will accrue at a rate of 9.0% per annum and be payable in cash. If the Company elects to pay interest in kind (“PIK Interest”), the interest on the Notes will be increased to a rate of 11.0% per annum. PIK Interest will be payable either (x) by increasing the principal amount of the outstanding Notes by an amount equal to the amount of PIK Interest for the applicable interest period (rounded up to the nearest $1.00) or (y) if the Notes are no longer held as global notes, by issuing additional Notes in certificated form in an aggregate principal amount equal to the amount of PIK Interest for the period (rounded up to the nearest $1.00). Following an increase in the principal amount of the outstanding Notes as a result of a PIK Interest payment, the Notes will bear interest on such increased principal amount.</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Note Financing Warrants have the same terms and conditions as the Company’s outstanding publicly held warrants, except that each Note Financing Warrant is exercisable into one whole share of common stock at an exercise price of $11.50 per share. The Note Financing Warrants, like the publicly held warrants, may be redeemed if, among other conditions, the reported last sale price of the Company common stock equals or exceeds $16.50 per share, for any 20 trading days within a 30-day trading period ending on the third business day prior to the date of the notice of redemption to warrantholders.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Support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execution of the Merger Agreement, the Sponsors, Presto’s directors and officers and certain affiliates of the Sponsors (together, the “Sponsor Parties”) entered into a Sponsor Support Agreement (the “Sponsor Agreement”) with the Company and Presto, pursuant to which the Sponsor Parties agreed, among other things, to vote all shares of the Company common stock beneficially owned by them in favor of each of the proposals at the Company Special Meeting and against any proposal that would impede the Proposed Business Combination. The Sponsor Agreement also provides that the Sponsor Parties will not redeem any shares of the Company common stock.</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Sponsor Parties agreed to subject the founder shares they acquired prior to the Company initial public offering to lock-up restrictions. During the period beginning on the Closing Date until the period beginning on the Closing Date to six months after the Closing Date, the Sponsor Parties may not transfer any of its, his or her founder shares, and during the period beginning on the date that is six months after the Closing Date to 12 twelve months after the Closing Date, the Sponsor Parties may only transfer up to 50% of its, his or her founder shares, in each case except for certain limited permitted transfers. In addition, the Sponsor Parties agreed that they will not transfer any privately placed warrants, acquired prior to the Company initial public offering, during the period from the Closing Date to 12 months after the Closing Date.</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Sponsors also agreed to subject their founder shares to vesting and forfeiture provisions as set forth in the Sponsor Agreement based on the number of public shares redeemed at the closing of the Proposed Business Combination (such shares, the “Sponsors’ Earnout Shares”). Pursuant to the Sponsor Agreement, at the Closing, (i) in the case of redemptions of public shares of 90% or more, 15% of the Sponsors’ founder shares that are owned immediately after the Closing will be subject to vesting, (ii) in the case of redemptions of public shares of between 80% and 90%, 10% of the Sponsors’ founder shares that are owned immediately after the Closing will be subject to vesting, (iii) in the case of redemptions of public shares of between 70% and 80%, 5% of the Sponsors’ founder shares that are owned immediately after the Closing will be subject to vesting and (iv) in the case of redemptions of public shares of less than 70%, none of the Sponsors’ founder shares will be subject to vesting. The Sponsors’ Earnout Shares will vest if, during the period from and after the Closing until the fifth anniversary of the Closing, the VWAP of New Presto common stock is greater than or equal to $12.50 for any 40 trading days within a period of 60 consecutive trading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Stockholder Support Agreement</w:t>
      </w:r>
    </w:p>
    <w:p>
      <w:pPr>
        <w:spacing w:after="0" w:line="225" w:lineRule="exact"/>
        <w:rPr>
          <w:sz w:val="20"/>
          <w:szCs w:val="20"/>
          <w:color w:val="auto"/>
        </w:rPr>
      </w:pPr>
    </w:p>
    <w:p>
      <w:pPr>
        <w:jc w:val="both"/>
        <w:ind w:firstLine="47"/>
        <w:spacing w:after="0" w:line="257" w:lineRule="auto"/>
        <w:rPr>
          <w:sz w:val="20"/>
          <w:szCs w:val="20"/>
          <w:color w:val="auto"/>
        </w:rPr>
      </w:pPr>
      <w:r>
        <w:rPr>
          <w:rFonts w:ascii="Arial" w:cs="Arial" w:eastAsia="Arial" w:hAnsi="Arial"/>
          <w:sz w:val="18"/>
          <w:szCs w:val="18"/>
          <w:color w:val="auto"/>
        </w:rPr>
        <w:t>In connection with the execution of the Merger Agreement, certain stockholders of Presto (collectively, the “Presto Supporting Stockholders”) entered into support agreements (collectively, the “Stockholder Support Agreements”), pursuant to which each Presto Supporting Stockholder agreed to, among other things, vote in favor of the Merger Agreement and the transactions contemplated thereby (including the Proposed Business Combination), not to transfer his, her or its Presto shares prior to the Closing Date, and to execute the Amended and Restated Registration Rights Agreement (as defined below) at the Closing Date.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Presto Stockholder Support Agreements provide that during the period beginning on the Closing Date and ending on the date that is six months after the Closing Date, the Presto Supporting Stockholders may not transfer any of their shares of New Presto common stock, and during the period beginning on the date that is six months after the Closing Date and ending on the date that is 12 months after the Closing Date, the Presto Supporting Stockholders may only transfer up to 50% of their New Presto common stock, in each case, except for certain limited permitted transfers.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Proposed Business Combination is expected to be consummated after receipt of the required approvals by the stockholders of the Company and Presto and the satisfaction or waiver of certain other customary conditions. For full details and the filed agreements, refer to our Current Report on 8-K announcing the Merger Agreement filed on November 10,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References in this report (this “Quarterly Report”) to “we,” “us” or the “Company” refer to Ventoux CCM Acquisition Corp. References to our “management” or our “management team” refer to our officers and directors, and references to the “co-sponsors” refer to Ventoux Acquisition Holdings LLC (“Ventoux Acquisition”) and Chardan International Investments, LLC (“Chardan Investments”).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completion of the Proposed Business Combination (as defined below),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that the conditions of the Proposed Business Combination are not satisfied. For information identifying important factors that could cause actual results to differ materially from those anticipated in the forward-looking statements, please refer to the Risk Factors section of the Company’s final prospectus for its Initial Public Offering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Management’s Discussion and Analysis of Financial Condition and Results of Operations has been amended and restated to give effect to the restatement of our financial statements as of March 31, 2021 and June 30, 2021. Management identified errors made in its historical financial statements where, at the closing of our Initial Public Offering, we improperly valued our common stock subject to possible redemption. We previously determined the common stock subject to possible redemption to be equal to the redemption value of $10.10 per common stock while also taking into consideration a redemption cannot result in net tangible assets being less than $5,000,001. Management determined that the common stock issued during the Initial Public Offering can be redeemed or become redeemable subject to the occurrence of future events considered outside of the Company’s control. Therefore, management concluded that the redemption value should include all common stock subject to possible redemption, resulting in the common stock subject to possible redemption being equal to their redemption value. As a result, management has noted a reclassification error related to temporary equity and permanent equity. This resulted in a restatement to the initial carrying value of the common stock subject to possible redemption with the offset recorded to additional paid-in capital (to the extent available), accumulated deficit and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blank check company formed under the laws of the State of Delaware on July 10, 2019 for the purpose of effecting a merger, share exchange, asset acquisition, stock purchase, recapitalization, reorganization or other similar business transaction with one or more businesses or entities (a “Business Combination”).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we may pursue a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 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 Business Combination with the ultimate goal of pursuing attractive returns for our stockholders.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effectuate our Business Combination using cash from the proceeds of the Initial Public Offering and the sale of the Private Warrants, our capital stock, debt or a combination of cash, stock and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of our stock in a Business Combination:</w:t>
      </w:r>
    </w:p>
    <w:p>
      <w:pPr>
        <w:spacing w:after="0" w:line="225" w:lineRule="exact"/>
        <w:rPr>
          <w:sz w:val="20"/>
          <w:szCs w:val="20"/>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ind w:left="680" w:right="20" w:hanging="335"/>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indebtedness, it could result in:</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pay our debt obligations;</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obtain additional financing, if necessary, if the debt security contains covenants restricting our ability to obtain additional financing while such security is outstanding.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Business Combination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10, 2021, the Company entered into an agreement and plan of merger by and among the Company, Ventoux Merger Sub I Inc., a Delaware corporation and a direct, wholly-owned subsidiary of the Company (“Ventoux Merger Sub”), Ventoux Merger Sub II, LLC, a Delaware limited liability company and a direct, wholly-owned subsidiary of the Company (“Ventoux Merger Sub II”), and E La Carte, Inc., d/b/a Presto, Inc., a Delaware corporation (“Presto”) (as amended and/or restated from time to time, the “Merger Agreement”). The Merger Agreement has been approved by the Company’s and Presto’s board of directors. Subject to the satisfaction or waiver of certain closing conditions set forth in the Merger Agreement, including the approval of the Merger Agreement and the transactions contemplated thereby by Presto and the Company’s stockholders, (a) Ventoux Merger Sub will merge with and into Presto (the “First Merger”), with Presto being the surviving entity in the First Merger and continuing (immediately following the First Merger) as a wholly-owned subsidiary of the Company (the “Surviving Corporation”), and (b) immediately following the First Merger and as part of the same overall transaction as the First Merger, the Surviving Corporation will merge with and into Ventoux Merger Sub II (the “Second Merger”), with Ventoux Merger Sub II being the surviving entity in the Second Merger and continuing (immediately following the Second Merger) as a wholly-owned subsidiary of the Company (the “Mergers” and the other agreements and transactions contemplated by the Merger Agreement, the “Proposed Business Combination”). In addition, in connection with the consummation of the Proposed Business Combination, the Company will be renamed Presto Technologies, Inc. and is referred to herein as “New Presto” as of the time of such change of name.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Merger Agreement, subject to the satisfaction or waiver of certain closing conditions set forth therein, at the closing of the Proposed Business Combination (the “Closing”), the Company will acquire all of the outstanding equity interests of Presto, and stockholders of Presto will receive $800,000,000 in aggregate consideration (the “Aggregate Base Consideration”) in the form of newly issued common stock in New Presto, calculated based on a price of $10.00 per share.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Aggregate Base Consideration, Presto stockholders may be entitled to receive, as additional consideration, and without any action on behalf of the Company, Ventoux Merger Sub, Ventoux Merger Sub II or the Company’s stockholders, 15,000,000 additional shares of common stock of New Presto (the “Presto Earnout Shares”), to be issued as follows: (A) 7,500,000 Presto Earnout Shares, if, during the period from and after the Closing until the third anniversary of the Closing, the Volume Weighted Average Price (“VWAP” as defined in the Merger Agreement) of New Presto common stock is greater than or equal to $12.50 for any 20 trading days within a period of 30 consecutive trading days, and (B) an additional 7,500,000 Presto Earnout Shares, if, during the period from and after the Closing until the fifth anniversary of the Closing, the VWAP of New Presto common stock is greater than or equal to $15.00 for any 20 trading days within a period of 30 consecutive trading days.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Equity Awards, Presto Convertible Notes and Warrants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Merger Agreement, at the time the First Merger becomes effective (the “Effective Time”), each option exercisable for Presto equity that is outstanding and unexercised immediately prior to the Effective Time will be assumed and converted into a newly issued option exercisable for common stock of New Presto. At the Effective Time, each warrant of Presto that is outstanding and unexercised immediately prior to the Effective Time shall, in accordance with its terms, either be (i) cancelled and converted into the right to receive common stock of New Presto, or (ii) assumed and converted into a newly issued warrant exercisable for common stock of New Presto. Immediately prior to the Effective Time, each convertible promissory note convertible for Presto equity that is issued and outstanding shall be cancelled and converted into the right to receive common stock of New Presto in accordance with the terms therein.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equity subscription agreements (the “Equity Subscription Agreements”) each dated as of November 10, 2021, with certain accredited investors, pursuant to which, among other things, the Company agreed to issue and sell, in private placements to close immediately prior to or substantially concurrently with the Closing, an aggregate of 1,500,000 shares of common stock for $10.00 per share. The Equity Subscription Agreements provide that the Company must file a registration statement to register the resale of the subscribed common stock no later than 30 days after the closing date of the Proposed Business Combination (the “Closing Date”).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entered into a convertible note subscription agreement (the “Convertible Note Subscription Agreement” and, together with the Equity Subscription Agreements, the “Subscription Agreements”), each dated as of November 10, 2021, with an institutional accredited investor (collectively, the “Note Investor”), pursuant to which, among other things, the Company agreed to issue and sell, in a private placement to close immediately prior to the Closing, an aggregate of $55,000,000 in aggregate principal amount of convertible notes (the “Notes”) and an aggregate of 1,000,000 warrants (the “Note Financing Warrants”).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any time prior to the close of business on the second trading day immediately preceding the maturity date of the Notes, the Notes will be convertible, at each holder’s option, into shares of common stock of New Presto at an initial conversion price equal to the lesser of (i) $13.00 and (ii) a 30% premium to the lowest per share price at which any equity of the Company is issued within 15 days prior to the Closing Date (the “Conversion Rate”). In the event of a conversion in connection with a Fundamental Change (as defined below) or a Company Redemption (as defined below), the Conversion Rate will be increased by a number of additional shares set forth in a usual and customary “make-whole table” to be included in the indenture governing the Notes (the “Indenture”).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any time on or after the first anniversary of the issuance of the Notes until the second business day prior to maturity, the Notes will be convertible, in whole but not in part, at the Company’s option (a “Mandatory Conversion”) if the closing price of common stock is greater than or equal to 130% of the conversion price of the Notes for 20 trading days during any 30-consecutive-trading-day period ending on day before the notice of the Mandatory Conversion is given. The Conversion Rate in connection with a Mandatory Conversion will be increased by a number of additional shares pursuant to the make-whole table described above.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Company may redeem the Notes at any time prior to the 21st trading day before maturity by paying, in cash, the principal, accrued interest, and a premium equal to, (1) through third anniversary, the present value of all remaining scheduled interest payments, computed using a discount rate equal to the Treasury Rate (to be defined in the Indenture) plus 0.50%, and warrants to purchase a number of shares equal to 50% of the number of shares into which the Notes redeemed were convertible, or (2) between third anniversary and maturity, of all remaining scheduled interest payments, computed using a discount rate equal to the Treasury Rate.</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holder of a Note will have the right to cause the Company to repurchase for cash all or a portion of the Notes held by such holder at any time upon the occurrence of a “fundamental change,” a customary definition of which will be agreed in the Indenture (a “Fundamental Change”), at a repurchase price equal to 100% of the principal amount of such Notes plus accrued and unpaid interest thereon to, but excluding, the repurchase date.</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will pay interest on the principal amount of the Notes in cash or in kind, at the Company’s election. If the Company elects to pay interest in cash (“Cash Interest”), the interest on the Notes will accrue at a rate of 9.0% per annum and be payable in cash. If the Company elects to pay interest in kind (“PIK Interest”), the interest on the Notes will be increased to a rate of 11.0% per annum. PIK Interest will be payable either (x) by increasing the principal amount of the outstanding Notes by an amount equal to the amount of PIK Interest for the applicable interest period (rounded up to the nearest $1.00) or (y) if the Notes are no longer held as global notes, by issuing additional Notes in certificated form in an aggregate principal amount equal to the amount of PIK Interest for the period (rounded up to the nearest $1.00). Following an increase in the principal amount of the outstanding Notes as a result of a PIK Interest payment, the Notes will bear interest on such increased principal amount.</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Note Financing Warrants have the same terms and conditions as the Company’s outstanding publicly held warrants, except that each Note Financing Warrant is exercisable into one whole share of common stock at an exercise price of $11.50 per share. The Note Financing Warrants, like the publicly held warrants, may be redeemed if, among other conditions, the reported last sale price of the Company common stock equals or exceeds $16.50 per share, for any 20 trading days within a 30-day trading period ending on the third business day prior to the date of the notice of redemption to warrantholders.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Amended and Restated Warrant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the Closing, New Presto, the Sponsors and Continental Stock Transfer &amp; Trust Company, as warrant agent, will enter into an amended and restated warrant agreement (the “Amended and Restated Warrant Agreement”) to reflect the issuance of the Note Financing Warrants. In addition, the Amended and Restated Warrant Agreement also provides that 600,000 of the Sponsors’ 6,675,000 private placement warrants will be cancelled. Each Note Financing Warrant and each private placement warrant is exercisable for one share of common stock at an exercise price of $11.50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Registration Rights Agreement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the Closing, New Presto, the Sponsors, the Note Investor, certain investors and other holders of Presto capital stock (the “Presto Holders” and together with the Sponsors and the investors, the “Holders”) will enter into an amended and restated registration rights agreement (the “Amended and Restated Registration Rights Agreement”). Pursuant to the terms of the Amended and Restated Registration Rights Agreement, New Presto will be obligated to file a registration statement to register the resale of certain securities of New Presto held by the Holders. The Amended and Restated Registration Rights Agreement also provides the Holders with certain “demand” and “piggy-back” registration rights, subject to certain requirements and customary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Support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execution of the Merger Agreement, the Sponsors, Presto’s directors and officers and certain affiliates of the Sponsors (together, the “Sponsor Parties”) entered into a Sponsor Support Agreement (the “Sponsor Agreement”) with the Company and Presto, pursuant to which the Sponsor Parties agreed, among other things, to vote all shares of the Company common stock beneficially owned by them in favor of each of the proposals at the Company Special Meeting and against any proposal that would impede the Proposed Business Combination. The Sponsor Agreement also provides that the Sponsor Parties will not redeem any shares of the Company common stock.</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Sponsor Parties agreed to subject the founder shares they acquired prior to the Company initial public offering to lock-up restrictions. During the period beginning on the Closing Date until the period beginning on the Closing Date to six months after the Closing Date, the Sponsor Parties may not transfer any of its, his or her founder shares, and during the period beginning on the date that is six months after the Closing Date to 12 twelve months after the Closing Date, the Sponsor Parties may only transfer up to 50% of its, his or her founder shares, in each case except for certain limited permitted transfers. In addition, the Sponsor Parties agreed that they will not transfer any privately placed warrants, acquired prior to the Company initial public offering, during the period from the Closing Date to 12 months after the Closing Date.</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Sponsors also agreed to subject their founder shares to vesting and forfeiture provisions as set forth in the Sponsor Agreement based on the number of public shares redeemed at the closing of the Proposed Business Combination (such shares, the “Sponsors’ Earnout Shares”). Pursuant to the Sponsor Agreement, at the Closing, (i) in the case of redemptions of public shares of 90% or more, 15% of the Sponsors’ founder shares that are owned immediately after the Closing will be subject to vesting, (ii) in the case of redemptions of public shares of between 80% and 90%, 10% of the Sponsors’ founder shares that are owned immediately after the Closing will be subject to vesting, (iii) in the case of redemptions of public shares of between 70% and 80%, 5% of the Sponsors’ founder shares that are owned immediately after the Closing will be subject to vesting and (iv) in the case of redemptions of public shares of less than 70%, none of the Sponsors’ founder shares will be subject to vesting. The Sponsors’ Earnout Shares will vest if, during the period from and after the Closing until the fifth anniversary of the Closing, the VWAP of New Presto common stock is greater than or equal to $12.50 for any 40 trading days within a period of 60 consecutive trading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Stockholder Support Agreement</w:t>
      </w:r>
    </w:p>
    <w:p>
      <w:pPr>
        <w:spacing w:after="0" w:line="225" w:lineRule="exact"/>
        <w:rPr>
          <w:sz w:val="20"/>
          <w:szCs w:val="20"/>
          <w:color w:val="auto"/>
        </w:rPr>
      </w:pPr>
    </w:p>
    <w:p>
      <w:pPr>
        <w:jc w:val="both"/>
        <w:ind w:firstLine="47"/>
        <w:spacing w:after="0" w:line="257" w:lineRule="auto"/>
        <w:rPr>
          <w:sz w:val="20"/>
          <w:szCs w:val="20"/>
          <w:color w:val="auto"/>
        </w:rPr>
      </w:pPr>
      <w:r>
        <w:rPr>
          <w:rFonts w:ascii="Arial" w:cs="Arial" w:eastAsia="Arial" w:hAnsi="Arial"/>
          <w:sz w:val="18"/>
          <w:szCs w:val="18"/>
          <w:color w:val="auto"/>
        </w:rPr>
        <w:t>In connection with the execution of the Merger Agreement, certain stockholders of Presto (collectively, the “Presto Supporting Stockholders”) entered into support agreements (collectively, the “Stockholder Support Agreements”), pursuant to which each Presto Supporting Stockholder agreed to, among other things, vote in favor of the Merger Agreement and the transactions contemplated thereby (including the Proposed Business Combination), not to transfer his, her or its Presto shares prior to the Closing Date, and to execute the Amended and Restated Registration Rights Agreement (as defined below) at the Closing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jc w:val="both"/>
        <w:spacing w:after="0" w:line="279" w:lineRule="auto"/>
        <w:rPr>
          <w:sz w:val="20"/>
          <w:szCs w:val="20"/>
          <w:color w:val="auto"/>
        </w:rPr>
      </w:pPr>
      <w:r>
        <w:rPr>
          <w:rFonts w:ascii="Arial" w:cs="Arial" w:eastAsia="Arial" w:hAnsi="Arial"/>
          <w:sz w:val="17"/>
          <w:szCs w:val="17"/>
          <w:color w:val="auto"/>
        </w:rPr>
        <w:t>The Presto Stockholder Support Agreements provide that during the period beginning on the Closing Date and ending on the date that is six months after the Closing Date, the Presto Supporting Stockholders may not transfer any of their shares of New Presto common stock, and during the period beginning on the date that is six months after the Closing Date and ending on the date that is 12 months after the Closing Date, the Presto Supporting Stockholders may only transfer up to 50% of their New Presto common stock, in each case, except for certain limited permitted transfers.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the Closing, New Presto, Rajat Suri, REMUS Capital, an affiliate of Presto, and certain other parties set forth therein, will enter into a Governance Agreement (the “Governance Agreement”) to provide for certain governance rights and address certain governance matters relating to New Presto. The Governance Agreement will provide REMUS Capital the right to designate a replacement New Presto director if a director appointed within class I of the board is removed within one year of Closing and also will provide each of Mr. Suri and REMUS Capital with the right to nominate one individual to the New Presto board of directors, subject to certain qualifications, requirements and exceptions as set forth therein.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Proposed Business Combination is expected to be consummated after receipt of the required approvals by the stockholders of the Company and Presto and the satisfaction or waiver of certain other customary conditions. For full details and the filed agreements, refer to our Current Report on 8-K announcing the Merger Agreement filed on November 10,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Quarterly Report on Form 10-Q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September 30, 2021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September 30, 2021, we had a net income of $814,585, which consists of change in fair value of warrant liabilities of $1,001,250 and interest earned on marketable securities held in our Trust Account of $2,618, offset by general and administrative expenses of $189,283.</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nine months ended September 30, 2021, we had a net income of $5,719,448, which consists of change in fair value of warrant liabilities of $6,488,250 and interest earned on marketable securities held in our Trust Account of $37,524, offset by general and administrative expenses of $639,984, loss on initial issuance of private warrants of $162,000 and provision for income taxes of $4,342.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2020, we had a net loss of $85 which consists of formation and operational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30, 2020, we completed the Initial Public Offering of 15,000,000 Units at $10.00 per Unit, generating gross proceeds of $150,000,000. Simultaneously with the closing of the Initial Public Offering, we completed the sale of 6,000,000 Private Warrants at a price of $1.00 per Private Warrant in a private placement to the co-sponsors, generating gross proceeds of $6,000,000.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5, 2021, in connection with the underwriters’ exercise of their over-allotment option in full, we completed the sale of an additional 2,250,000 Units, at $10.00 per Unit, generating gross proceeds of $22,500,000. Simultaneously with the closing of the over-allotment we completed a sale of an additional 675,000 Private Warrants, at $1.00 per Private Warrant, generating total proceeds of $675,000.</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Following the Initial Public Offering, the full exercise of the over-allotment option, and the sale of the Private Units, a total of $174,225,000 was placed in the Trust Account. We incurred $3,993,017 in Initial Public Offering related costs, including $3,450,000 of underwriting fees and $543,017 of other costs.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nine months ended September 30, 2021, cash used in operating activities was $445,399. Net income of $5,719,448 was affected by interest earned on marketable securities held in the Trust Account of $37,524, change in fair value of warrant liabilities of $6,488,250 and loss on initial issuance of private warrants of $162,000. Changes in operating assets and liabilities provided $198,927 of cash for operating activities.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For the nine months ended September 30, 2020, cash used in operating activities was $535. Net loss of $85 was affected by changes in operating assets and liabilities of $450.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we had marketable securities held in the Trust Account of $174,262,524 (including approximately $37,524 of interest income) consisting of U.S. Treasury Bills with a maturity of 183 days or less. Interest income on the balance in the Trust Account may be used by us to pay taxes. Through September 30, 2021, we have not withdrawn any interest earned from the Trust Account.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(less income taxes payable), to complete our Business Combination.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we had cash of $505,849.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a Business Combination, the co-sponsors, or certain of our officers and directors or their affiliates may, but are not obligated to, loan us funds as may be required. If we complete a Business Combination, we would repay such loaned amounts. In the event that a Business Combination is not consummated, we may use a portion of the working capital held outside the Trust Account to repay such loaned amounts but no proceeds from our Trust Account would be used for such repayment. Up to $500,000 of such loans may be convertible into warrants at a price of $1.00 per unit, at the option of the lender. The units would be identical to the Private Warrants.</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we are unable to raise additional capital, we may be required to take additional measures to conserve liquidity, which could include, but not necessarily be limited to, suspending the pursuit of a Business Combination. We cannot provide any assurance that new financing will be available to it on commercially acceptable terms, if at all.</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above, in connection with our assessment of going concern considerations in accordance with Financial Accounting Standard Board’s Accounting Standards Update (“ASU”) 2014-15, “Disclosures of Uncertainties about an Entity’s Ability to Continue as a Going Concern,” we have determined that the liquidity condition and date for mandatory liquidation and dissolution raise substantial doubt about our ability to continue as a going concern through March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we be unable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September 30, 2021 and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Chardan Capital Markets, LLC a total of $10,000 per month for office space, utilities and secretarial support. We began incurring these fees on December 23, 2020 and will continue to incur these fees monthly until the earlier of the completion of the Business Combination and our liquidation.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engaged Chardan Capital Markets, LLC as an advisor in connection with a Business Combination to assist us in holding meetings with stockholders to discuss the potential Business Combination and the target business’s attributes, introduce us to potential investors that are interested in purchasing our securities in connection with the potential Business Combination, assist us in obtaining stockholder approval for the Business Combination and assist us with press releases and public filings in connection with the Business Combination. We will pay Chardan Capital Markets, LLC a marketing fee for such services upon the completion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Business Combination is consummated.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unaudited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issued warrants to purchase shares of common stock, to determine if such instruments are derivatives or contain features that qualify as embedded derivatives, pursuant to ASC 480 and ASC 815. We account for the Private Warrants in accordance with the guidance contained in ASC 815-40 under which the Private Warrants do not meet the criteria for equity treatment and must be recorded as liabilities. Accordingly, we classify the Private Warrants as liabilities at their fair value and adjust the Private Warrants to fair value at each reporting period. This liability is subject to re-measurement at each balance sheet date until exercised, and any change in fair value is recognized in our statements of operations. The Private Warrants are valued using a Modified Black Scholes model.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Accounting Standards Codification (“ASC”) Topic 480 “Distinguishing Liabilities from Equity.” Shares of common stock subject to mandatory redemption are classified as a liability instrument and are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Certain of the Company’s common stock features certain redemption rights that are considered to be outside of the Company’s control and subject to occurrence of uncertain future events. Accordingly, at September 30, 2021 and December 31, 2020, common stock subject to possible redemption is presented as temporary equity, outside of the stockholders’ equity section of the Company’s condensed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Share of 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(loss) per common stock is computed by dividing net income (loss) by the weighted average number of common stock outstanding for the period. Accretion associated with the redeemable shares of common stock is excluded from earnings per share as the redemption value approximates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We are currently assessing the impact, if any, that ASU 2020-06 would have on its financial position, results of operations or cash flows.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unaudited condensed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consummation of our Initial Public Offering, the proceeds held in the trust account have been invested in U.S. government treasury obligations with a maturity of 183 days or less or in certain money market funds that invest solely in U.S. treasuries. Due to the short-term nature of these investments, we believe there will be no associated material exposure to interest rate risk.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September 30, 2021. Based upon their evaluation, our Chief Executive Officer and Chief Financial Officer concluded that our disclosure controls and procedures (as defined in Rules 13a-15(e) and 15d-15(e) under the Exchange Act) were not effective, due solely to the material weakness in our internal control over financial reporting related to the Company’s accounting for complex financial instruments. As a result, we performed additional analysis as deemed necessary to ensure that our financial statements were prepared in accordance with U.S. generally accepted accounting principles. Accordingly, management believes that the financial statements included in this Form 10-Q present fairly in all material respects our financial position, results of operations and cash flows for the period presented.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has implemented remediation steps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disclosed, on December 23, 2020, we consummated the Initial Public Offering of 15,000,000 units (the “Units”). Each Unit consists of one share of common stock, $0.0001 par value (“Common Stock”), one right entitling the holder thereof to receive one-twentieth (1/20) of one share of Common Stock upon the consummation of a Business Combination, and one warrant entitling the holder thereof to purchase one-half (1/2) of one share of Common Stock at a price of $11.50 per whole share. The Units were sold at an offering price of $10.00 per Unit, generating gross proceeds of $150,000,000. Chardan Capital Markets, LLC acted as sole-book running manager. The securities in the offering were registered under the Securities Act on a registration statement on Form S-1 (No. 333-251048). The Securities and Exchange Commission declared the registration statement effective on December 23, 2020.</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Simultaneously with the closing of the Initial Public Offering, we consummated the private placement with initial stockholders of the Company of 6,000,000 warrants (the “Private Warrants”), generating total proceeds of $6,000,000. The Private Warrants are identical to the warrants sold as part of the public Units in the Initial Public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as further described in the Registration Statement. Such initial purchasers were granted certain demand and piggyback registration rights in connection with the purchase of the Private Warrants. The Private Warrants were issued pursuant to the exemption from registration contained in Section 4(a)(2) of the Securities Act.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5, 2021, we consummated the closing of the issuance and sale of additional Units (the “Over-Allotment Option Units”) upon exercise by the underwriters of their over-allotment option in full. The total aggregate issuance by the Company of 2,250,000 Units at a price of $10.00 per Unit resulted in total gross proceeds of $22,500,000. On January 5, 2021, simultaneously with the sale of the Over-Allotment Option Units, the Company consummated the private sale of an additional 675,000 Private Warrants, generating gross proceeds of $675,000. The Private Warrants were issued pursuant to the exemption from registration contained in Section 4(a)(2) of the Securities Act.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total of $174,225,000 of the net proceeds from the sale of the Units in the Initial Public Offering (including the Over-Allotment Option Units) and the private placements on December 30, 2020 and January 5, 2021, were deposited in a trust account established for the benefit of the Company’s public stockholders.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total of $3,993,017 in offering costs, consisting of $3,450,000 ($450,000 related to the underwriters’ exercise of their over-allotment option) in underwriting fees and $543,017 of other offering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14"/>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80" w:type="dxa"/>
            <w:vAlign w:val="bottom"/>
            <w:tcBorders>
              <w:top w:val="single" w:sz="8" w:color="auto"/>
              <w:bottom w:val="single" w:sz="8" w:color="0000EE"/>
            </w:tcBorders>
            <w:gridSpan w:val="13"/>
            <w:shd w:val="clear" w:color="auto" w:fill="CCEEFF"/>
          </w:tcPr>
          <w:p>
            <w:pPr>
              <w:spacing w:after="0" w:line="17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Merger Agreement, dated as of November 10, 2021, by and among the Company, Ventoux Merger Sub Inc., Ventoux Merger Sub II, LLC</w:t>
              </w:r>
            </w:hyperlink>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87"/>
              </w:rPr>
            </w:pPr>
            <w:hyperlink r:id="rId65">
              <w:r>
                <w:rPr>
                  <w:rFonts w:ascii="Arial" w:cs="Arial" w:eastAsia="Arial" w:hAnsi="Arial"/>
                  <w:sz w:val="18"/>
                  <w:szCs w:val="18"/>
                  <w:color w:val="0000EE"/>
                  <w:w w:val="87"/>
                </w:rPr>
                <w:t>and Presto (1).</w:t>
              </w:r>
            </w:hyperlink>
          </w:p>
        </w:tc>
        <w:tc>
          <w:tcPr>
            <w:tcW w:w="9040" w:type="dxa"/>
            <w:vAlign w:val="bottom"/>
            <w:tcBorders>
              <w:bottom w:val="single" w:sz="8" w:color="CCEEFF"/>
            </w:tcBorders>
            <w:gridSpan w:val="11"/>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080" w:type="dxa"/>
            <w:vAlign w:val="bottom"/>
            <w:tcBorders>
              <w:bottom w:val="single" w:sz="8" w:color="0000EE"/>
            </w:tcBorders>
            <w:gridSpan w:val="13"/>
          </w:tcPr>
          <w:p>
            <w:pPr>
              <w:spacing w:after="0" w:line="17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Form of Indenture, by and among the Company, the guarantors from time to time party thereto and U.S. Bank, National Association, as</w:t>
              </w:r>
            </w:hyperlink>
          </w:p>
        </w:tc>
        <w:tc>
          <w:tcPr>
            <w:tcW w:w="2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trustee (1).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rFonts w:ascii="Arial" w:cs="Arial" w:eastAsia="Arial" w:hAnsi="Arial"/>
                <w:sz w:val="18"/>
                <w:szCs w:val="18"/>
                <w:color w:val="0000EE"/>
              </w:rPr>
            </w:pPr>
            <w:hyperlink r:id="rId66">
              <w:r>
                <w:rPr>
                  <w:rFonts w:ascii="Arial" w:cs="Arial" w:eastAsia="Arial" w:hAnsi="Arial"/>
                  <w:sz w:val="18"/>
                  <w:szCs w:val="18"/>
                  <w:color w:val="0000EE"/>
                </w:rPr>
                <w:t>Form of 9.0%/11.0% Convertible Senior PIK Toggle Note due 2026, included as Exhibit A to Exhibit 4.1 (1).</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tcPr>
          <w:p>
            <w:pPr>
              <w:spacing w:after="0"/>
              <w:rPr>
                <w:sz w:val="15"/>
                <w:szCs w:val="15"/>
                <w:color w:val="auto"/>
              </w:rPr>
            </w:pPr>
          </w:p>
        </w:tc>
        <w:tc>
          <w:tcPr>
            <w:tcW w:w="788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Form of Equity Subscription Agreement (1).</w:t>
              </w:r>
            </w:hyperlink>
          </w:p>
        </w:tc>
        <w:tc>
          <w:tcPr>
            <w:tcW w:w="2220" w:type="dxa"/>
            <w:vAlign w:val="bottom"/>
            <w:tcBorders>
              <w:top w:val="single" w:sz="8" w:color="CCEEFF"/>
            </w:tcBorders>
            <w:gridSpan w:val="2"/>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39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Form of Convertible Note Subscription Agreement (1).</w:t>
              </w:r>
            </w:hyperlink>
          </w:p>
        </w:tc>
        <w:tc>
          <w:tcPr>
            <w:tcW w:w="6120" w:type="dxa"/>
            <w:vAlign w:val="bottom"/>
            <w:tcBorders>
              <w:bottom w:val="single" w:sz="8" w:color="CCEEFF"/>
            </w:tcBorders>
            <w:gridSpan w:val="6"/>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0100" w:type="dxa"/>
            <w:vAlign w:val="bottom"/>
            <w:gridSpan w:val="14"/>
          </w:tcPr>
          <w:p>
            <w:pPr>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Form of Amended and Restated Warrant Agreement (1).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rFonts w:ascii="Arial" w:cs="Arial" w:eastAsia="Arial" w:hAnsi="Arial"/>
                <w:sz w:val="18"/>
                <w:szCs w:val="18"/>
                <w:color w:val="0000EE"/>
              </w:rPr>
            </w:pPr>
            <w:hyperlink r:id="rId70">
              <w:r>
                <w:rPr>
                  <w:rFonts w:ascii="Arial" w:cs="Arial" w:eastAsia="Arial" w:hAnsi="Arial"/>
                  <w:sz w:val="18"/>
                  <w:szCs w:val="18"/>
                  <w:color w:val="0000EE"/>
                </w:rPr>
                <w:t>Form of Amended and Restated Registration Rights Agreement (1).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8"/>
              </w:rPr>
            </w:pPr>
            <w:hyperlink r:id="rId71">
              <w:r>
                <w:rPr>
                  <w:rFonts w:ascii="Arial" w:cs="Arial" w:eastAsia="Arial" w:hAnsi="Arial"/>
                  <w:sz w:val="18"/>
                  <w:szCs w:val="18"/>
                  <w:color w:val="0000EE"/>
                  <w:w w:val="98"/>
                </w:rPr>
                <w:t>Sponsor Support Agreement, dated as of November 10, 2021, by and among Ventoux CCM Sponsor LLC, Chardan International</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Investments, LLC, the Company and Presto. (1)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6"/>
              </w:rPr>
            </w:pPr>
            <w:hyperlink r:id="rId72">
              <w:r>
                <w:rPr>
                  <w:rFonts w:ascii="Arial" w:cs="Arial" w:eastAsia="Arial" w:hAnsi="Arial"/>
                  <w:sz w:val="18"/>
                  <w:szCs w:val="18"/>
                  <w:color w:val="0000EE"/>
                  <w:w w:val="96"/>
                </w:rPr>
                <w:t>Form of Presto Stockholder Support Agreement, dated as of November 10, 2021, by and among certain stockholders of Presto,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Company and Presto (1).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10100" w:type="dxa"/>
            <w:vAlign w:val="bottom"/>
            <w:gridSpan w:val="14"/>
          </w:tcPr>
          <w:p>
            <w:pPr>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Form of Governance Agreement (1).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adopted pursuant to Section 302 of the Sarbanes-Oxley Act of 2002.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Certification of Principal Financial Officer pursuant to Rules 13a-14(a) and 15d-14(a) under the Securities Exchange Act of 1934, as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adopted pursuant to Section 302 of the Sarbanes-Oxley Act of 2002.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Act of 2002.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080" w:type="dxa"/>
            <w:vAlign w:val="bottom"/>
            <w:tcBorders>
              <w:bottom w:val="single" w:sz="8" w:color="0000EE"/>
            </w:tcBorders>
            <w:gridSpan w:val="13"/>
          </w:tcPr>
          <w:p>
            <w:pPr>
              <w:spacing w:after="0" w:line="17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c>
          <w:tcPr>
            <w:tcW w:w="2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340" w:right="20" w:hanging="339"/>
        <w:spacing w:after="0" w:line="250" w:lineRule="auto"/>
        <w:tabs>
          <w:tab w:leader="none" w:pos="320" w:val="left"/>
        </w:tabs>
        <w:rPr>
          <w:sz w:val="20"/>
          <w:szCs w:val="20"/>
          <w:color w:val="auto"/>
        </w:rPr>
      </w:pPr>
      <w:r>
        <w:rPr>
          <w:rFonts w:ascii="Arial" w:cs="Arial" w:eastAsia="Arial" w:hAnsi="Arial"/>
          <w:sz w:val="18"/>
          <w:szCs w:val="18"/>
          <w:color w:val="auto"/>
        </w:rPr>
        <w:t>**</w:t>
        <w:tab/>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601(a)(5). The Registrant agrees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furnish a copy of all omitted exhibits and schedules to the SEC upon its request.</w:t>
      </w:r>
    </w:p>
    <w:p>
      <w:pPr>
        <w:spacing w:after="0" w:line="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Portions of this exhibit (indicated by +) have been omitted under rules of the SEC permitting the confidential treatment of select information.</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  Incorporated by reference to the Company’s Form 8-K, filed with the SEC on November 10,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3100"/>
              <w:spacing w:after="0"/>
              <w:rPr>
                <w:sz w:val="20"/>
                <w:szCs w:val="20"/>
                <w:color w:val="auto"/>
              </w:rPr>
            </w:pPr>
            <w:r>
              <w:rPr>
                <w:rFonts w:ascii="Arial" w:cs="Arial" w:eastAsia="Arial" w:hAnsi="Arial"/>
                <w:sz w:val="18"/>
                <w:szCs w:val="18"/>
                <w:b w:val="1"/>
                <w:bCs w:val="1"/>
                <w:color w:val="auto"/>
              </w:rPr>
              <w:t>VENTOUX CCM ACQUISITION CORP.</w:t>
            </w: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Date: December 3, 2021</w:t>
            </w:r>
          </w:p>
        </w:tc>
        <w:tc>
          <w:tcPr>
            <w:tcW w:w="3660" w:type="dxa"/>
            <w:vAlign w:val="bottom"/>
          </w:tcPr>
          <w:p>
            <w:pPr>
              <w:ind w:left="31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Scheetz</w:t>
            </w:r>
          </w:p>
        </w:tc>
      </w:tr>
      <w:tr>
        <w:trPr>
          <w:trHeight w:val="202"/>
        </w:trPr>
        <w:tc>
          <w:tcPr>
            <w:tcW w:w="3660" w:type="dxa"/>
            <w:vAlign w:val="bottom"/>
          </w:tcPr>
          <w:p>
            <w:pPr>
              <w:spacing w:after="0"/>
              <w:rPr>
                <w:sz w:val="17"/>
                <w:szCs w:val="17"/>
                <w:color w:val="auto"/>
              </w:rPr>
            </w:pPr>
          </w:p>
        </w:tc>
        <w:tc>
          <w:tcPr>
            <w:tcW w:w="3660" w:type="dxa"/>
            <w:vAlign w:val="bottom"/>
          </w:tcPr>
          <w:p>
            <w:pPr>
              <w:ind w:left="310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Edward Scheetz</w:t>
            </w:r>
          </w:p>
        </w:tc>
      </w:tr>
      <w:tr>
        <w:trPr>
          <w:trHeight w:val="216"/>
        </w:trPr>
        <w:tc>
          <w:tcPr>
            <w:tcW w:w="3660" w:type="dxa"/>
            <w:vAlign w:val="bottom"/>
          </w:tcPr>
          <w:p>
            <w:pPr>
              <w:spacing w:after="0"/>
              <w:rPr>
                <w:sz w:val="18"/>
                <w:szCs w:val="18"/>
                <w:color w:val="auto"/>
              </w:rPr>
            </w:pPr>
          </w:p>
        </w:tc>
        <w:tc>
          <w:tcPr>
            <w:tcW w:w="3660" w:type="dxa"/>
            <w:vAlign w:val="bottom"/>
          </w:tcPr>
          <w:p>
            <w:pPr>
              <w:ind w:left="310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36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Date: December 3, 2021</w:t>
            </w:r>
          </w:p>
        </w:tc>
        <w:tc>
          <w:tcPr>
            <w:tcW w:w="3660" w:type="dxa"/>
            <w:vAlign w:val="bottom"/>
          </w:tcPr>
          <w:p>
            <w:pPr>
              <w:ind w:left="31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MacDonald</w:t>
            </w:r>
          </w:p>
        </w:tc>
      </w:tr>
      <w:tr>
        <w:trPr>
          <w:trHeight w:val="202"/>
        </w:trPr>
        <w:tc>
          <w:tcPr>
            <w:tcW w:w="3660" w:type="dxa"/>
            <w:vAlign w:val="bottom"/>
          </w:tcPr>
          <w:p>
            <w:pPr>
              <w:spacing w:after="0"/>
              <w:rPr>
                <w:sz w:val="17"/>
                <w:szCs w:val="17"/>
                <w:color w:val="auto"/>
              </w:rPr>
            </w:pPr>
          </w:p>
        </w:tc>
        <w:tc>
          <w:tcPr>
            <w:tcW w:w="3660" w:type="dxa"/>
            <w:vAlign w:val="bottom"/>
          </w:tcPr>
          <w:p>
            <w:pPr>
              <w:ind w:left="310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Matthew MacDonald</w:t>
            </w:r>
          </w:p>
        </w:tc>
      </w:tr>
      <w:tr>
        <w:trPr>
          <w:trHeight w:val="216"/>
        </w:trPr>
        <w:tc>
          <w:tcPr>
            <w:tcW w:w="3660" w:type="dxa"/>
            <w:vAlign w:val="bottom"/>
          </w:tcPr>
          <w:p>
            <w:pPr>
              <w:spacing w:after="0"/>
              <w:rPr>
                <w:sz w:val="18"/>
                <w:szCs w:val="18"/>
                <w:color w:val="auto"/>
              </w:rPr>
            </w:pPr>
          </w:p>
        </w:tc>
        <w:tc>
          <w:tcPr>
            <w:tcW w:w="3660" w:type="dxa"/>
            <w:vAlign w:val="bottom"/>
          </w:tcPr>
          <w:p>
            <w:pPr>
              <w:ind w:left="310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Accounting and Financial Officer)</w:t>
            </w:r>
          </w:p>
        </w:tc>
      </w:tr>
      <w:tr>
        <w:trPr>
          <w:trHeight w:val="655"/>
        </w:trPr>
        <w:tc>
          <w:tcPr>
            <w:tcW w:w="36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32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Edward Scheetz,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Amendment No. 1 to the quarterly report on Form 10-Q/A of Ventoux CCM Acquisition Corp.;</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 w:hanging="335"/>
        <w:spacing w:after="0" w:line="277" w:lineRule="auto"/>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Matthew MacDonald,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Amendment No. 1 to the quarterly report on Form 10-Q/A of Ventoux CCM Acquisition Corp.;</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 w:hanging="335"/>
        <w:spacing w:after="0" w:line="277" w:lineRule="auto"/>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Amendment No. 1 to the Quarterly Report of Ventoux CCM Acquisition Corp. (the “Company”) on Form 10-Q/A for the quarterly period ended September 30, 2021, as filed with the Securities and Exchange Commission (the “Report”), I, Edward Scheetz, Chief Executive Officer of the Company, certify, pursuant to 18 U.S.C. §1350, as adopted pursuant to §906 of the Sarbanes-Oxley Act of 2002, that:</w:t>
      </w:r>
    </w:p>
    <w:p>
      <w:pPr>
        <w:spacing w:after="0" w:line="165" w:lineRule="exact"/>
        <w:rPr>
          <w:sz w:val="20"/>
          <w:szCs w:val="20"/>
          <w:color w:val="auto"/>
        </w:rPr>
      </w:pPr>
    </w:p>
    <w:p>
      <w:pPr>
        <w:ind w:left="680" w:hanging="335"/>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3,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Amendment No. 1 to the Quarterly Report of Ventoux CCM Acquisition Corp. (the “Company”) on Form 10-Q/A for the quarterly period ended September 30, 2021, as filed with the Securities and Exchange Commission (the “Report”), I, Matthew MacDonald, Chief Financial Officer of the Company, certify, pursuant to 18 U.S.C. §1350, as adopted pursuant to §906 of the Sarbanes-Oxley Act of 2002, that:</w:t>
      </w:r>
    </w:p>
    <w:p>
      <w:pPr>
        <w:spacing w:after="0" w:line="165" w:lineRule="exact"/>
        <w:rPr>
          <w:sz w:val="20"/>
          <w:szCs w:val="20"/>
          <w:color w:val="auto"/>
        </w:rPr>
      </w:pPr>
    </w:p>
    <w:p>
      <w:pPr>
        <w:ind w:left="680" w:hanging="335"/>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3,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Accounting and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emdash "/>
      <w:numFmt w:val="bullet"/>
      <w:start w:val="1"/>
    </w:lvl>
  </w:abstractNum>
  <w:abstractNum w:abstractNumId="2">
    <w:nsid w:val="4DB127F8"/>
    <w:multiLevelType w:val="hybridMultilevel"/>
    <w:lvl w:ilvl="0">
      <w:lvlJc w:val="left"/>
      <w:lvlText w:val="\emdash "/>
      <w:numFmt w:val="bullet"/>
      <w:start w:val="1"/>
    </w:lvl>
  </w:abstractNum>
  <w:abstractNum w:abstractNumId="3">
    <w:nsid w:val="216231B"/>
    <w:multiLevelType w:val="hybridMultilevel"/>
    <w:lvl w:ilvl="0">
      <w:lvlJc w:val="left"/>
      <w:lvlText w:val="(%1)"/>
      <w:numFmt w:val="lowerRoman"/>
      <w:start w:val="3"/>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65" Type="http://schemas.openxmlformats.org/officeDocument/2006/relationships/hyperlink" Target="https://www.sec.gov/Archives/edgar/data/1822145/000121390021058217/ea150262ex2-1_ventouxccm.htm" TargetMode="External"/><Relationship Id="rId66" Type="http://schemas.openxmlformats.org/officeDocument/2006/relationships/hyperlink" Target="https://www.sec.gov/Archives/edgar/data/1822145/000121390021058217/ea150262ex4-1_ventouxccm.htm" TargetMode="External"/><Relationship Id="rId67" Type="http://schemas.openxmlformats.org/officeDocument/2006/relationships/hyperlink" Target="https://www.sec.gov/Archives/edgar/data/1822145/000121390021058217/ea150262ex10-1_ventouxccm.htm" TargetMode="External"/><Relationship Id="rId68" Type="http://schemas.openxmlformats.org/officeDocument/2006/relationships/hyperlink" Target="https://www.sec.gov/Archives/edgar/data/1822145/000121390021058217/ea150262ex10-2_ventouxccm.htm" TargetMode="External"/><Relationship Id="rId69" Type="http://schemas.openxmlformats.org/officeDocument/2006/relationships/hyperlink" Target="https://www.sec.gov/Archives/edgar/data/1822145/000121390021058217/ea150262ex10-3_ventouxccm.htm" TargetMode="External"/><Relationship Id="rId70" Type="http://schemas.openxmlformats.org/officeDocument/2006/relationships/hyperlink" Target="https://www.sec.gov/Archives/edgar/data/1822145/000121390021058217/ea150262ex10-4_ventouxccm.htm" TargetMode="External"/><Relationship Id="rId71" Type="http://schemas.openxmlformats.org/officeDocument/2006/relationships/hyperlink" Target="https://www.sec.gov/Archives/edgar/data/1822145/000121390021058217/ea150262ex10-5_ventouxccm.htm" TargetMode="External"/><Relationship Id="rId72" Type="http://schemas.openxmlformats.org/officeDocument/2006/relationships/hyperlink" Target="https://www.sec.gov/Archives/edgar/data/1822145/000121390021058217/ea150262ex10-6_ventouxccm.htm" TargetMode="External"/><Relationship Id="rId73" Type="http://schemas.openxmlformats.org/officeDocument/2006/relationships/hyperlink" Target="https://www.sec.gov/Archives/edgar/data/1822145/000121390021058217/ea150262ex10-7_ventouxcc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2021-12-06T05:16:26Z</dcterms:created>
  <dcterms:modified xsi:type="dcterms:W3CDTF">2021-12-06T05:16:26Z</dcterms:modified>
</cp:coreProperties>
</file>