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 August 9,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84-2968594</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42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 Carlos,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8"/>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817-9012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PRST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PRSTW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 of common stock</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ind w:left="340" w:hanging="332"/>
        <w:spacing w:after="0" w:line="256" w:lineRule="auto"/>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8, 2024, the Nasdaq Stock Market LLC (“Nasdaq”) suspended trading of Presto Automation Inc. common stock, par value $0.0001 per share (“Common Stock”), and its warrants. Nasdaq will file a Form 25 with the U.S. Securities and Exchange Commission to delist the Common Stock and warrants from the Nasdaq Stock Market. The deregistration of the Common Stock and warrants under Section 12(b) of the Securities Exchange Act of 1934 will be effective 90 days, or such shorter period as the U.S. Securities and Exchange Commission may determine, after filing of the Form 25-NSE. The Common stock and warrants currently trade on the OTC Pink Marketplace maintained by the OTC Markets Group, Inc. under the symbol “PRST” and “PRSTW,”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“Convertible Note with Remus” set forth in Item 8.01 of the Current Report on the Company’s Form 8-K filed with the SEC on August 12, 2024 is hereby incorporated by reference into this Item 3.02 in its entirety. The August Note was issued pursuant to the exemption from registration provided by Section 4(a)(2) under the Securities Act.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9, 2024, Stephen Herbert submitted his resignation from the board of directors of the Company effective immediately. Mr. Herbert did not provide any reason for his resignation.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9, 2024, the Company and Stanley Mbugua, the Company’s Chief Financial Officer, agreed that Mr. Mbugua would step down from his role as Chief Financial Officer, effective immediately. Mr. Mbugua will continue to receive his salary and benefits for a two month period. Concurrently, on August 9, 2024, the Company extended an offer to Lillian Meyer which she accepted to serve as the Company’s Chief Financial Officer commencing on August 26, 2024.</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Since 2022, Ms. Meyer has served as the Chief Financial Officer of Catalyte, Inc., a technology and IT services company. From 2020 through 2022, she served as the Chief Financial Officer of Blue Scape Opportunities Acquisition Corp., a special purchase acquisition company listed on the NYSE. From 2019 through 2020, she served as Founder of ElectricSnap, a start-up company analyzing consumer electricity savings. From 2018 through 2019, she served as the VP of Business Development for Vistra Energy, a publicly traded integrated utility company. From 2008 through 2018, she was a Vice President and a Managing Director of Bluescape Energy Partners, an energy focused private equity fund. Ms. Meyer holds a B.A. in Business and Scientific English from Shanghai University, an MBA and Master of Accounting from Tulane University and a M.Sc. in law from Northwestern University.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Ms. Meyer’s appointment she:</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receive annual base compensation of $350,000;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eligible to receive an annual performance bonus equal to 50% of her base salary;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receive an equity grant to be determined in the future following the resolution of the Company’s liquidity situation and on-going discussions with the Lenders;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entitled to participate in Company benefit plans, including group health insurance, adopted and maintained by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Set forth below in more detail is information regarding the Company’s liquidity position and recent issuances of securities. The Company intends to continue offering shares pursuant to its agreement with Triton Funds LP (“Triton”) dated July 24, 2024 (the “Triton Agreement”) pursuant to the prospectus supplement that it filed on July 25, 2024. </w:t>
      </w:r>
      <w:r>
        <w:rPr>
          <w:rFonts w:ascii="Times New Roman" w:cs="Times New Roman" w:eastAsia="Times New Roman" w:hAnsi="Times New Roman"/>
          <w:sz w:val="18"/>
          <w:szCs w:val="18"/>
          <w:b w:val="1"/>
          <w:bCs w:val="1"/>
          <w:color w:val="auto"/>
        </w:rPr>
        <w:t>However, as set forth below in more detail, absent further forbearance from the Lenders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 Loan Agreements, which the Lenders have currently indicated they are unwilling to provide, investors </w:t>
      </w:r>
      <w:r>
        <w:rPr>
          <w:rFonts w:ascii="Times New Roman" w:cs="Times New Roman" w:eastAsia="Times New Roman" w:hAnsi="Times New Roman"/>
          <w:sz w:val="18"/>
          <w:szCs w:val="18"/>
          <w:b w:val="1"/>
          <w:bCs w:val="1"/>
          <w:u w:val="single" w:color="auto"/>
          <w:color w:val="auto"/>
        </w:rPr>
        <w:t>will</w:t>
      </w:r>
      <w:r>
        <w:rPr>
          <w:rFonts w:ascii="Times New Roman" w:cs="Times New Roman" w:eastAsia="Times New Roman" w:hAnsi="Times New Roman"/>
          <w:sz w:val="18"/>
          <w:szCs w:val="18"/>
          <w:b w:val="1"/>
          <w:bCs w:val="1"/>
          <w:color w:val="auto"/>
        </w:rPr>
        <w:t xml:space="preserve"> lose their </w:t>
      </w:r>
      <w:r>
        <w:rPr>
          <w:rFonts w:ascii="Times New Roman" w:cs="Times New Roman" w:eastAsia="Times New Roman" w:hAnsi="Times New Roman"/>
          <w:sz w:val="18"/>
          <w:szCs w:val="18"/>
          <w:b w:val="1"/>
          <w:bCs w:val="1"/>
          <w:u w:val="single" w:color="auto"/>
          <w:color w:val="auto"/>
        </w:rPr>
        <w:t>entire investment</w:t>
      </w:r>
      <w:r>
        <w:rPr>
          <w:rFonts w:ascii="Times New Roman" w:cs="Times New Roman" w:eastAsia="Times New Roman" w:hAnsi="Times New Roman"/>
          <w:sz w:val="18"/>
          <w:szCs w:val="18"/>
          <w:b w:val="1"/>
          <w:bCs w:val="1"/>
          <w:color w:val="auto"/>
        </w:rPr>
        <w:t xml:space="preserve"> as soon as August 16,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Liquidity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August 9, 2024, the Company had virtually no cash on hand, including cash necessary to meet its payroll obligations. In order to meet its immediate obligations, including payroll, on August 12, 2024, the Company has agreed to issue a subordinated convertible note to Remus Capital Series B II, L.P. (“Remus”), an entity affiliated with Krishna Gupta, a member of our Board of Directors, in consideration for $650,000 which it expects to receive on August 12, 2024. Of this amount, $100,000 will be used to pay fees and expenses, resulting in net proceeds of $550,000.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Defaults under Credit Facility</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agreements (the “Loan Agreements”) that were previously disclosed with the Company’s senior secured lenders (the “Lenders”) for which Metropolitan Partners Group Administration LLC acts as the administrative, payment and collateral agent, the Company was required to raise $2.0 million of gross proceeds on or before August 1, 2024:</w:t>
      </w:r>
    </w:p>
    <w:p>
      <w:pPr>
        <w:spacing w:after="0" w:line="176" w:lineRule="exact"/>
        <w:rPr>
          <w:sz w:val="20"/>
          <w:szCs w:val="20"/>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 $838,865 as of August 6, 2024 and received a deferral until August 15, 2024 (the “Deferral”) of the aforementioned deadline conditioned on the Company making certain payments to the Lenders on or before August 7, 2024. The Company failed to make such payments. As a result, the Company currently has uncured defaults under the Loan Agreements.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such defaults, the Company would be required to raise $3.2 million of net proceeds on or before August 15, 2024 (of which $550,000 are expected to be raised pursuant to a subordinated convertible note issued to Remus) in order to satisfy the terms of the Deferral. The Company is seeking to raise that money through the Triton Agreement (see below under “Agreement with Triton).</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Nevertheless, the Company’s lenders have indicated to the Company that (a) they do not intend to grant any further forbearance for the Company’s defaults, (b) they will give the Company an opportunity to explain how it believes it can raise the required funds and not exercise remedies, including foreclosure, before August 15, 2024, and (c) they may exercise remedies, including foreclosure, as soon as August 16, 2024, in which case investors will lose their entire investment. As set forth herein, under the terms of the agreement with Triton, it is not possible to raise the required funds on or before August 15, 2024 and the Company has no alternative source of financing.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Agreement with Triton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Past Issuances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previously disclosed, the Company entered into a Common Stock Purchase Agreement (the “CSPA”) with Triton on July 24, 2024:</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above, the Company raised $838,865 through August 6, 2024 in connection with the sale of 38,951,765 shares by Triton.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expecting to receive a further $281,699 in connection with the sale of 15,580,706 shares which closed on August 7, 2024, but for which the proceeds were not timely remitted by Triton.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8, 2024, the Company issued 80,000,000 shares to Triton. The closing date for such sale is required to be no later than August 13, 2024. Based on the CSPA, Triton will be entitled to use a purchase price of $0.0016 per share, representing a 20% discount to the lowest trading price of the Common Stock in the 5 trading days prior to closing, which would generate gross proceeds of $128,000 and should be received by the Company on August 13, 2024.</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Future Issuances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has issued purchase notices to Triton in the separate amounts of 125 million, 175 million and 200 million shares as of August 11, 2024 and is delivering 125 million shares to Triton as of August 12, 2024:</w:t>
      </w:r>
    </w:p>
    <w:p>
      <w:pPr>
        <w:spacing w:after="0" w:line="162" w:lineRule="exact"/>
        <w:rPr>
          <w:sz w:val="20"/>
          <w:szCs w:val="20"/>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terms of the CSPA, Triton is entitled to purchase these shares at a 20% discount to the lowest trading price within the 5 trading days prior to closing. Closing is required to occur at any time within 3 trading days of issuance. As a result, Triton is entitled to use the $0.0016 per share price and this issuance of the 500 million total shares to be potentially sold by Triton would generate gross proceeds of $800,000.</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Triton will need to sell up to 1.325 billion shares in order to generate $2.65 million of gross proceeds.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fact that only 125 million shares are being issued to Triton on August 12, 2024 and the fact that there is up to a 3-day closing cycle, the Triton Agreement does not provide any means to raise an additional $2.65 million on or before August 15, 2024.</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Lenders have indicated to the Company that (a) they do not intend to grant any further forbearance for the Company’s defaults, (b) they will give the Company an opportunity to explain how it believes it can raise the required funds and not exercise remedies, including foreclosure, before August 15, 2024, and (c) they may exercise remedies, including foreclose, as soon as August 16, 2024 in which case investors will lose their entire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Anti-Dilution Trigger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expected sale to Triton of 80 million shares at a price per share of $0.0016 will trigger antidilution protection that benefits previous investors in the Company’s shares. These antidilution adjustments will entitle investors to receive an additional 4.2 billion shares and 9.8 billion shares underlying convertible notes and warrants to acquire shares. These amounts are on top of previously disclosed antidilution issuances which the Company has not had the resources to effect. The Company’s fully diluted shares outstanding, after giving effect to all of these issuances, would be approximately 15.5 billion shares.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720" w:type="dxa"/>
            <w:vAlign w:val="bottom"/>
            <w:tcBorders>
              <w:top w:val="single" w:sz="8" w:color="auto"/>
              <w:left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Securityholder</w:t>
            </w:r>
          </w:p>
        </w:tc>
        <w:tc>
          <w:tcPr>
            <w:tcW w:w="292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Subject Security</w:t>
            </w:r>
          </w:p>
        </w:tc>
        <w:tc>
          <w:tcPr>
            <w:tcW w:w="5600" w:type="dxa"/>
            <w:vAlign w:val="bottom"/>
            <w:tcBorders>
              <w:top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Impact of Recent Triton Offering</w:t>
            </w:r>
          </w:p>
        </w:tc>
      </w:tr>
      <w:tr>
        <w:trPr>
          <w:trHeight w:val="194"/>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5600" w:type="dxa"/>
            <w:vAlign w:val="bottom"/>
            <w:tcBorders>
              <w:bottom w:val="single" w:sz="8" w:color="auto"/>
              <w:right w:val="single" w:sz="8" w:color="auto"/>
            </w:tcBorders>
          </w:tcPr>
          <w:p>
            <w:pPr>
              <w:spacing w:after="0"/>
              <w:rPr>
                <w:sz w:val="16"/>
                <w:szCs w:val="16"/>
                <w:color w:val="auto"/>
              </w:rPr>
            </w:pPr>
          </w:p>
        </w:tc>
      </w:tr>
      <w:tr>
        <w:trPr>
          <w:trHeight w:val="191"/>
        </w:trPr>
        <w:tc>
          <w:tcPr>
            <w:tcW w:w="2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Presto CA</w:t>
            </w:r>
          </w:p>
        </w:tc>
        <w:tc>
          <w:tcPr>
            <w:tcW w:w="29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Issuance of 1,709,070,763 additional shares.</w:t>
            </w:r>
          </w:p>
        </w:tc>
      </w:tr>
      <w:tr>
        <w:trPr>
          <w:trHeight w:val="234"/>
        </w:trPr>
        <w:tc>
          <w:tcPr>
            <w:tcW w:w="272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Reduction of New Issuance Price from $0.01808 to $0.0016.</w:t>
            </w:r>
          </w:p>
        </w:tc>
      </w:tr>
      <w:tr>
        <w:trPr>
          <w:trHeight w:val="216"/>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191"/>
        </w:trPr>
        <w:tc>
          <w:tcPr>
            <w:tcW w:w="2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November 2023 Purchasers</w:t>
            </w:r>
          </w:p>
        </w:tc>
        <w:tc>
          <w:tcPr>
            <w:tcW w:w="29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Issuance of 1,595,132,743 additional shares.</w:t>
            </w:r>
          </w:p>
        </w:tc>
      </w:tr>
      <w:tr>
        <w:trPr>
          <w:trHeight w:val="234"/>
        </w:trPr>
        <w:tc>
          <w:tcPr>
            <w:tcW w:w="272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Reduction of New Issuance Price from $0.01808 to $0.0016.</w:t>
            </w:r>
          </w:p>
        </w:tc>
      </w:tr>
      <w:tr>
        <w:trPr>
          <w:trHeight w:val="216"/>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191"/>
        </w:trPr>
        <w:tc>
          <w:tcPr>
            <w:tcW w:w="2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Lenders</w:t>
            </w:r>
          </w:p>
        </w:tc>
        <w:tc>
          <w:tcPr>
            <w:tcW w:w="29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Third Amendment Conversion</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Increase in the number of shares underlying the Third Amendment</w:t>
            </w: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2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Conversion Warrants from 331,858,407 to 3,707,142,870 shares.</w:t>
            </w:r>
          </w:p>
        </w:tc>
      </w:tr>
      <w:tr>
        <w:trPr>
          <w:trHeight w:val="234"/>
        </w:trPr>
        <w:tc>
          <w:tcPr>
            <w:tcW w:w="272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Reduction in the Applicable Price from $0.01808 to $0.0016.</w:t>
            </w:r>
          </w:p>
        </w:tc>
      </w:tr>
      <w:tr>
        <w:trPr>
          <w:trHeight w:val="216"/>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191"/>
        </w:trPr>
        <w:tc>
          <w:tcPr>
            <w:tcW w:w="2720" w:type="dxa"/>
            <w:vAlign w:val="bottom"/>
            <w:tcBorders>
              <w:left w:val="single" w:sz="8" w:color="auto"/>
              <w:right w:val="single" w:sz="8" w:color="auto"/>
            </w:tcBorders>
          </w:tcPr>
          <w:p>
            <w:pPr>
              <w:spacing w:after="0"/>
              <w:rPr>
                <w:sz w:val="16"/>
                <w:szCs w:val="16"/>
                <w:color w:val="auto"/>
              </w:rPr>
            </w:pPr>
          </w:p>
        </w:tc>
        <w:tc>
          <w:tcPr>
            <w:tcW w:w="29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Fifth Amendment Conversion</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Increase in the number of shares underlying the Fifth Amendment</w:t>
            </w: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2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Conversion Warrants from 117,772,096 to 1,315,615,263 shares.</w:t>
            </w:r>
          </w:p>
        </w:tc>
      </w:tr>
      <w:tr>
        <w:trPr>
          <w:trHeight w:val="234"/>
        </w:trPr>
        <w:tc>
          <w:tcPr>
            <w:tcW w:w="272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Reduction in the Applicable Price from $0.01808 to $0.0016.</w:t>
            </w:r>
          </w:p>
        </w:tc>
      </w:tr>
      <w:tr>
        <w:trPr>
          <w:trHeight w:val="216"/>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191"/>
        </w:trPr>
        <w:tc>
          <w:tcPr>
            <w:tcW w:w="2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January 2024 Noteholders</w:t>
            </w:r>
          </w:p>
        </w:tc>
        <w:tc>
          <w:tcPr>
            <w:tcW w:w="29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January 2024 Notes</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Issuance of an aggregate 5,127,212,368.00 additional shares underlying</w:t>
            </w: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principal of the January 2024 Notes.</w:t>
            </w:r>
          </w:p>
        </w:tc>
      </w:tr>
      <w:tr>
        <w:trPr>
          <w:trHeight w:val="234"/>
        </w:trPr>
        <w:tc>
          <w:tcPr>
            <w:tcW w:w="272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Reduction of Conversion Price from $0.01808 to $0.0016.</w:t>
            </w:r>
          </w:p>
        </w:tc>
      </w:tr>
      <w:tr>
        <w:trPr>
          <w:trHeight w:val="216"/>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191"/>
        </w:trPr>
        <w:tc>
          <w:tcPr>
            <w:tcW w:w="2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May 2024 Purchasers</w:t>
            </w:r>
          </w:p>
        </w:tc>
        <w:tc>
          <w:tcPr>
            <w:tcW w:w="29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Issuance of 868,777,168 additional shares.</w:t>
            </w:r>
          </w:p>
        </w:tc>
      </w:tr>
      <w:tr>
        <w:trPr>
          <w:trHeight w:val="234"/>
        </w:trPr>
        <w:tc>
          <w:tcPr>
            <w:tcW w:w="272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Reduction of New Issuance Price from $0.01808 to $0.0016.</w:t>
            </w:r>
          </w:p>
        </w:tc>
      </w:tr>
      <w:tr>
        <w:trPr>
          <w:trHeight w:val="216"/>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425"/>
        </w:trPr>
        <w:tc>
          <w:tcPr>
            <w:tcW w:w="2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Longer-Term Liquidity</w:t>
            </w:r>
          </w:p>
        </w:tc>
        <w:tc>
          <w:tcPr>
            <w:tcW w:w="2920" w:type="dxa"/>
            <w:vAlign w:val="bottom"/>
          </w:tcPr>
          <w:p>
            <w:pPr>
              <w:spacing w:after="0"/>
              <w:rPr>
                <w:sz w:val="24"/>
                <w:szCs w:val="24"/>
                <w:color w:val="auto"/>
              </w:rPr>
            </w:pPr>
          </w:p>
        </w:tc>
        <w:tc>
          <w:tcPr>
            <w:tcW w:w="5600" w:type="dxa"/>
            <w:vAlign w:val="bottom"/>
          </w:tcPr>
          <w:p>
            <w:pPr>
              <w:spacing w:after="0"/>
              <w:rPr>
                <w:sz w:val="24"/>
                <w:szCs w:val="24"/>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Loan Agreements, the Company is required to raise an additional $32.0 million by no later than the Forbearance Date in order to facilitate negotiations with the Lenders for the assignment and restructuring of their loan. As previously disclosed:</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indication of interest from a third party investor to invest any amount in the Company;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Gupta has indicated to the board that Remus Capital has “circled” $10.0 million; however, despite requests by the board, Mr. Gupta has not provided any evidence of the existence of such funds.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with Remus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Terms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referenced above, on August 12, 2024, the Company intends to execute and issue to Remus, an entity affiliated with Krishna Gupta, a member of our Board of Directors, a subordinated convertible note in the principal amount of $650,000 (the “August Note”) in consideration for a cash investment of $650,000 from Remus. The form of the August Note is attached as Exhibit 10.1.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terms of the August Note are as follows:</w:t>
      </w:r>
    </w:p>
    <w:p>
      <w:pPr>
        <w:spacing w:after="0" w:line="223" w:lineRule="exact"/>
        <w:rPr>
          <w:sz w:val="20"/>
          <w:szCs w:val="20"/>
          <w:color w:val="auto"/>
        </w:rPr>
      </w:pPr>
    </w:p>
    <w:p>
      <w:pPr>
        <w:ind w:left="980" w:right="20" w:hanging="324"/>
        <w:spacing w:after="0" w:line="28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PIK Interest</w:t>
      </w:r>
      <w:r>
        <w:rPr>
          <w:rFonts w:ascii="Times New Roman" w:cs="Times New Roman" w:eastAsia="Times New Roman" w:hAnsi="Times New Roman"/>
          <w:sz w:val="18"/>
          <w:szCs w:val="18"/>
          <w:color w:val="auto"/>
        </w:rPr>
        <w:t>. Interest on the August Note accrues monthly by increasing principal at a rate of 7.5% per annum. The interest rate shall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12% in the case of an event of default.</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August Note is convertible into 96,726,190 shares of common stock, par value $0.0001 per share (“Common Stock”),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of the holder at a conversion price of $0.00672 per share, which represents a 20% premium to the closing price of the Company’s common stock on August 9, 2024. The conversion rate is subject to adjustment in connection with any stock split, stock dividend or similar action. The August Note shall convert mandatorily into Common Stock at the then prevailing conversion price immediately prior to (a) a Restructuring Transaction, and (b) a Change of Control transaction with a financial investor (in each case, as such terms are defined in the August Note). For these purposes: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The August Note is subject to the terms and conditions of the indebtedness (the “Senior Indebtedness”) outstanding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(as defined below) and additional provisions set forth in the August Note, including, without limitation, (i) the August Note is subordinated to the prior payment in cash in full of the Senior Indebtedness, and (ii) no principal or interest may be paid in cash on the August Note prior to the repayment in cash in full of the Senior Indebtedness.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entered into a Registration Rights Agreement with the August Note holder (the “Registration Rights Agreement”) dated August 12, 2024. Under the Registration Rights Agreement, the Company is required to file a registration statement (“Registration Statement”) with the SEC within 90 days following the date of the Registration Rights Agreement for purposes of registering the resale of the shares of Common Stock issuable upon conversion of the August Note. The Company is also required to use commercially reasonable efforts to cause the SEC to declare the Registration Statement effective as promptly as possible after the filing of the Registration Statement and no later than the earlier of (i) the 150th calendar day following the date of the Registration Rights Agreement and (ii) the 5th trading day after the date the Company is notified by the SEC that the Registration Statement will not be “reviewed” or will not be subject to further review. The Company is also required to use its commercially reasonable efforts to keep each Registration Statement continuously effective under the Securities Act of 1933, as amended (the “Securities Act”) until the earlier of (i) such time as all of the registrable securities covered by such Resale Registration Statement have been sold by the holders publicly or pursuant to Rule 144 or (ii) the date that all registrable securities covered by such Registration Statement may be sold by non-affiliates of the Company without volume or manner-of-sale restrictions under Rule 144, and without the requirement for the Company to be in compliance with the current public information requirements under Rule 144, as determined by counsel to the Company pursuant to a written opinion letter to such effect, addressed and acceptable to the Company’s transfer agent and the affected holders.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form of Registration Rights Agreement is attached as 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summaries do not purport to be complete and are subject to, and qualified in its entirety by, the full text of the August Note and Registration Rights Agreement filed as Exhibits 10.1 and 10.2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Looking Statements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(the “Form 8-K”)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and those additional risks and uncertainties discussed under the heading “Risk Factors” in the Form 10-K filed by the Company with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outcomes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Form 8-K.</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114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940" w:type="dxa"/>
            <w:vAlign w:val="bottom"/>
            <w:tcBorders>
              <w:top w:val="single" w:sz="8" w:color="auto"/>
              <w:bottom w:val="single" w:sz="8" w:color="0000EE"/>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w w:val="99"/>
              </w:rPr>
              <w:t>Form of Subordinated Convertible Note.</w:t>
            </w:r>
          </w:p>
        </w:tc>
        <w:tc>
          <w:tcPr>
            <w:tcW w:w="70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00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EE"/>
              </w:rPr>
              <w:t>Form of Registration Rights Agreement.</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220" w:hanging="5572"/>
        <w:spacing w:after="0" w:line="783" w:lineRule="auto"/>
        <w:tabs>
          <w:tab w:leader="none" w:pos="12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August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Gee Lefevre</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SUBORDINATED CONVERTIBLE NOTE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INSTRUMENT AND THE RIGHTS AND OBLIGATIONS EVIDENCED HEREBY ARE SUBORDINATE TO THE INDEFEASIBLE PAYMENT IN FULL AND SATISFACTION OF THE SENIOR INDEBTEDNESS OWED TO THE LENDERS AND THE ADMINISTRATIVE AGENT PURSUANT TO THE CREDIT AGREEMENT AND LOAN DOCUMENTS (EACH AS DEFINED HEREIN).</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UNDER SAID ACT. NOTWITHSTANDING THE FOREGOING, THE SECURITIES MAY BE PLEDGED IN CONNECTION WITH A BONA FIDE MARGIN ACCOUNT OR OTHER LOAN OR FINANCING ARRANGEMENT SECURED BY THE SECURITIES. ANY TRANSFEREE OF THIS NOTE SHOULD CAREFULLY REVIEW THE TERMS OF THIS NOTE. THE PRINCIPAL AMOUNT REPRESENTED BY THIS NOTE AND, ACCORDINGLY, THE SECURITIES ISSUABLE UPON CONVERSION HEREOF MAY BE LESS THAN THE AMOUNTS SET FORTH ON THE FACE HEREOF PURSUANT TO THE TERMS OF THIS NOTE.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SUBORDINATED CONVERTIBLE NOTE</w:t>
      </w:r>
    </w:p>
    <w:p>
      <w:pPr>
        <w:spacing w:after="0" w:line="207" w:lineRule="exact"/>
        <w:rPr>
          <w:sz w:val="20"/>
          <w:szCs w:val="20"/>
          <w:color w:val="auto"/>
        </w:rPr>
      </w:pPr>
    </w:p>
    <w:p>
      <w:pPr>
        <w:spacing w:after="0"/>
        <w:tabs>
          <w:tab w:leader="none" w:pos="8020" w:val="left"/>
        </w:tabs>
        <w:rPr>
          <w:sz w:val="20"/>
          <w:szCs w:val="20"/>
          <w:color w:val="auto"/>
        </w:rPr>
      </w:pPr>
      <w:r>
        <w:rPr>
          <w:rFonts w:ascii="Times New Roman" w:cs="Times New Roman" w:eastAsia="Times New Roman" w:hAnsi="Times New Roman"/>
          <w:sz w:val="18"/>
          <w:szCs w:val="18"/>
          <w:color w:val="auto"/>
        </w:rPr>
        <w:t>Issuance Date:</w:t>
      </w:r>
      <w:r>
        <w:rPr>
          <w:sz w:val="20"/>
          <w:szCs w:val="20"/>
          <w:color w:val="auto"/>
        </w:rPr>
        <w:tab/>
      </w:r>
      <w:r>
        <w:rPr>
          <w:rFonts w:ascii="Times New Roman" w:cs="Times New Roman" w:eastAsia="Times New Roman" w:hAnsi="Times New Roman"/>
          <w:sz w:val="17"/>
          <w:szCs w:val="17"/>
          <w:color w:val="auto"/>
        </w:rPr>
        <w:t>Original Principal Amount: U.S. 650,000.00</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VALUE RECEIVED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promises to pay to the order of Remus Capital Series B II, L.P. or its registered assigns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the amount set forth above as the Original Principal Amount (as reduced pursuant to the terms hereof pursuant to redemption, conversion or otherwise and as increased by the amount of PIK Interest (as defined below) added to the principal amount of this Subordinated Convertible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to the extent separated into more than one Note,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accordance with Section 2(a), 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when due, whether upon the Maturity Date, or upon acceleration, redemption or otherwise (in each case in accordance with the terms hereof) and to pay interest as provided herein until the same becomes due and payable, whether upon the Maturity Date, or upon acceleration, conversion, redemption or otherwise (in each case in accordance with the terms hereof). Certain capitalized terms used herein are defined in Section 27.</w:t>
      </w:r>
    </w:p>
    <w:p>
      <w:pPr>
        <w:spacing w:after="0" w:line="185" w:lineRule="exact"/>
        <w:rPr>
          <w:sz w:val="20"/>
          <w:szCs w:val="20"/>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 OF PRINCIPAL.</w:t>
      </w:r>
    </w:p>
    <w:p>
      <w:pPr>
        <w:spacing w:after="0" w:line="229" w:lineRule="exact"/>
        <w:rPr>
          <w:rFonts w:ascii="Times New Roman" w:cs="Times New Roman" w:eastAsia="Times New Roman" w:hAnsi="Times New Roman"/>
          <w:sz w:val="18"/>
          <w:szCs w:val="18"/>
          <w:b w:val="1"/>
          <w:bCs w:val="1"/>
          <w:color w:val="auto"/>
        </w:rPr>
      </w:pPr>
    </w:p>
    <w:p>
      <w:pPr>
        <w:jc w:val="both"/>
        <w:ind w:left="660" w:firstLine="644"/>
        <w:spacing w:after="0" w:line="254" w:lineRule="auto"/>
        <w:tabs>
          <w:tab w:leader="none" w:pos="15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Maturity Date, the Company shall pay to the Holder an amount in cash representing all outstanding Principal, accrued and unpaid Interest and accrued and unpaid Late Charges (as defined below) on such Principal and Interest. The Company may not prepay any portion of the outstanding Principal, accrued and unpaid Interest or accrued and unpaid Late Charges on Principal and Interest, if any. Notwithstanding anything herein to the contrary, with respect to any redemption hereunder, as applicable, the Company shall repay or redeem, as applicable,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all accrued and unpaid Interest hereunder and under any other Notes held by such Holder,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all accrued and unpaid Late Charges on any Principal and Interest hereunder and under any other Notes held by such Holder,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all other amounts (other than Principal) outstanding under any other Notes held by such Holder and,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all Principal outstanding hereunder and under any other Notes held by such Holder, in each case, allocated pro rata among this Note and such other Notes held by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left="840" w:hanging="184"/>
        <w:spacing w:after="0"/>
        <w:tabs>
          <w:tab w:leader="none" w:pos="8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INTEREST RATE.</w:t>
      </w:r>
    </w:p>
    <w:p>
      <w:pPr>
        <w:spacing w:after="0" w:line="227" w:lineRule="exact"/>
        <w:rPr>
          <w:rFonts w:ascii="Times New Roman" w:cs="Times New Roman" w:eastAsia="Times New Roman" w:hAnsi="Times New Roman"/>
          <w:sz w:val="18"/>
          <w:szCs w:val="18"/>
          <w:b w:val="1"/>
          <w:bCs w:val="1"/>
          <w:color w:val="auto"/>
        </w:rPr>
      </w:pPr>
    </w:p>
    <w:p>
      <w:pPr>
        <w:jc w:val="both"/>
        <w:ind w:left="660" w:firstLine="644"/>
        <w:spacing w:after="0" w:line="258" w:lineRule="auto"/>
        <w:tabs>
          <w:tab w:leader="none" w:pos="156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PIK Interest</w:t>
      </w:r>
      <w:r>
        <w:rPr>
          <w:rFonts w:ascii="Times New Roman" w:cs="Times New Roman" w:eastAsia="Times New Roman" w:hAnsi="Times New Roman"/>
          <w:sz w:val="18"/>
          <w:szCs w:val="18"/>
          <w:color w:val="auto"/>
        </w:rPr>
        <w:t>. PIK Interest on the Principal of this Note shall commence accruing on the Issuance Date at the PIK Interest 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computed on the basis of a 360-day year and the actual number of days elapsed, and shall be payable in arrears on each Interest Date (with the first Interest Date being September 1, 2024) to the record holder of this Note. However, PIK Interest shall not be paid in cash on each Interest Date, but instead shall be automatically capitalized on a monthly basis as of such Interest Date and added to the unpaid and outstanding Principal of this Note.</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15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PIK Interest on Event of Default</w:t>
      </w:r>
      <w:r>
        <w:rPr>
          <w:rFonts w:ascii="Times New Roman" w:cs="Times New Roman" w:eastAsia="Times New Roman" w:hAnsi="Times New Roman"/>
          <w:sz w:val="18"/>
          <w:szCs w:val="18"/>
          <w:color w:val="auto"/>
        </w:rPr>
        <w:t>. From and after the occurrence and during the continuance of any Event of Default, the PIK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shall automatically be increased to 12% per annum. In the event that such Event of Default is subsequently cured, the adjustment referred to in the preceding sentence shall cease to be effective as of the calendar day immediately following the date of such cure.</w:t>
      </w:r>
    </w:p>
    <w:p>
      <w:pPr>
        <w:spacing w:after="0" w:line="17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NOTES.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any time after the Issuance Date, this Note shall be convertible, at any time and from time to time, at the option of the Holder, into validly issued, fully paid and non-assessable shares of Common Stock (as defined below), on the terms and conditions set forth in this Section 3.</w:t>
      </w:r>
    </w:p>
    <w:p>
      <w:pPr>
        <w:spacing w:after="0" w:line="162" w:lineRule="exact"/>
        <w:rPr>
          <w:sz w:val="20"/>
          <w:szCs w:val="20"/>
          <w:color w:val="auto"/>
        </w:rPr>
      </w:pPr>
    </w:p>
    <w:p>
      <w:pPr>
        <w:jc w:val="both"/>
        <w:ind w:left="660" w:firstLine="644"/>
        <w:spacing w:after="0" w:line="255" w:lineRule="auto"/>
        <w:tabs>
          <w:tab w:leader="none" w:pos="15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At any time or times on or after the Issuance Date, the Holder shall be entitled, at its option,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number of shares of Common Stock issuable upon conversion of any Conversion Amount pursuant to Section 3(a) shall be determined by dividing (x) such Conversion Amount by (y) the Conversion Price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300" w:firstLine="652"/>
        <w:spacing w:after="0" w:line="268" w:lineRule="auto"/>
        <w:tabs>
          <w:tab w:leader="none" w:pos="21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(x) portion of the Principal to be converted, redeemed or otherwise with respect to which this determination is being made and (y) all accrued and unpaid Interest with respect to such portion of the Principal amount and accrued and unpaid Late Charges with respect to such portion of such Principal and such Interest, if any.</w:t>
      </w:r>
    </w:p>
    <w:p>
      <w:pPr>
        <w:spacing w:after="0" w:line="170"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$0.00672, subject to adjustment as provided herein.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420" w:hanging="236"/>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of Conversion.</w:t>
      </w:r>
    </w:p>
    <w:p>
      <w:pPr>
        <w:spacing w:after="0" w:line="221"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0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Conversion</w:t>
      </w:r>
      <w:r>
        <w:rPr>
          <w:rFonts w:ascii="Times New Roman" w:cs="Times New Roman" w:eastAsia="Times New Roman" w:hAnsi="Times New Roman"/>
          <w:sz w:val="18"/>
          <w:szCs w:val="18"/>
          <w:color w:val="auto"/>
        </w:rPr>
        <w:t>. To convert any Conversion Amount into shares of Common Stock on any date (a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Holder shall deliver via electronic mail, for receipt on or prior to 6:00 p.m., New York time, on such date, a copy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notice of conversion in the form attached hereto as Exhibit 1 (the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to the Company. If required by Section 3(c)(iii), within two (2) Trading Days following a conversion of this Note as aforesaid, the Holder shall surrender this Note (or an indemnification undertaking with respect to this Note in the case of its loss, theft or destruction as contemplated by Section 16(b)) to a nationally recognized overnight delivery service for delivery to the Company. On or before the first (1st) Trading Day following the date of receipt of a Conversion Notice, the Company shall transmit to the Holder and the Transfer Agent by electronic mail an acknowledgment, in the form attached hereto as Exhibit 2, confirming receipt of such Conversion Notice and representing as to whether such shares of Common Stock may then be resold pursuant to Rule 144 or an effective and available registration statement, which acknowledgment shall constitute an instruction to the Transfer Agent to process such Conversion Notice in accordance with the terms herein. On or before the second (2nd)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 w:cs="Times New Roman" w:eastAsia="Times New Roman" w:hAnsi="Times New Roman"/>
          <w:sz w:val="18"/>
          <w:szCs w:val="18"/>
          <w:b w:val="1"/>
          <w:bCs w:val="1"/>
          <w:color w:val="auto"/>
        </w:rPr>
        <w:t>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the Company shall (1) provided that the Transfer Agent is participating in the DTC Fast Automated Securities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and the shares of Common Stock to be issued are then covered by an effective, usable resale registration statement or may otherwise be resold under Rule 144 and, in each case, the Holder has confirmed that it proposes to promptly sell such shares of Common Stock,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the DTC Fast Automated Securities Transfer Program or the shares of Common Stock that are to be issued are not covered by an effective, usable resale registration statement and may not be resold under Rule 144, or the Holder has not confirmed that it proposes to promptly sell such shares of Common Stock, upon the request of the Holder, issue and deliver (via reputable overnight courier) to the address specified in the Conversion Notice, a certificate, registered in the name of the Holder or its designee, for the number of shares of Common Stock to which the Holder shall be entitled pursuant to such conversion containing a restrictive legend under the Securities Act. If this Note is physically surrendered for conversion pursuant to Section 3(c)(iii) and the outstanding Principal of this Note is greater than the Principal portion of the Conversion Amount being converted, then the Company shall as soon as practicable and in no event later than two (2) Business Days after receipt of this Note and at its own expense, issue and deliver to the Holder (or its designee) a new Note (in accordance with Section 16(d)) representing the outstanding Principal not converted. The Person or Persons entitled to receive the shares of Common Stock issuable upon a conversion of this Note shall be treated for all purposes as the record holder or holders of such shares of Common Stock on the Conversion Date. Notwithstanding anything to the contrary contained in this Note or the registration rights agreement, after the effective date of the Registration Statement (as defined in the applicable registration rights agreement), the Company shall cause the Transfer Agent to deliver unlegended shares of Common Stock to the Holder (or its designee) in connection with any sale of Registrable Securities (as defined in the registration rights agreement) that the Holder has confirmed that it proposes to promptly sell, and delivered a copy of the prospectus included as part of the particular Registration Statement to the extent applicable, and for which the Holder has not yet settled.</w:t>
      </w:r>
    </w:p>
    <w:p>
      <w:pPr>
        <w:spacing w:after="0" w:line="203"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09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The outstanding Conversion Amount shall be mandatorily converted into shares of Common Stock immediately prior to the consummation of a Change of Control that is not a Strategic Change of Control. The provisions of Section 3(c) (iv) shall apply mutatis mutandis in order to effect such conversion.</w:t>
      </w:r>
    </w:p>
    <w:p>
      <w:pPr>
        <w:spacing w:after="0" w:line="175"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14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The Company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b w:val="1"/>
          <w:bCs w:val="1"/>
          <w:color w:val="auto"/>
        </w:rPr>
        <w:t>Registered Notes</w:t>
      </w:r>
      <w:r>
        <w:rPr>
          <w:rFonts w:ascii="Times New Roman" w:cs="Times New Roman" w:eastAsia="Times New Roman" w:hAnsi="Times New Roman"/>
          <w:sz w:val="18"/>
          <w:szCs w:val="18"/>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16,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spacing w:after="0" w:line="200" w:lineRule="exact"/>
        <w:rPr>
          <w:sz w:val="20"/>
          <w:szCs w:val="20"/>
          <w:color w:val="auto"/>
        </w:rPr>
      </w:pP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690" w:gutter="0" w:footer="0" w:header="0"/>
        </w:sectPr>
      </w:pPr>
    </w:p>
    <w:bookmarkStart w:id="11" w:name="page12"/>
    <w:bookmarkEnd w:id="11"/>
    <w:p>
      <w:pPr>
        <w:jc w:val="both"/>
        <w:ind w:left="644" w:firstLine="652"/>
        <w:spacing w:after="0" w:line="255" w:lineRule="auto"/>
        <w:tabs>
          <w:tab w:leader="none" w:pos="154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Conversion; Disputes</w:t>
      </w:r>
      <w:r>
        <w:rPr>
          <w:rFonts w:ascii="Times New Roman" w:cs="Times New Roman" w:eastAsia="Times New Roman" w:hAnsi="Times New Roman"/>
          <w:sz w:val="18"/>
          <w:szCs w:val="18"/>
          <w:color w:val="auto"/>
        </w:rPr>
        <w:t>. In the event that the Company receives a Conversion Notice from more than one holder of Notes for the same Conversion Date and the Company can convert some, but not all, of such portions of the Notes submitted for conversion, the Company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w:t>
      </w:r>
    </w:p>
    <w:p>
      <w:pPr>
        <w:spacing w:after="0" w:line="18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UPON EVENT OF DEFAULT.</w:t>
      </w:r>
    </w:p>
    <w:p>
      <w:pPr>
        <w:spacing w:after="0" w:line="225" w:lineRule="exact"/>
        <w:rPr>
          <w:rFonts w:ascii="Times New Roman" w:cs="Times New Roman" w:eastAsia="Times New Roman" w:hAnsi="Times New Roman"/>
          <w:sz w:val="18"/>
          <w:szCs w:val="18"/>
          <w:b w:val="1"/>
          <w:bCs w:val="1"/>
          <w:color w:val="auto"/>
        </w:rPr>
      </w:pPr>
    </w:p>
    <w:p>
      <w:pPr>
        <w:ind w:left="4" w:firstLine="644"/>
        <w:spacing w:after="0" w:line="286" w:lineRule="auto"/>
        <w:tabs>
          <w:tab w:leader="none" w:pos="91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of Default. Each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and each of the events in clause (ix) shall constitute a “</w:t>
      </w:r>
      <w:r>
        <w:rPr>
          <w:rFonts w:ascii="Times New Roman" w:cs="Times New Roman" w:eastAsia="Times New Roman" w:hAnsi="Times New Roman"/>
          <w:sz w:val="18"/>
          <w:szCs w:val="18"/>
          <w:b w:val="1"/>
          <w:bCs w:val="1"/>
          <w:color w:val="auto"/>
        </w:rPr>
        <w:t>Bankruptcy Event of Default</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51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applicable Registration Statement to be filed with the SEC on or prior to the Filing Date or the failure of the applicable Registration Statement to be declared effective by the SEC on or prior to the Effectiveness Date (as defined in the registration rights agreement);</w:t>
      </w:r>
    </w:p>
    <w:p>
      <w:pPr>
        <w:spacing w:after="0" w:line="176" w:lineRule="exact"/>
        <w:rPr>
          <w:sz w:val="20"/>
          <w:szCs w:val="20"/>
          <w:color w:val="auto"/>
        </w:rPr>
      </w:pPr>
    </w:p>
    <w:p>
      <w:pPr>
        <w:jc w:val="both"/>
        <w:ind w:left="644" w:firstLine="652"/>
        <w:spacing w:after="0" w:line="255" w:lineRule="auto"/>
        <w:tabs>
          <w:tab w:leader="none" w:pos="15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and, such lapse or unavailability continues for a period of 20 consecutive Trading Days or for more than an aggregate of 40 Trading Days in any 365-day period; provided, however, that the foregoing shall not apply in the case of a suspension permitted pursuant to Section 3(j) of the registration rights agreement;</w:t>
      </w:r>
    </w:p>
    <w:p>
      <w:pPr>
        <w:spacing w:after="0" w:line="188" w:lineRule="exact"/>
        <w:rPr>
          <w:rFonts w:ascii="Times New Roman" w:cs="Times New Roman" w:eastAsia="Times New Roman" w:hAnsi="Times New Roman"/>
          <w:sz w:val="18"/>
          <w:szCs w:val="18"/>
          <w:color w:val="auto"/>
        </w:rPr>
      </w:pPr>
    </w:p>
    <w:p>
      <w:pPr>
        <w:ind w:left="1604" w:hanging="308"/>
        <w:spacing w:after="0"/>
        <w:tabs>
          <w:tab w:leader="none" w:pos="16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6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cure a Conversion Failure by delivery of the required number of shares of Common Stock within five (5) Trading Days after the applicable Conversion Date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5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Authorized Share Allocation (as defined in Section 8 below) is less than the number of shares of Common Stock that the Holder would be entitled to receive upon a conversion of the full Conversion Amount of this Note for more than ten (10) consecutive days;</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5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or any Subsidiary’s failure to pay to the Holder any amount of Principal, Interest, Late Charges or other amounts when and as due under this Note (including, without limitation, the Company’s or any Subsidiary’s failure to pay any redemption payments or amounts hereunder);</w:t>
      </w:r>
    </w:p>
    <w:p>
      <w:pPr>
        <w:spacing w:after="0" w:line="175" w:lineRule="exact"/>
        <w:rPr>
          <w:rFonts w:ascii="Times New Roman" w:cs="Times New Roman" w:eastAsia="Times New Roman" w:hAnsi="Times New Roman"/>
          <w:sz w:val="18"/>
          <w:szCs w:val="18"/>
          <w:color w:val="auto"/>
        </w:rPr>
      </w:pPr>
    </w:p>
    <w:p>
      <w:pPr>
        <w:ind w:left="1644" w:hanging="348"/>
        <w:spacing w:after="0"/>
        <w:tabs>
          <w:tab w:leader="none" w:pos="1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7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(after lapse of any applicable cure periods) under, redemption of or acceleration prior to maturity of at least an aggregate of $500,000 of indebtedness of the Company or any of its Subsidiaries, but only if such failure remains uncured for the applicable grace period;</w:t>
      </w:r>
    </w:p>
    <w:p>
      <w:pPr>
        <w:spacing w:after="0" w:line="3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 w:name="page13"/>
    <w:bookmarkEnd w:id="12"/>
    <w:p>
      <w:pPr>
        <w:jc w:val="both"/>
        <w:ind w:left="180" w:firstLine="652"/>
        <w:spacing w:after="0" w:line="253" w:lineRule="auto"/>
        <w:tabs>
          <w:tab w:leader="none" w:pos="11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commences any case, proceeding or other action (1) under the Bankruptcy Code or similar debtor relief laws of the United States or other applicable jurisdiction seeking to have an order for relief entered with respect to it, or seeking to adjudicate it as bankrupt or insolvent, or seeking reorganization, arrangement, adjustment, winding up, liquidation, dissolution, composition or other relief with respect to it or its debts, or (2) seeking appointment of a receiver, trustee, custodian, conservator, judicial manager or other similar official for it or for all or any substantial part of its assets, or the Company makes a general assignment for the benefit of its creditors; (B) there is, commenced against the Company, any case, proceeding or other action of a nature referred to in clause (A) above that results in the entry of an order for relief or any such adjudication or appointment or remains undismissed, undischarged or unbonded for a period of 60 days; (C) there is, commenced against the Company,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(D) the Company takes any action in furtherance of, or indicating its consent to, approval of, or acquiescence in, any of the acts set forth in clause (A), (B), or (C) above; or (E) the Company is, or is be unable to, or admits in writing its inability to, pay its debts as they become due;</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0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entered against the Company (i) one or more final judgments or orders for the payment of money involving in the aggregate a liability (not paid or fully covered by insurance as to which the relevant insurance company has acknowledged coverage) of $1,000,000 or more, or (ii) one or more non-monetary final judgments that have, or could reasonably be expected to have, individually or in the aggregate, a material adverse effect and, in either case, enforcement proceedings are commenced by any creditor upon such judgment or order, or all such judgments or decrees shall not have been vacated, discharged, stayed or bonded pending appeal within 30 days from the entry thereof;</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5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another clause of this Section 4(a),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10 days;</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2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any Transaction Document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but only if such provision remains invalid or unenforceable for a period of at least 10 days.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an Event of Default; Redemption Right</w:t>
      </w:r>
      <w:r>
        <w:rPr>
          <w:rFonts w:ascii="Times New Roman" w:cs="Times New Roman" w:eastAsia="Times New Roman" w:hAnsi="Times New Roman"/>
          <w:sz w:val="18"/>
          <w:szCs w:val="18"/>
          <w:color w:val="auto"/>
        </w:rPr>
        <w:t>. Upon obtaining knowledge of the occurrence of an Event of Default with respect to this Note, the Company shall within one (1) Business Day deliver written notice thereof via electronic mail and overnight courier (with next day delivery specified)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to the Holder. At any time after the earlier of the Holder’s receipt of an Event of Default Notice and the Holder becoming aware of an Event of Default, the Holder may require the Company to redeem all or any portion of this Note by delivering written notice thereof (the “</w:t>
      </w:r>
      <w:r>
        <w:rPr>
          <w:rFonts w:ascii="Times New Roman" w:cs="Times New Roman" w:eastAsia="Times New Roman" w:hAnsi="Times New Roman"/>
          <w:sz w:val="18"/>
          <w:szCs w:val="18"/>
          <w:b w:val="1"/>
          <w:bCs w:val="1"/>
          <w:color w:val="auto"/>
        </w:rPr>
        <w:t>Event of Default Redemption Notice</w:t>
      </w:r>
      <w:r>
        <w:rPr>
          <w:rFonts w:ascii="Times New Roman" w:cs="Times New Roman" w:eastAsia="Times New Roman" w:hAnsi="Times New Roman"/>
          <w:sz w:val="18"/>
          <w:szCs w:val="18"/>
          <w:color w:val="auto"/>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sum of the Conversion Amount to be redeemed and (ii) the product of (X) the Conversion Rate with respect to the Conversion Amount in effect at such time as the Holder delivers an Event of Default Redemption Notice multiplied by (Y)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 w:cs="Times New Roman" w:eastAsia="Times New Roman" w:hAnsi="Times New Roman"/>
          <w:sz w:val="18"/>
          <w:szCs w:val="18"/>
          <w:b w:val="1"/>
          <w:bCs w:val="1"/>
          <w:color w:val="auto"/>
        </w:rPr>
        <w:t>Event of Default Redemption Price</w:t>
      </w:r>
      <w:r>
        <w:rPr>
          <w:rFonts w:ascii="Times New Roman" w:cs="Times New Roman" w:eastAsia="Times New Roman" w:hAnsi="Times New Roman"/>
          <w:sz w:val="18"/>
          <w:szCs w:val="18"/>
          <w:color w:val="auto"/>
        </w:rPr>
        <w:t>”). Redemptions required by this Section 4(b) shall be made in accordance with the provisions of Section 9.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4(b),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4" w:firstLine="644"/>
        <w:spacing w:after="0" w:line="254" w:lineRule="auto"/>
        <w:tabs>
          <w:tab w:leader="none" w:pos="8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 upon Bankruptcy Event of Default</w:t>
      </w:r>
      <w:r>
        <w:rPr>
          <w:rFonts w:ascii="Times New Roman" w:cs="Times New Roman" w:eastAsia="Times New Roman" w:hAnsi="Times New Roman"/>
          <w:sz w:val="18"/>
          <w:szCs w:val="18"/>
          <w:color w:val="auto"/>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all outstanding Principal, accrued and unpaid Interest, and accrued and unpaid Late Charges on such Principal and Interest, in addition to any and all other amounts due hereunder, without the requirement for any notice or demand or other action by the Holder or any other Person,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w:t>
      </w:r>
    </w:p>
    <w:p>
      <w:pPr>
        <w:spacing w:after="0" w:line="191" w:lineRule="exact"/>
        <w:rPr>
          <w:rFonts w:ascii="Times New Roman" w:cs="Times New Roman" w:eastAsia="Times New Roman" w:hAnsi="Times New Roman"/>
          <w:sz w:val="18"/>
          <w:szCs w:val="18"/>
          <w:color w:val="auto"/>
        </w:rPr>
      </w:pPr>
    </w:p>
    <w:p>
      <w:pPr>
        <w:ind w:left="4" w:firstLine="644"/>
        <w:spacing w:after="0" w:line="282" w:lineRule="auto"/>
        <w:tabs>
          <w:tab w:leader="none" w:pos="9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Until such time as the Senior Indebtedness has been paid in full, in cash, all of the Holder’s rights under this Section 4 are and shall remain subject to the terms and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w:t>
      </w:r>
    </w:p>
    <w:p>
      <w:pPr>
        <w:spacing w:after="0" w:line="15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UPON ISSUANCE OF PURCHASE RIGHTS AND OTHER CORPORATE EVENTS.</w:t>
      </w:r>
    </w:p>
    <w:p>
      <w:pPr>
        <w:spacing w:after="0" w:line="229" w:lineRule="exact"/>
        <w:rPr>
          <w:rFonts w:ascii="Times New Roman" w:cs="Times New Roman" w:eastAsia="Times New Roman" w:hAnsi="Times New Roman"/>
          <w:sz w:val="18"/>
          <w:szCs w:val="18"/>
          <w:b w:val="1"/>
          <w:bCs w:val="1"/>
          <w:color w:val="auto"/>
        </w:rPr>
      </w:pPr>
    </w:p>
    <w:p>
      <w:pPr>
        <w:jc w:val="both"/>
        <w:ind w:left="4" w:firstLine="644"/>
        <w:spacing w:after="0" w:line="254" w:lineRule="auto"/>
        <w:tabs>
          <w:tab w:leader="none" w:pos="8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6 and 16 below, if at any time (other than in connection with a Restructuring Transaction) the Company grants, issues or sells any Options, Convertible Securities or rights to purchase stock, warrants, securities or other property pro rata to all of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88"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Strategic Change of Control; Other Corporate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51" w:lineRule="auto"/>
        <w:tabs>
          <w:tab w:leader="none" w:pos="152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sooner than twenty (20) Trading Days nor later than ten (10) Trading Days prior to the consummation of a Strategic Change of Control, but not prior to the public announcement of such Change of Control, the Company shall deliver written notice to the Holder. The Company shall not enter into or be party to a Strategic Change of Control unless (i) the Successor Entity assumes in writing all of the obligations of the Company under this Note and the other Transaction Documents in accordance with the provisions of this Section 5(b)(i) pursuant to written agreements in form and substance satisfactory to the Holder and approved by the Holder prior to such Strategic Change of Control,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(assuming that the Successor Entity (or its Parent Entity) is a publicly traded corporation whose common stock is quoted on or listed for trading on an Eligible Market) and having similar ranking and security to the Notes, and satisfactory to the Holder. Upon the occurrence of any Strategic Change of Control, the Successor Entity shall succeed to, and be substituted for (so that from and after the date of such Strategic Change of Control,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Strategic Change of Control, the Successor Entity shall deliver to the Holder confirmation that there shall be issued upon conversion or redemption of this Note at any time after the consummation of such Strategic Change of Control (assuming that the Successor Entity (or its Parent Entity) is a publicly traded corporation whose common stock is quoted on or listed for trading on an Eligible Market), in lieu of the shares of Common Stock (or other securities, cash, assets or other property (except such items still issuable under Sections 5 and 16, which shall continue to be receivable thereafter)) issuable upon the conversion or redemption of the Notes prior to such Strategic Change of Control, such shares of the publicly traded common stock (or their equivalent) of the Successor Entity (including its Parent Entity) which the Holder would have been entitled to receive upon the happening of such Strategic Change of Control had this Note been converted immediately prior to such Strategic Change of Control (without regard to any limitations on the conversion of this Note), as adjusted in accordance with the provisions of this Note. Notwithstanding the foregoing, the Holder may elect, at their sole option, by delivery of written notice to the Company to waive this Section 5(b)(i) to permit the Strategic Change of Control without the assumption of this Note. The provisions of this Section 5 shall apply similarly and equally to successive Strategic Changes of Control and shall be applied without regard to any limitations on the conversion of this Note.</w:t>
      </w:r>
    </w:p>
    <w:p>
      <w:pPr>
        <w:spacing w:after="0" w:line="200" w:lineRule="exact"/>
        <w:rPr>
          <w:sz w:val="20"/>
          <w:szCs w:val="20"/>
          <w:color w:val="auto"/>
        </w:rPr>
      </w:pPr>
    </w:p>
    <w:p>
      <w:pPr>
        <w:spacing w:after="0" w:line="21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 w:name="page15"/>
    <w:bookmarkEnd w:id="14"/>
    <w:p>
      <w:pPr>
        <w:jc w:val="both"/>
        <w:ind w:left="660" w:firstLine="644"/>
        <w:spacing w:after="0" w:line="253" w:lineRule="auto"/>
        <w:tabs>
          <w:tab w:leader="none" w:pos="156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 in substitution for any other rights hereunder, prior to the consummation of any Strategic Change of Control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5 shall apply similarly and equally to successive Corporate Events and shall be applied without regard to any limitations on the conversion or redemption of this Note.</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UPON ISSUANCE OF OTHER SECURITIES.</w:t>
      </w:r>
    </w:p>
    <w:p>
      <w:pPr>
        <w:spacing w:after="0" w:line="229" w:lineRule="exact"/>
        <w:rPr>
          <w:rFonts w:ascii="Times New Roman" w:cs="Times New Roman" w:eastAsia="Times New Roman" w:hAnsi="Times New Roman"/>
          <w:sz w:val="18"/>
          <w:szCs w:val="18"/>
          <w:b w:val="1"/>
          <w:bCs w:val="1"/>
          <w:color w:val="auto"/>
        </w:rPr>
      </w:pPr>
    </w:p>
    <w:p>
      <w:pPr>
        <w:jc w:val="both"/>
        <w:ind w:left="660" w:firstLine="644"/>
        <w:spacing w:after="0" w:line="253" w:lineRule="auto"/>
        <w:tabs>
          <w:tab w:leader="none" w:pos="155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Subdivision or Combination of Common Stock</w:t>
      </w:r>
      <w:r>
        <w:rPr>
          <w:rFonts w:ascii="Times New Roman" w:cs="Times New Roman" w:eastAsia="Times New Roman" w:hAnsi="Times New Roman"/>
          <w:sz w:val="18"/>
          <w:szCs w:val="18"/>
          <w:color w:val="auto"/>
        </w:rPr>
        <w:t>. Without limiting any provision of Section 4(c), if the Company at any time on or after the date hereof subdivides (by any stock split, stock dividend, stock combination, recapitalization or other similar transaction (in each case, other than in connection with a Restructuring Transaction)) one or more classes of its outstanding shares of Common Stock into a greater number of shares, the Conversion Price in effect immediately prior to such subdivision will be proportionately reduced. Without limiting any provision of Section 5 or Section 16, if the Company at any time on or after the date hereof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6(a) shall become effective immediately after the effective date of such subdivision or combination. If any event requiring an adjustment under this Section 6(a) occurs during the period that a Conversion Price is calculated hereunder, then the calculation of such Conversion Price shall be adjusted appropriately to reflect such event.</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6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The Company may at any time during the term of this Note, with the prior written consent of the Holder, reduce the then current Conversion Price of each of the Notes to any amount and for any period of time deemed appropriate by the board of directors of the Company, with the prior written consent of the Administrative Agent, in its sole discretion.</w:t>
      </w:r>
    </w:p>
    <w:p>
      <w:pPr>
        <w:spacing w:after="0" w:line="17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NONCIRCUMVENTION.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b w:val="1"/>
          <w:bCs w:val="1"/>
          <w:color w:val="auto"/>
        </w:rPr>
        <w:t>8. RESERVATION OF 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 long as any Notes remain outstanding, the Company shall at all times reserve at least 100% of the maximum number of shares of Common Stock as shall from time to time be necessary to effect the conversion, of all of the Notes then outstanding (without regard to any limitations on conversions and assuming such Notes remain outstanding until the Maturity Date) (assuming for purposes of this Section 8 (i) that (x) interest on the Notes shall accrue through the Maturity Date and (y) any such conversion shall not take into account any limitations on the conversion of the Notes set forth in the Notes)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The Required Reserve Amount shall be allocated pro rata among the holders of the Notes based on the original principal amount of the Notes held by each holder on the Closing Date or increase in the number of reserved shares, as the case may be (the “</w:t>
      </w:r>
      <w:r>
        <w:rPr>
          <w:rFonts w:ascii="Times New Roman" w:cs="Times New Roman" w:eastAsia="Times New Roman" w:hAnsi="Times New Roman"/>
          <w:sz w:val="18"/>
          <w:szCs w:val="18"/>
          <w:b w:val="1"/>
          <w:bCs w:val="1"/>
          <w:color w:val="auto"/>
        </w:rPr>
        <w:t>Authorized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Allocation</w:t>
      </w:r>
      <w:r>
        <w:rPr>
          <w:rFonts w:ascii="Times New Roman" w:cs="Times New Roman" w:eastAsia="Times New Roman" w:hAnsi="Times New Roman"/>
          <w:sz w:val="18"/>
          <w:szCs w:val="18"/>
          <w:color w:val="auto"/>
        </w:rPr>
        <w:t>”). In the event that a holder shall sell or otherwise transfer any of such holder’s Notes, each transferee shall be allocated a pro rata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 EVENT OF DEFAULT REDEMPTION.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Section 11, if the Holder delivers an Event of Default Redemption Notice, the Company shall deliver the Event of Default Redemption Price to the Holder in cash within five (5) Business Days after the Company’s receipt of the Holder’s Event of Default Redemption Notice. If the Company has delivered a notice to the Holder, and solely to the extent that such payment would be expressly permitted pursuant to Section 11, the Company shall pay all other amounts due and payable hereunder and under the other Transaction Documents (the “</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Notwithstanding anything herein to the contrary, in connection with any redemption hereunder at a time the Holder is entitled to receive a cash payment under any of the other Transaction Documents, at the option of the Holder delivered in writing to the Company, the applicable Event of Default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16(d)) representing the outstanding Principal which has not been redeemed. In the event that the Company does not pay the Event of Default Redemption Price to the Holder within the time period required, at any time thereafter and until the Company pays such unpaid Event of Default Redemption Price in full, the Holder shall have the option, in lieu of redemption, to require the Company to promptly return to the Holder all or any portion of this Note representing the Conversion Amount that was submitted for redemption and for which the Event of Default Redemption Price (together with any Late Charges thereon) has not been paid. Upon the Company’s receipt of such notice, the Event of Default Redemption Notice shall be null and void with respect to such Conversion Amount. The Holder’s delivery of an Event of Default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 VOTING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 shall have no voting rights as the holder of this Note, except as required by law (including, without limitation, the Delaware General Corporation Law) and as expressly provided in this Note.</w:t>
      </w:r>
    </w:p>
    <w:p>
      <w:pPr>
        <w:spacing w:after="0" w:line="158" w:lineRule="exact"/>
        <w:rPr>
          <w:sz w:val="20"/>
          <w:szCs w:val="20"/>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SUBORDINATION.</w:t>
      </w:r>
    </w:p>
    <w:p>
      <w:pPr>
        <w:spacing w:after="0" w:line="229" w:lineRule="exact"/>
        <w:rPr>
          <w:rFonts w:ascii="Times New Roman" w:cs="Times New Roman" w:eastAsia="Times New Roman" w:hAnsi="Times New Roman"/>
          <w:sz w:val="18"/>
          <w:szCs w:val="18"/>
          <w:b w:val="1"/>
          <w:bCs w:val="1"/>
          <w:color w:val="auto"/>
        </w:rPr>
      </w:pPr>
    </w:p>
    <w:p>
      <w:pPr>
        <w:jc w:val="both"/>
        <w:ind w:left="660" w:firstLine="644"/>
        <w:spacing w:after="0" w:line="261" w:lineRule="auto"/>
        <w:tabs>
          <w:tab w:leader="none" w:pos="15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Note to the contrary, the Company and the Holder (by its acceptance hereof) acknowledge and agree that this Note and the rights of the Holder hereunder are subject to, and limited by, the terms and conditions of (1) the Senior Indebtedness, and (2) this Section 11. If requested by any existing or new Lender, the Holder will enter into a subordination agreement with such Lender on terms similar to those contained in this Section 11.</w:t>
      </w:r>
    </w:p>
    <w:p>
      <w:pPr>
        <w:spacing w:after="0" w:line="177" w:lineRule="exact"/>
        <w:rPr>
          <w:rFonts w:ascii="Times New Roman" w:cs="Times New Roman" w:eastAsia="Times New Roman" w:hAnsi="Times New Roman"/>
          <w:sz w:val="18"/>
          <w:szCs w:val="18"/>
          <w:color w:val="auto"/>
        </w:rPr>
      </w:pPr>
    </w:p>
    <w:p>
      <w:pPr>
        <w:jc w:val="both"/>
        <w:ind w:left="1300" w:right="20" w:firstLine="652"/>
        <w:spacing w:after="0" w:line="261" w:lineRule="auto"/>
        <w:tabs>
          <w:tab w:leader="none" w:pos="217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Note Subordinated to Existing Debt</w:t>
      </w:r>
      <w:r>
        <w:rPr>
          <w:rFonts w:ascii="Times New Roman" w:cs="Times New Roman" w:eastAsia="Times New Roman" w:hAnsi="Times New Roman"/>
          <w:sz w:val="18"/>
          <w:szCs w:val="18"/>
          <w:color w:val="auto"/>
        </w:rPr>
        <w:t>. The principal of and interest on this Note and all other amounts payable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hereto are expressly subordinated to the prior payment in full, in cash of the Senior Indebtedness and the termination of all commitments to lend under the Loan Documents; provided, that notwithstanding the foregoing, the Holder will be able to receive and retain Common Stock upon a conversion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left="180" w:firstLine="652"/>
        <w:spacing w:after="0" w:line="255" w:lineRule="auto"/>
        <w:tabs>
          <w:tab w:leader="none" w:pos="10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Payment on Note in Certain Circumstances</w:t>
      </w:r>
      <w:r>
        <w:rPr>
          <w:rFonts w:ascii="Times New Roman" w:cs="Times New Roman" w:eastAsia="Times New Roman" w:hAnsi="Times New Roman"/>
          <w:sz w:val="18"/>
          <w:szCs w:val="18"/>
          <w:color w:val="auto"/>
        </w:rPr>
        <w:t>. Until the Senior Indebtedness has been paid in full, in cash, no payment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principal of, or interest on, this Note, or any other amounts payable with respect hereto, whether by acceleration, redemption, exchange, prepayment or otherwise (and whether in the form of cash, securities or otherwise), shall be made, either directly or indirectly, by the Company, and Holder shall not be entitled to receive such payment, other than the receipt of Common Stock upon a conversion in accordance with Section 3. Prior to the payment in full, in cash, of the Senior Indebtedness, the Holder shall not enforce or seek to enforce any rights and remedies in respect of this Note (other than conversion to Common Stock in accordance with Section 3), including, without limitation, by accelerating the amounts due hereunder, bringing any judicial or nonjudicial action to recover payments on this Note, seeking or requesting payment of this Note, or exercising or seeking to exercise any right of redemption hereunder.</w:t>
      </w:r>
    </w:p>
    <w:p>
      <w:pPr>
        <w:spacing w:after="0" w:line="184"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Insolvency, Bankruptcy, Liquidation and Reorganization</w:t>
      </w:r>
      <w:r>
        <w:rPr>
          <w:rFonts w:ascii="Times New Roman" w:cs="Times New Roman" w:eastAsia="Times New Roman" w:hAnsi="Times New Roman"/>
          <w:sz w:val="18"/>
          <w:szCs w:val="18"/>
          <w:color w:val="auto"/>
        </w:rPr>
        <w:t>. In the event of any voluntary or involuntary insolvency,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bankruptcy, liquidation, reorganization or other similar proceeding involving the Company (each, an “</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all Senior Indebtedness shall first be paid in full, in cash before any payment or any distribution of any kind or character is made by the Company in respect of this Note.</w:t>
      </w:r>
    </w:p>
    <w:p>
      <w:pPr>
        <w:spacing w:after="0" w:line="181"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181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irrevocably authorizes and empowers (but without imposing any obligation on) the Administrative Agent and any trustee in bankruptcy, receiver or assignee for the benefit of creditors of the Company, in any Insolvency Proceeding, on the Holder’s behalf, to (1) file any claim, proof of claim or such other instrument of similar character not otherwise filed and (2) vote such Holder’s interest in any proceeding under applicable insolvency laws as such vote relates to any Subordinated Debt. In the event that the Administrative Agent votes any claim in accordance with the authority hereby, the Holder shall not be entitled to change, withdraw or challenge any such vote. This authorization and appointment is irrevocable and coupled with an interest. The Holder recognizes that, to the extent permitted by law, this authorization and appointment shall continue in full force and effect, notwithstanding any time limitations set forth in the operating agreement or organizational documents of the Holder or applicable law.</w:t>
      </w:r>
    </w:p>
    <w:p>
      <w:pPr>
        <w:spacing w:after="0" w:line="188"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8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not assert, without Administrative Agent’s prior written consent, any claim, motion, objection or argument in connection with any liquidation or insolvency proceeding, except for necessary responsive or defensive pleadings required to protect Holder’s interest in this Note. Holder agrees that it will consent to, and not object to or oppose any use of cash collateral consented to by Administrative Agent or any financing provided by Administrative Agent or any Lender to the Company or any of its subsidiaries or affiliates (or any financing provided by any other Person consented to by Administrative Agent) (collectively, “</w:t>
      </w:r>
      <w:r>
        <w:rPr>
          <w:rFonts w:ascii="Times New Roman" w:cs="Times New Roman" w:eastAsia="Times New Roman" w:hAnsi="Times New Roman"/>
          <w:sz w:val="18"/>
          <w:szCs w:val="18"/>
          <w:b w:val="1"/>
          <w:bCs w:val="1"/>
          <w:color w:val="auto"/>
        </w:rPr>
        <w:t>DIP Financing</w:t>
      </w:r>
      <w:r>
        <w:rPr>
          <w:rFonts w:ascii="Times New Roman" w:cs="Times New Roman" w:eastAsia="Times New Roman" w:hAnsi="Times New Roman"/>
          <w:sz w:val="18"/>
          <w:szCs w:val="18"/>
          <w:color w:val="auto"/>
        </w:rPr>
        <w:t>”) on such terms and conditions as Administrative Agent may determine in its sole discretion. Without the prior written consent of Administrative Agent, Holder agrees that it will not, and will not permit, any of its affiliates to, (i) directly or indirectly provide, participate in or otherwise support, any financing in an Insolvency Proceeding to any Obligor or (ii) seek or accept any lien on or security interest in any Collateral (or any assets which would be Collateral but for the operation of the Bankruptcy Code) that would be senior to or pari passu with any liens or security interests securing the Senior Indebtedness or any DIP Financing. Holder agrees that it will not join or seek to join any creditors’ committee or other official committee in any Insolvency Proceeding.</w:t>
      </w:r>
    </w:p>
    <w:p>
      <w:pPr>
        <w:spacing w:after="0" w:line="189"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agrees that it will consent to, and not object to or oppose, a sale or other disposition (or related sale or disposition procedures) of any property securing any of the Senior Indebtedness in any Insolvency Proceeding, if Administrative Agent has consented to such sale or other disposition (or sale or disposition procedures).</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agrees that it will consent to, vote in favor of, and not object to or oppose, any plan of reorganization or liquidation, or any other scheme, arrangement or proposal in any Insolvency Proceeding which is supported or consented to by the Administrative Agent.</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7" w:name="page18"/>
    <w:bookmarkEnd w:id="17"/>
    <w:p>
      <w:pPr>
        <w:jc w:val="both"/>
        <w:ind w:left="840" w:firstLine="640"/>
        <w:spacing w:after="0" w:line="256" w:lineRule="auto"/>
        <w:tabs>
          <w:tab w:leader="none" w:pos="180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payment in full of the Senior Indebtedness, should any payment upon the Senior Indebtedness be rescinded thereafter as a voidable preference, or otherwise by operation of law, upon the insolvency, bankruptcy or reorganization of the Company, all of the rights of the holders of the Senior Indebtedness previously extinguished by full payment of the Senior Indebtedness shall be automatically reinstated, and all rights and benefits hereunder shall be retroactively implemented in favor of the holders of the Senior Indebtedness, all as if the payment had never been made to or received by the holders of the Senior Indebtedness.</w:t>
      </w:r>
    </w:p>
    <w:p>
      <w:pPr>
        <w:spacing w:after="0" w:line="18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of Certain Payments</w:t>
      </w:r>
      <w:r>
        <w:rPr>
          <w:rFonts w:ascii="Times New Roman" w:cs="Times New Roman" w:eastAsia="Times New Roman" w:hAnsi="Times New Roman"/>
          <w:sz w:val="18"/>
          <w:szCs w:val="18"/>
          <w:color w:val="auto"/>
        </w:rPr>
        <w:t>. In the event that the Holder of this Note receives any payment in respect of this Note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violation of these subordination provisions, such payment shall be held by the Holder in trust for the benefit of, and shall, forthwith upon receipt thereof, be paid over and delivered to the Administrative Agent to the extent necessary to pay the Senior Indebtedness in full in cash.</w:t>
      </w:r>
    </w:p>
    <w:p>
      <w:pPr>
        <w:spacing w:after="0" w:line="179" w:lineRule="exact"/>
        <w:rPr>
          <w:rFonts w:ascii="Times New Roman" w:cs="Times New Roman" w:eastAsia="Times New Roman" w:hAnsi="Times New Roman"/>
          <w:sz w:val="18"/>
          <w:szCs w:val="18"/>
          <w:color w:val="auto"/>
        </w:rPr>
      </w:pPr>
    </w:p>
    <w:p>
      <w:pPr>
        <w:ind w:left="180" w:firstLine="652"/>
        <w:spacing w:after="0" w:line="284" w:lineRule="auto"/>
        <w:tabs>
          <w:tab w:leader="none" w:pos="10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in Kind</w:t>
      </w:r>
      <w:r>
        <w:rPr>
          <w:rFonts w:ascii="Times New Roman" w:cs="Times New Roman" w:eastAsia="Times New Roman" w:hAnsi="Times New Roman"/>
          <w:sz w:val="18"/>
          <w:szCs w:val="18"/>
          <w:color w:val="auto"/>
        </w:rPr>
        <w:t>. Notwithstanding anything to the contrary in the foregoing, the Company shall not be prohibited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and the Holder shall not be prohibited from receiving, any payments in kind to the extent set forth herein.</w:t>
      </w:r>
    </w:p>
    <w:p>
      <w:pPr>
        <w:spacing w:after="0" w:line="158"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and Elective Conversion of Note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840" w:firstLine="640"/>
        <w:spacing w:after="0" w:line="255" w:lineRule="auto"/>
        <w:tabs>
          <w:tab w:leader="none" w:pos="1787"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Restructuring Transaction consented to by the Administrative Agent (and regardless of whether such Restructuring Transaction would otherwise result in a mandatory conversion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but for this Section 11(a)(vi)), the Holder shall be deemed to have consented to such Restructuring Transaction, and all of the outstanding obligations hereunder shall be mandatorily converted into Common Stock as if such conversion were a mandatory conversion of the Note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Any such conversion shall occur simultaneously with (but immediately prior to) the closing of the applicable Restructuring Transaction. The Holder and the Company shall promptly execute and deliver to the Administrative Agent all documents necessary or reasonably requested by the Administrative Agent to effectuate the foregoing conversion.</w:t>
      </w:r>
    </w:p>
    <w:p>
      <w:pPr>
        <w:spacing w:after="0" w:line="188" w:lineRule="exact"/>
        <w:rPr>
          <w:rFonts w:ascii="Times New Roman" w:cs="Times New Roman" w:eastAsia="Times New Roman" w:hAnsi="Times New Roman"/>
          <w:sz w:val="18"/>
          <w:szCs w:val="18"/>
          <w:color w:val="auto"/>
        </w:rPr>
      </w:pPr>
    </w:p>
    <w:p>
      <w:pPr>
        <w:jc w:val="both"/>
        <w:ind w:left="840" w:firstLine="640"/>
        <w:spacing w:after="0" w:line="258" w:lineRule="auto"/>
        <w:tabs>
          <w:tab w:leader="none" w:pos="1775"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the Holder hereby irrevocably appoints the Administrative Agent as its attorney-in-fact, with full authority in the place and stead of the Holder and in the name of the Holder, to execute and deliver any document or instrument that the Holder may be required to deliver pursuant to this Section 11(a)(vi) in order to effectuate the foregoing conversion and cause such a conversion, such power of attorney being coupled with an interest and irrevocable until the Senior Indebtedness is paid in full, in cash.</w:t>
      </w:r>
    </w:p>
    <w:p>
      <w:pPr>
        <w:spacing w:after="0" w:line="183" w:lineRule="exact"/>
        <w:rPr>
          <w:rFonts w:ascii="Times New Roman" w:cs="Times New Roman" w:eastAsia="Times New Roman" w:hAnsi="Times New Roman"/>
          <w:sz w:val="18"/>
          <w:szCs w:val="18"/>
          <w:color w:val="auto"/>
        </w:rPr>
      </w:pPr>
    </w:p>
    <w:p>
      <w:pPr>
        <w:ind w:left="840" w:firstLine="640"/>
        <w:spacing w:after="0" w:line="282" w:lineRule="auto"/>
        <w:tabs>
          <w:tab w:leader="none" w:pos="1806"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it shall take any and all action required to cause the mandatory conversion of this Note upon the occurrence of the conditions set forth in this Section 11(a)(vi).</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provisions of this Note are for the benefit of the holders of the Senior Indebtedness and their successors and assigns and they may enforce such provisions directly against the Holder of this Note in accordance with the terms hereof. No right of any present or future holder of any Senior Indebtedness to enforce subordination as provided herein shall at any time in any way be prejudiced or impaired by any act or omission of the Company or any such holder, unless the holder has expressly waived its rights in writing. The holders of the Senior Indebtedness may, without impairing or releasing the Company or the Holder of this Note from any obligation hereunder, take any and all actions with respect to the Senior Indebtedness, including, without limitation, to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Senior Indebtedness; and (iv) exercise or refrain from exercising any rights against the Company and any other Person.</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left="660" w:firstLine="644"/>
        <w:spacing w:after="0" w:line="258" w:lineRule="auto"/>
        <w:tabs>
          <w:tab w:leader="none" w:pos="159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to Effect Subordination</w:t>
      </w:r>
      <w:r>
        <w:rPr>
          <w:rFonts w:ascii="Times New Roman" w:cs="Times New Roman" w:eastAsia="Times New Roman" w:hAnsi="Times New Roman"/>
          <w:sz w:val="18"/>
          <w:szCs w:val="18"/>
          <w:color w:val="auto"/>
        </w:rPr>
        <w:t xml:space="preserve">. The Holder, by its acceptance hereof, solely in its capacity as obligee with respect to Subordinated Debt irrevocably authorizes and empowers (but without imposing any obligation on) the Administrative Agent (through its authorized representatives), on behalf of itself and the Lenders, to demand, sue for, collect and receive such Holder’s ratable share of payments or distributions with respect to Subordinated Debt and take all such other action, in the name of such Holder or otherwise, as such Administrative Agent or authorized representatives may determine to be necessary or appropriate for the enforcement of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Modifications to Note</w:t>
      </w:r>
      <w:r>
        <w:rPr>
          <w:rFonts w:ascii="Times New Roman" w:cs="Times New Roman" w:eastAsia="Times New Roman" w:hAnsi="Times New Roman"/>
          <w:sz w:val="18"/>
          <w:szCs w:val="18"/>
          <w:color w:val="auto"/>
        </w:rPr>
        <w:t xml:space="preserve">. Under no circumstance shall the Company or the Holder amend or modify, or permit the amendment or modification of, any provision of this Note in any way adverse to the interests of the Administrative Agent and the Lenders, including, without limitation, any amendments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hereof (or any constituent definitions), or otherwise affecting the same or similar substance of such provisions, each of which shall be deemed to be adverse to the Administrative Agent and the Lenders. The Administrative Agent and the Lenders are intended to be, and shall be, express third party beneficiaries of the terms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Note and may enforce the provisions of Section 11 of this Note directly against the Company and/or any Holder.</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Modifications to Senior Indebtedness</w:t>
      </w:r>
      <w:r>
        <w:rPr>
          <w:rFonts w:ascii="Times New Roman" w:cs="Times New Roman" w:eastAsia="Times New Roman" w:hAnsi="Times New Roman"/>
          <w:sz w:val="18"/>
          <w:szCs w:val="18"/>
          <w:color w:val="auto"/>
        </w:rPr>
        <w:t>. The Holder agrees that the Company, the Administrative Agent and the Lenders shall have absolute power and discretion, without notice to the Holder, to deal in any manner with the Senior Indebtedness and the related collateral, including, without limitation, the power and discretion to effect any amendment, modification, supplement, restatement, refinancing, renewal, refund, extension or termination of any Senior Indebtedness.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3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for Subordinated Debt</w:t>
      </w:r>
      <w:r>
        <w:rPr>
          <w:rFonts w:ascii="Times New Roman" w:cs="Times New Roman" w:eastAsia="Times New Roman" w:hAnsi="Times New Roman"/>
          <w:sz w:val="18"/>
          <w:szCs w:val="18"/>
          <w:color w:val="auto"/>
        </w:rPr>
        <w:t xml:space="preserve">. Except with the prior written consent of the Administrative Agent and the Lenders, in no event shall the Holder take, accept or receive (and the Company shall not, nor permit any of its Subsidiaries or any other Person to grant to the Holder) any lien or security interest on any asset of Company or its Subsidiaries or any other collateral, guaranty, credit support or security for the Subordinated Debt. In the event in violation of the previous sentence the Holder is granted a security interest or lien on any asset of the Company or any of its Subsidiaries or any guaranty or credit support from the Company or any of its Subsidiaries or any other Person, the Holder does hereby expressly immediately and automatically (without further action of any Person) release such security interest, lien, guaranty or credit support, and the Holder and the Company shall immediately take all actions necessary or desirable to confirm and/or effectuate such release. The Administrative Agent may, in its sole discretion, take all steps necessary or desirable to confirm and/or effectuate the release any such lien, security interest, guaranty or credit support without any further action by or consent of any party, and the Holder and the Company expressly consent to and authorize any such action. In furtherance of the foregoing the Company and the Holder each hereby irrevocably appoint the Administrative Agent as its attorney-in-fact, with full authority in the place and stead of the Company and the Holder, as applicable, and in the name of the Company or the Holder, as applicable, to execute and deliver any document or instrument that the Company may be required to deliver pursuant to this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in connection with any such release, such power of attorney being coupled with an interest and irrevocable until the Senior Indebtedness is paid in full in cash.</w:t>
      </w:r>
    </w:p>
    <w:p>
      <w:pPr>
        <w:spacing w:after="0" w:line="19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agrees that this Section 11 constitutes a “subordination agreement” within the meaning of Section 510(a) of the United States Bankruptcy Code (11 U.S.C. §101, et seq.) and will continue in full force and effect during any Insolvency Proceeding, including after the filing of any petition by or against the Company under the Bankruptcy Code and all converted or succeeding cases in respect thereof. All references herein to the Company or any of its subsidiaries or affiliates shall be deemed to apply to such Person as debtor-in-possession and to any trustee for such Person.</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[Reserved].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13. DISTRIBUTION OF ASSETS.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any adjustments pursuant to Sections 5 and 6 above, if the Company shall declare or make any dividend or other distributions of its assets (or rights to acquire its assets) to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such Distribution or, if no such record is taken, the date as of which the record holders of Common Stock are to be determined for such Distributions.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color w:val="auto"/>
        </w:rPr>
        <w:t>14. AMENDING THE TERMS OF THIS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prior written consent of the Holder and the Company shall be required for any change, waiver or amendment to this Note. Any change, waiver or amendment so approved shall be binding upon all existing and future holders of this Note; provided, however, that no such change, waiver or, as applied to any of the Notes held by any particular holder of Notes, shall, without the written consent of that particular holder, (i) reduce the amount of Principal, reduce the amount of accrued and unpaid Interest, or extend the Maturity Date, of the Notes, (ii) disproportionally and adversely affect any rights under the Notes of any holder of Notes; or (iii) modify any of the provisions of, or impair the right of any holder of Notes under, this Section 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 TRANSFER.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Note may not be offered, sold, assigned or transferred by the Holder without the consent of the Company (which shall not be unreasonably withheld).</w:t>
      </w:r>
    </w:p>
    <w:p>
      <w:pPr>
        <w:spacing w:after="0" w:line="158" w:lineRule="exact"/>
        <w:rPr>
          <w:sz w:val="20"/>
          <w:szCs w:val="20"/>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REISSUANCE OF THIS NOTE.</w:t>
      </w:r>
    </w:p>
    <w:p>
      <w:pPr>
        <w:spacing w:after="0" w:line="229" w:lineRule="exact"/>
        <w:rPr>
          <w:rFonts w:ascii="Times New Roman" w:cs="Times New Roman" w:eastAsia="Times New Roman" w:hAnsi="Times New Roman"/>
          <w:sz w:val="18"/>
          <w:szCs w:val="18"/>
          <w:b w:val="1"/>
          <w:bCs w:val="1"/>
          <w:color w:val="auto"/>
        </w:rPr>
      </w:pPr>
    </w:p>
    <w:p>
      <w:pPr>
        <w:jc w:val="both"/>
        <w:ind w:left="660" w:firstLine="644"/>
        <w:spacing w:after="0" w:line="256" w:lineRule="auto"/>
        <w:tabs>
          <w:tab w:leader="none" w:pos="15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this Note is to be transferred, the Holder shall surrender this Note to the Company, whereupon the Company will forthwith issue and deliver upon the order of the Holder a new Note (in accordance with Section 16(d)), registered as the Holder may request, representing the outstanding Principal being transferred by the Holder and, if less than the entire outstanding Principal is being transferred, a new Note (in accordance with Section 16(d))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16(d)) representing the outstanding Principal.</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 office of the Company, for a new Note or Notes (in accordance with Section 16(d)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Notes</w:t>
      </w:r>
      <w:r>
        <w:rPr>
          <w:rFonts w:ascii="Times New Roman" w:cs="Times New Roman" w:eastAsia="Times New Roman" w:hAnsi="Times New Roman"/>
          <w:sz w:val="18"/>
          <w:szCs w:val="18"/>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16(a) or Section 16(c),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b w:val="1"/>
          <w:bCs w:val="1"/>
          <w:color w:val="auto"/>
        </w:rPr>
        <w:t>17. REMEDIES, CHARACTERIZATIONS, OTHER OBLIGATIONS, BREACHES AND INJUNCTIVE RELIEF.</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remedies provided in this Note shall be cumulative and in addition to all other remedies available under this Note and any of the other Transaction Documents at law or in equity (including a decree of specific performance and/or other injunctive relief), and nothing herein (other than the provisions of Section 11)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The Company shall provide all information and documentation to the Holder that is reasonably requested by the Holder to enable the Holder to confirm the Company’s compliance with the terms and conditions of this Note (including, without limitation, compliance with Section 6).</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18. PAYMENT OF COLLECTION, ENFORCEMENT AND OTHER COSTS.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19. CONSTRUCTION; HEADINGS; COUNSEL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Closing Date in such other Transaction Documents unless otherwise consented to in writing by the Holder. The Company and the Holder each confirms that it has consulted with counsel or has affirmatively determined that it does not require the advice of counsel.</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 FAILURE OR INDULGENCE NOT WAIVER.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spacing w:after="0" w:line="172" w:lineRule="exact"/>
        <w:rPr>
          <w:sz w:val="20"/>
          <w:szCs w:val="20"/>
          <w:color w:val="auto"/>
        </w:rPr>
      </w:pPr>
    </w:p>
    <w:p>
      <w:pPr>
        <w:ind w:left="920" w:hanging="264"/>
        <w:spacing w:after="0"/>
        <w:tabs>
          <w:tab w:leader="none" w:pos="9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CURRENCY; PAYMENTS.</w:t>
      </w:r>
    </w:p>
    <w:p>
      <w:pPr>
        <w:spacing w:after="0" w:line="229" w:lineRule="exact"/>
        <w:rPr>
          <w:rFonts w:ascii="Times New Roman" w:cs="Times New Roman" w:eastAsia="Times New Roman" w:hAnsi="Times New Roman"/>
          <w:sz w:val="18"/>
          <w:szCs w:val="18"/>
          <w:b w:val="1"/>
          <w:bCs w:val="1"/>
          <w:color w:val="auto"/>
        </w:rPr>
      </w:pPr>
    </w:p>
    <w:p>
      <w:pPr>
        <w:jc w:val="both"/>
        <w:ind w:left="660" w:firstLine="644"/>
        <w:spacing w:after="0" w:line="254" w:lineRule="auto"/>
        <w:tabs>
          <w:tab w:leader="none" w:pos="156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five (5) Trading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Strategic Change of Control, dissolution or liquidation, provided in each case that such information shall be made known to the public prior to or in conjunction with such notice being provided to the Holder.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left="660" w:firstLine="644"/>
        <w:spacing w:after="0" w:line="254" w:lineRule="auto"/>
        <w:tabs>
          <w:tab w:leader="none" w:pos="157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seven and one-half percent (7.5%)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all Principal, accrued Interest, Late Charges and other amounts at any time owed on this Note have been paid in full, this Note shall automatically be deemed canceled, shall be surrendered to the Company for cancellation and shall not be reissued.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23. WAIVER OF NOTICE.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permitted by law, the Company hereby irrevocably waives demand, notice, presentment, protest and all other demands and notices in connection with the delivery, acceptance, performance, default or enforcement of this Note.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24. GOVERNING LAW.</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IRREVOCABLY WAIVES ANY RIGHT IT MAY HAVE TO, AND AGREES NOT TO</w:t>
      </w:r>
    </w:p>
    <w:p>
      <w:pPr>
        <w:spacing w:after="0" w:line="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REQUEST, A JURY TRIAL FOR THE ADJUDICATION OF ANY DISPUTE HEREUNDER OR IN CONNECTION WITH OR ARISING OUT OF THIS NOTE OR ANY TRANSACTION CONTEMPLATED HEREBY.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25. SEVERABILITY.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26. MAXIMUM PAYMENTS.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27. REPRESENTATIONS AND WARRANTIES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hereby represents and warrants as of the date hereof and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to the Company as follows (unless as of a specific date therein, in which case they shall be accurate as of such date):</w:t>
      </w:r>
    </w:p>
    <w:p>
      <w:pPr>
        <w:spacing w:after="0" w:line="205" w:lineRule="exact"/>
        <w:rPr>
          <w:sz w:val="20"/>
          <w:szCs w:val="20"/>
          <w:color w:val="auto"/>
        </w:rPr>
      </w:pPr>
    </w:p>
    <w:p>
      <w:pPr>
        <w:jc w:val="both"/>
        <w:ind w:firstLine="644"/>
        <w:spacing w:after="0" w:line="253" w:lineRule="auto"/>
        <w:tabs>
          <w:tab w:leader="none" w:pos="8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Understandings or Arrangements</w:t>
      </w:r>
      <w:r>
        <w:rPr>
          <w:rFonts w:ascii="Times New Roman" w:cs="Times New Roman" w:eastAsia="Times New Roman" w:hAnsi="Times New Roman"/>
          <w:sz w:val="18"/>
          <w:szCs w:val="18"/>
          <w:color w:val="auto"/>
        </w:rPr>
        <w:t>. Such Purchaser is acquiring the Note as principal for its own account and has no direct or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or understandings with any other persons to distribute or regarding the distribution of such Note (this representation and warranty not limiting such Purchaser’s right to sell the conversion shares pursuant to the Registration Statement or otherwise in compliance with applicable federal and state securities laws). Such Purchaser is acquiring the Note hereunder in the ordinary course of its business.</w:t>
      </w:r>
    </w:p>
    <w:p>
      <w:pPr>
        <w:spacing w:after="0" w:line="179" w:lineRule="exact"/>
        <w:rPr>
          <w:rFonts w:ascii="Times New Roman" w:cs="Times New Roman" w:eastAsia="Times New Roman" w:hAnsi="Times New Roman"/>
          <w:sz w:val="18"/>
          <w:szCs w:val="18"/>
          <w:color w:val="auto"/>
        </w:rPr>
      </w:pPr>
    </w:p>
    <w:p>
      <w:pPr>
        <w:jc w:val="both"/>
        <w:ind w:firstLine="644"/>
        <w:spacing w:after="0" w:line="267" w:lineRule="auto"/>
        <w:tabs>
          <w:tab w:leader="none" w:pos="9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Purchaser Status</w:t>
      </w:r>
      <w:r>
        <w:rPr>
          <w:rFonts w:ascii="Times New Roman" w:cs="Times New Roman" w:eastAsia="Times New Roman" w:hAnsi="Times New Roman"/>
          <w:sz w:val="18"/>
          <w:szCs w:val="18"/>
          <w:color w:val="auto"/>
        </w:rPr>
        <w:t>. At the time such Purchaser was offered the Note, it was and, as of the date hereof, it is either: (i) an “accredited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as defined in Rule 501(a)(1), (a)(2), (a)(3), (a)(5), (a)(6), (a)(7), (a)(8), (a)(9), (a)(12), or (a)(13) under the Securities Act or (ii) a “qualified institutional buyer” as defined in Rule 144(A)(a) under the Securities Act.</w:t>
      </w:r>
    </w:p>
    <w:p>
      <w:pPr>
        <w:spacing w:after="0" w:line="173" w:lineRule="exact"/>
        <w:rPr>
          <w:rFonts w:ascii="Times New Roman" w:cs="Times New Roman" w:eastAsia="Times New Roman" w:hAnsi="Times New Roman"/>
          <w:sz w:val="18"/>
          <w:szCs w:val="18"/>
          <w:color w:val="auto"/>
        </w:rPr>
      </w:pPr>
    </w:p>
    <w:p>
      <w:pPr>
        <w:jc w:val="both"/>
        <w:ind w:firstLine="644"/>
        <w:spacing w:after="0" w:line="261" w:lineRule="auto"/>
        <w:tabs>
          <w:tab w:leader="none" w:pos="9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experience in business and financial matters so as to be capable of evaluating the merits and risks of the prospective investment in the Note, and has so evaluated the merits and risks of such investment. Such Purchaser is able to bear the economic risk of an investment in the Note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ind w:right="20" w:firstLine="644"/>
        <w:spacing w:after="0" w:line="284" w:lineRule="auto"/>
        <w:tabs>
          <w:tab w:leader="none" w:pos="9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Exemption from Registration. </w:t>
      </w:r>
      <w:r>
        <w:rPr>
          <w:rFonts w:ascii="Times New Roman" w:cs="Times New Roman" w:eastAsia="Times New Roman" w:hAnsi="Times New Roman"/>
          <w:sz w:val="18"/>
          <w:szCs w:val="18"/>
          <w:color w:val="auto"/>
        </w:rPr>
        <w:t>Such Purchaser has read and acknowledges the legend appearing on the first page of this Note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agrees to comply with the requirements set forth therein.</w:t>
      </w:r>
    </w:p>
    <w:p>
      <w:pPr>
        <w:spacing w:after="0" w:line="158" w:lineRule="exact"/>
        <w:rPr>
          <w:rFonts w:ascii="Times New Roman" w:cs="Times New Roman" w:eastAsia="Times New Roman" w:hAnsi="Times New Roman"/>
          <w:sz w:val="18"/>
          <w:szCs w:val="18"/>
          <w:color w:val="auto"/>
        </w:rPr>
      </w:pPr>
    </w:p>
    <w:p>
      <w:pPr>
        <w:jc w:val="both"/>
        <w:ind w:firstLine="644"/>
        <w:spacing w:after="0" w:line="254" w:lineRule="auto"/>
        <w:tabs>
          <w:tab w:leader="none" w:pos="8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exhibits and schedules thereto) and the reports, schedules, forms, statements and other documents required to be filed by the Company under the Securities Act and the 1934 Act, including pursuant to Section 13(a) or 15(d) thereof, for the two years preceding the date hereof (or such shorter period as the Company was required by law or regulation to file such material) (collectively,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and has been afforded (i) the opportunity to ask such questions as it has deemed necessary of, and to receive answers from, representatives of the Company concerning the terms and conditions of the offering of the Note and the merits and risks of investing in the Note;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28. CERTAIN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Note, the following terms shall have the following meanings:</w:t>
      </w:r>
    </w:p>
    <w:p>
      <w:pPr>
        <w:spacing w:after="0" w:line="221" w:lineRule="exact"/>
        <w:rPr>
          <w:sz w:val="20"/>
          <w:szCs w:val="20"/>
          <w:color w:val="auto"/>
        </w:rPr>
      </w:pPr>
    </w:p>
    <w:p>
      <w:pPr>
        <w:ind w:left="880" w:hanging="236"/>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means Metropolitan Partners Group Administration, LLC, and its successors and assigns in such capacity.</w:t>
      </w:r>
    </w:p>
    <w:p>
      <w:pPr>
        <w:spacing w:after="0" w:line="225" w:lineRule="exact"/>
        <w:rPr>
          <w:rFonts w:ascii="Times New Roman" w:cs="Times New Roman" w:eastAsia="Times New Roman" w:hAnsi="Times New Roman"/>
          <w:sz w:val="18"/>
          <w:szCs w:val="18"/>
          <w:color w:val="auto"/>
        </w:rPr>
      </w:pPr>
    </w:p>
    <w:p>
      <w:pPr>
        <w:jc w:val="both"/>
        <w:ind w:firstLine="644"/>
        <w:spacing w:after="0" w:line="262" w:lineRule="auto"/>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a majority of the stock having ordinary voting power for the election of directors of such Person or direct or cause the direction of the management and policies of such Person whether by contract or otherwise.</w:t>
      </w:r>
    </w:p>
    <w:p>
      <w:pPr>
        <w:spacing w:after="0" w:line="176" w:lineRule="exact"/>
        <w:rPr>
          <w:rFonts w:ascii="Times New Roman" w:cs="Times New Roman" w:eastAsia="Times New Roman" w:hAnsi="Times New Roman"/>
          <w:sz w:val="18"/>
          <w:szCs w:val="18"/>
          <w:color w:val="auto"/>
        </w:rPr>
      </w:pPr>
    </w:p>
    <w:p>
      <w:pPr>
        <w:jc w:val="both"/>
        <w:ind w:firstLine="644"/>
        <w:spacing w:after="0" w:line="256" w:lineRule="auto"/>
        <w:tabs>
          <w:tab w:leader="none" w:pos="9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ind w:right="20" w:firstLine="644"/>
        <w:spacing w:after="0" w:line="286" w:lineRule="auto"/>
        <w:tabs>
          <w:tab w:leader="none" w:pos="8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54" w:lineRule="exact"/>
        <w:rPr>
          <w:rFonts w:ascii="Times New Roman" w:cs="Times New Roman" w:eastAsia="Times New Roman" w:hAnsi="Times New Roman"/>
          <w:sz w:val="18"/>
          <w:szCs w:val="18"/>
          <w:color w:val="auto"/>
        </w:rPr>
      </w:pPr>
    </w:p>
    <w:p>
      <w:pPr>
        <w:jc w:val="both"/>
        <w:ind w:firstLine="644"/>
        <w:spacing w:after="0" w:line="253" w:lineRule="auto"/>
        <w:tabs>
          <w:tab w:leader="none" w:pos="8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(i) a consolidation or merger of the Company or PAL with or into any other corporation or other Person, or any other corporate reorganization, other than (x) with an Excluded Person, or (y) any such consolidation, merger or reorganization in which the shares of capital stock of the Parent or PAL immediately prior to such consolidation, merger or reorganization continue to represent a majority of the voting power of the surviving entity immediately after such consolidation, merger or reorganization; (ii) any transaction or series of related transactions to which the Parent or PAL is a party in which in excess of 20% of the Parent’s or PAL’s voting power is transferred (other than to an Excluded Person); (iii) any transaction or series of transactions in which a “person” or a “group” (as such terms are used in Sections 13(d) and 14(d) of the Exchange Act) (other than an Excluded Person) shall (A) become, or obtain rights (whether by means of common stock, warrants options or otherwise) to become, the “beneficial owner” (as defined in Rules 13(d)-3 and 13(d)-5 under the Exchange Act), directly or indirectly, of 25% or more of the ordinary voting power or economic interests of Parent or PAL (determined on a fully diluted basis) or (B) have obtained the power (whether exercised or not) to elect a majority of the members of the board of directors (or any similar governing body) of Parent or PAL, as applicable; or (iv) the sale or transfer of all or substantially all of the Parent’s or PAL’s assets, or the exclusive license of all or substantially all of the Parent’s or PAL’s material assets and/or material intellectual property, in each case, other than to an Excluded Person. A transaction (other than a Restructuring Transaction) that would otherwise be a Change of Control but for the involvement of an Excluded Person is referred to as a “</w:t>
      </w:r>
      <w:r>
        <w:rPr>
          <w:rFonts w:ascii="Times New Roman" w:cs="Times New Roman" w:eastAsia="Times New Roman" w:hAnsi="Times New Roman"/>
          <w:sz w:val="18"/>
          <w:szCs w:val="18"/>
          <w:b w:val="1"/>
          <w:bCs w:val="1"/>
          <w:color w:val="auto"/>
        </w:rPr>
        <w:t>Strategic Change of Control.</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mean the date hereof upon funding of the amounts set forth in this Note.</w:t>
      </w:r>
    </w:p>
    <w:p>
      <w:pPr>
        <w:spacing w:after="0" w:line="225" w:lineRule="exact"/>
        <w:rPr>
          <w:rFonts w:ascii="Times New Roman" w:cs="Times New Roman" w:eastAsia="Times New Roman" w:hAnsi="Times New Roman"/>
          <w:sz w:val="18"/>
          <w:szCs w:val="18"/>
          <w:color w:val="auto"/>
        </w:rPr>
      </w:pPr>
    </w:p>
    <w:p>
      <w:pPr>
        <w:ind w:firstLine="644"/>
        <w:spacing w:after="0" w:line="286" w:lineRule="auto"/>
        <w:tabs>
          <w:tab w:leader="none" w:pos="9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$0.0001 par value per share, and (ii) any capital stock into which such common stock shall have been changed or any share capital resulting from a reclassification of such common stock.</w:t>
      </w:r>
    </w:p>
    <w:p>
      <w:pPr>
        <w:spacing w:after="0" w:line="154" w:lineRule="exact"/>
        <w:rPr>
          <w:rFonts w:ascii="Times New Roman" w:cs="Times New Roman" w:eastAsia="Times New Roman" w:hAnsi="Times New Roman"/>
          <w:sz w:val="18"/>
          <w:szCs w:val="18"/>
          <w:color w:val="auto"/>
        </w:rPr>
      </w:pPr>
    </w:p>
    <w:p>
      <w:pPr>
        <w:jc w:val="both"/>
        <w:ind w:firstLine="644"/>
        <w:spacing w:after="0" w:line="268" w:lineRule="auto"/>
        <w:tabs>
          <w:tab w:leader="none" w:pos="8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0" w:lineRule="exact"/>
        <w:rPr>
          <w:rFonts w:ascii="Times New Roman" w:cs="Times New Roman" w:eastAsia="Times New Roman" w:hAnsi="Times New Roman"/>
          <w:sz w:val="18"/>
          <w:szCs w:val="18"/>
          <w:color w:val="auto"/>
        </w:rPr>
      </w:pPr>
    </w:p>
    <w:p>
      <w:pPr>
        <w:jc w:val="both"/>
        <w:ind w:firstLine="644"/>
        <w:spacing w:after="0" w:line="268" w:lineRule="auto"/>
        <w:tabs>
          <w:tab w:leader="none" w:pos="8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means that certain Credit Agreement, dated as of September 21, 2022, by and among the Company, PAL, as borrower, the Lenders, and the Administrative Agent, as amended, restated, refinanced, modified or supplemented through the date hereof and hereafter and in effect from time to time.</w:t>
      </w:r>
    </w:p>
    <w:p>
      <w:pPr>
        <w:spacing w:after="0" w:line="3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4" w:name="page25"/>
    <w:bookmarkEnd w:id="24"/>
    <w:p>
      <w:pPr>
        <w:ind w:left="-460" w:firstLine="644"/>
        <w:spacing w:after="0" w:line="286" w:lineRule="auto"/>
        <w:tabs>
          <w:tab w:leader="none" w:pos="4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or the Principal Market.</w:t>
      </w:r>
    </w:p>
    <w:p>
      <w:pPr>
        <w:spacing w:after="0" w:line="154" w:lineRule="exact"/>
        <w:rPr>
          <w:rFonts w:ascii="Times New Roman" w:cs="Times New Roman" w:eastAsia="Times New Roman" w:hAnsi="Times New Roman"/>
          <w:sz w:val="18"/>
          <w:szCs w:val="18"/>
          <w:color w:val="auto"/>
        </w:rPr>
      </w:pPr>
    </w:p>
    <w:p>
      <w:pPr>
        <w:jc w:val="both"/>
        <w:ind w:left="-460" w:firstLine="644"/>
        <w:spacing w:after="0" w:line="257" w:lineRule="auto"/>
        <w:tabs>
          <w:tab w:leader="none" w:pos="4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2"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Person</w:t>
      </w:r>
      <w:r>
        <w:rPr>
          <w:rFonts w:ascii="Times New Roman" w:cs="Times New Roman" w:eastAsia="Times New Roman" w:hAnsi="Times New Roman"/>
          <w:sz w:val="18"/>
          <w:szCs w:val="18"/>
          <w:color w:val="auto"/>
        </w:rPr>
        <w:t>” means a Person other than a Financial Investor.</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4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any shares of Common Stock, options, warrants or convertible securities issued or issuable in connection with (A) any equity compensation plan of the Company as in effect on the date hereof or (B) any Restructuring Transaction, or (ii) any other securities outstanding as of the Effective Date.</w:t>
      </w:r>
    </w:p>
    <w:p>
      <w:pPr>
        <w:spacing w:after="0" w:line="170" w:lineRule="exact"/>
        <w:rPr>
          <w:rFonts w:ascii="Times New Roman" w:cs="Times New Roman" w:eastAsia="Times New Roman" w:hAnsi="Times New Roman"/>
          <w:sz w:val="18"/>
          <w:szCs w:val="18"/>
          <w:color w:val="auto"/>
        </w:rPr>
      </w:pPr>
    </w:p>
    <w:p>
      <w:pPr>
        <w:jc w:val="both"/>
        <w:ind w:left="-460" w:firstLine="644"/>
        <w:spacing w:after="0" w:line="262" w:lineRule="auto"/>
        <w:tabs>
          <w:tab w:leader="none" w:pos="4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Investor</w:t>
      </w:r>
      <w:r>
        <w:rPr>
          <w:rFonts w:ascii="Times New Roman" w:cs="Times New Roman" w:eastAsia="Times New Roman" w:hAnsi="Times New Roman"/>
          <w:sz w:val="18"/>
          <w:szCs w:val="18"/>
          <w:color w:val="auto"/>
        </w:rPr>
        <w:t>” means a Person that (i) does not have any strategic or commercial relationship with the Company, and (ii) does not itself operate in the Company’s line of business or a line of business that would be considered competitive or synergistic with the Company’s line of business, it being understood that merely holding an investment in another Person that operates in any such line of business shall not cause any Person that would otherwise constitute a Financial Investor to be excluded as a Financial Investor.</w:t>
      </w:r>
    </w:p>
    <w:p>
      <w:pPr>
        <w:spacing w:after="0" w:line="176"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9"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means collectively the Cash Interest and the PIK Interest.</w:t>
      </w:r>
    </w:p>
    <w:p>
      <w:pPr>
        <w:spacing w:after="0" w:line="225"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means, with respect to any given calendar month the last Trading Day in such calendar month.</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means the lenders from time to time party to the Credit Agreement or otherwise holding Senior Indebtedness.</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the Credit Agreement and the other Loan Documents (as defined in the Credit Agreement).</w:t>
      </w:r>
    </w:p>
    <w:p>
      <w:pPr>
        <w:spacing w:after="0" w:line="225"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July 19, 2026.</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PAL</w:t>
      </w:r>
      <w:r>
        <w:rPr>
          <w:rFonts w:ascii="Times New Roman" w:cs="Times New Roman" w:eastAsia="Times New Roman" w:hAnsi="Times New Roman"/>
          <w:sz w:val="18"/>
          <w:szCs w:val="18"/>
          <w:color w:val="auto"/>
        </w:rPr>
        <w:t>” means Presto Automation LLC (f/k/a E La Carte, LLC, f/k/a Ventoux Merger Sub II LLC).</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4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a Strategic Change of Control.</w:t>
      </w:r>
    </w:p>
    <w:p>
      <w:pPr>
        <w:spacing w:after="0" w:line="171" w:lineRule="exact"/>
        <w:rPr>
          <w:sz w:val="20"/>
          <w:szCs w:val="20"/>
          <w:color w:val="auto"/>
        </w:rPr>
      </w:pPr>
    </w:p>
    <w:p>
      <w:pPr>
        <w:ind w:left="-460" w:firstLine="644"/>
        <w:spacing w:after="0" w:line="286" w:lineRule="auto"/>
        <w:tabs>
          <w:tab w:leader="none" w:pos="5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3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5" w:name="page26"/>
    <w:bookmarkEnd w:id="25"/>
    <w:p>
      <w:pPr>
        <w:ind w:left="520" w:hanging="336"/>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PIK Interest</w:t>
      </w:r>
      <w:r>
        <w:rPr>
          <w:rFonts w:ascii="Times New Roman" w:cs="Times New Roman" w:eastAsia="Times New Roman" w:hAnsi="Times New Roman"/>
          <w:sz w:val="18"/>
          <w:szCs w:val="18"/>
          <w:color w:val="auto"/>
        </w:rPr>
        <w:t>” means the portion of the interest that accrues on the Principal of this Note as the PIK Interest Rate.</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PIK Interest Rate</w:t>
      </w:r>
      <w:r>
        <w:rPr>
          <w:rFonts w:ascii="Times New Roman" w:cs="Times New Roman" w:eastAsia="Times New Roman" w:hAnsi="Times New Roman"/>
          <w:sz w:val="18"/>
          <w:szCs w:val="18"/>
          <w:color w:val="auto"/>
        </w:rPr>
        <w:t>” means 7.5% per annum.</w:t>
      </w:r>
    </w:p>
    <w:p>
      <w:pPr>
        <w:spacing w:after="0" w:line="225" w:lineRule="exact"/>
        <w:rPr>
          <w:rFonts w:ascii="Times New Roman" w:cs="Times New Roman" w:eastAsia="Times New Roman" w:hAnsi="Times New Roman"/>
          <w:sz w:val="18"/>
          <w:szCs w:val="18"/>
          <w:color w:val="auto"/>
        </w:rPr>
      </w:pPr>
    </w:p>
    <w:p>
      <w:pPr>
        <w:ind w:left="520" w:hanging="336"/>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9"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left="-460" w:firstLine="644"/>
        <w:spacing w:after="0" w:line="262" w:lineRule="auto"/>
        <w:tabs>
          <w:tab w:leader="none" w:pos="4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 Transaction</w:t>
      </w:r>
      <w:r>
        <w:rPr>
          <w:rFonts w:ascii="Times New Roman" w:cs="Times New Roman" w:eastAsia="Times New Roman" w:hAnsi="Times New Roman"/>
          <w:sz w:val="18"/>
          <w:szCs w:val="18"/>
          <w:color w:val="auto"/>
        </w:rPr>
        <w:t>” means any transaction or series of transactions which has the effect of (i) forgiving, reducing, or modifying the principal balance of, or otherwise adjusting the amount of, the Senior Indebtedness, (ii) exchanging all or any portion of the Senior Indebtedness for any other instrument or security, (iii) the exercise of any rights or remedies by the Administrative Agent or any Lender under the Loan Documents, or (iv) replacing or refinancing the Senior Indebtedness, in whole or in part.</w:t>
      </w:r>
    </w:p>
    <w:p>
      <w:pPr>
        <w:spacing w:after="0" w:line="176" w:lineRule="exact"/>
        <w:rPr>
          <w:rFonts w:ascii="Times New Roman" w:cs="Times New Roman" w:eastAsia="Times New Roman" w:hAnsi="Times New Roman"/>
          <w:sz w:val="18"/>
          <w:szCs w:val="18"/>
          <w:color w:val="auto"/>
        </w:rPr>
      </w:pPr>
    </w:p>
    <w:p>
      <w:pPr>
        <w:ind w:left="520" w:hanging="336"/>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rFonts w:ascii="Times New Roman" w:cs="Times New Roman" w:eastAsia="Times New Roman" w:hAnsi="Times New Roman"/>
          <w:sz w:val="18"/>
          <w:szCs w:val="18"/>
          <w:color w:val="auto"/>
        </w:rPr>
      </w:pPr>
    </w:p>
    <w:p>
      <w:pPr>
        <w:ind w:left="520" w:hanging="336"/>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Securities Act of 1933, as amended, and the rules and regulations promulgated thereunder.</w:t>
      </w:r>
    </w:p>
    <w:p>
      <w:pPr>
        <w:spacing w:after="0" w:line="229"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Indebtedness</w:t>
      </w:r>
      <w:r>
        <w:rPr>
          <w:rFonts w:ascii="Times New Roman" w:cs="Times New Roman" w:eastAsia="Times New Roman" w:hAnsi="Times New Roman"/>
          <w:sz w:val="18"/>
          <w:szCs w:val="18"/>
          <w:color w:val="auto"/>
        </w:rPr>
        <w:t>” means all loans, advances, debts, liabilities, debit balances, covenants and duties at any time or times owed by Company or any other Loan Party to Administrative Agent or any Lender, whether direct or indirect, absolute or contingent, secured or unsecured, primary or secondary, joint or several, liquidated or unliquidated, due or to become due, now existing or hereafter arising, including (a) all debts, liabilities and obligations now or hereafter owing by Company or any other Loan Party to Administrative Agent or any Lender under any of the Loan Documents, (b) all debts, liabilities or obligations owing by Company or any other Loan Party to others which Administrative Agent or any Lender may have obtained by assignment, pledge, purchase or otherwise, (c) all loans made or credit extended by Administrative Agent or any Lender to Company or any other Loan Party during the pendency of any bankruptcy or other insolvency proceeding of Company or any other Loan Party, (d) all interest, fees, charges, expenses and attorneys’ fees for which Company or any other Loan Party is now or hereafter becomes liable to pay to Administrative Agent or any Lender under any agreement or by law (including, all interest, legal fees and other charges that accrue or are incurred in connection with any of the Senior Indebtedness during the pendency of any bankruptcy case or other insolvency proceeding of Buyer, whether or not Administrative Agent or such Lender is authorized by 11 U.S.C. § 506 or otherwise to claim or collect any such interest, legal fees or other charges from Buyer), (e) all Obligations (as defined in the Credit Agreement), (f) the secured promissory note between the Company Presto CA, LLC dated March 21, 2024 (g) any renewals, extensions, replacements or refinancings of any of the foregoing.</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6" w:name="page27"/>
    <w:bookmarkEnd w:id="26"/>
    <w:p>
      <w:pPr>
        <w:ind w:left="980" w:hanging="33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means all amounts payable to the Holder pursuant to this Note or any other documents executed in connection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herewith.</w:t>
      </w:r>
    </w:p>
    <w:p>
      <w:pPr>
        <w:spacing w:after="0" w:line="202" w:lineRule="exact"/>
        <w:rPr>
          <w:rFonts w:ascii="Times New Roman" w:cs="Times New Roman" w:eastAsia="Times New Roman" w:hAnsi="Times New Roman"/>
          <w:sz w:val="18"/>
          <w:szCs w:val="18"/>
          <w:color w:val="auto"/>
        </w:rPr>
      </w:pPr>
    </w:p>
    <w:p>
      <w:pPr>
        <w:ind w:left="1080" w:hanging="436"/>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any wholly-owned subsidiaries of the Company.</w:t>
      </w:r>
    </w:p>
    <w:p>
      <w:pPr>
        <w:spacing w:after="0" w:line="225" w:lineRule="exact"/>
        <w:rPr>
          <w:rFonts w:ascii="Times New Roman" w:cs="Times New Roman" w:eastAsia="Times New Roman" w:hAnsi="Times New Roman"/>
          <w:sz w:val="18"/>
          <w:szCs w:val="18"/>
          <w:color w:val="auto"/>
        </w:rPr>
      </w:pPr>
    </w:p>
    <w:p>
      <w:pPr>
        <w:jc w:val="both"/>
        <w:ind w:firstLine="644"/>
        <w:spacing w:after="0" w:line="268" w:lineRule="auto"/>
        <w:tabs>
          <w:tab w:leader="none" w:pos="9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Strategic Change of Control or the Person (or, if so elected by the Holder, the Parent Entity) with which such Strategic Change of Control shall have been entered into.</w:t>
      </w:r>
    </w:p>
    <w:p>
      <w:pPr>
        <w:spacing w:after="0" w:line="170" w:lineRule="exact"/>
        <w:rPr>
          <w:rFonts w:ascii="Times New Roman" w:cs="Times New Roman" w:eastAsia="Times New Roman" w:hAnsi="Times New Roman"/>
          <w:sz w:val="18"/>
          <w:szCs w:val="18"/>
          <w:color w:val="auto"/>
        </w:rPr>
      </w:pPr>
    </w:p>
    <w:p>
      <w:pPr>
        <w:jc w:val="both"/>
        <w:ind w:firstLine="644"/>
        <w:spacing w:after="0" w:line="254" w:lineRule="auto"/>
        <w:tabs>
          <w:tab w:leader="none" w:pos="9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Nasdaq Stock Market (or any successor thereto) is open for trading of securities.</w:t>
      </w:r>
    </w:p>
    <w:p>
      <w:pPr>
        <w:spacing w:after="0" w:line="188" w:lineRule="exact"/>
        <w:rPr>
          <w:rFonts w:ascii="Times New Roman" w:cs="Times New Roman" w:eastAsia="Times New Roman" w:hAnsi="Times New Roman"/>
          <w:sz w:val="18"/>
          <w:szCs w:val="18"/>
          <w:color w:val="auto"/>
        </w:rPr>
      </w:pPr>
    </w:p>
    <w:p>
      <w:pPr>
        <w:ind w:right="20" w:firstLine="644"/>
        <w:spacing w:after="0" w:line="286" w:lineRule="auto"/>
        <w:tabs>
          <w:tab w:leader="none" w:pos="9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Note, all exhibits and schedules hereto and any other document, certificate or notice executed by the Company or the Holder in connection with the issuance of this Note.</w:t>
      </w:r>
    </w:p>
    <w:p>
      <w:pPr>
        <w:spacing w:after="0" w:line="15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7"/>
          <w:szCs w:val="17"/>
          <w:color w:val="auto"/>
        </w:rPr>
        <w:t>IN WITNESS WHEREOF, the Company and the Holder have caused this Note to be duly executed as of the Issuance Date set out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Interim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Remus Capital Series B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Tincoff</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Convertible Note – Signature Page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904"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 CONVERSION NOTICE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Reference is made to the Subordinated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to the undersigned by 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and pursuant to the Note, the undersigned hereby elects to convert the Conversion Amount (as defined in the Note) of the Note indicated below into shares of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as of the date specified below. Capitalized terms not defined herein shall have the meaning as set forth in the Note.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of Conversion:</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tc>
      </w:tr>
      <w:tr>
        <w:trPr>
          <w:trHeight w:val="43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to be converted:</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tc>
      </w:tr>
      <w:tr>
        <w:trPr>
          <w:trHeight w:val="41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Aggregate accrued and unpaid Interest and accrued and unpaid Late Charges with</w:t>
            </w:r>
          </w:p>
        </w:tc>
        <w:tc>
          <w:tcPr>
            <w:tcW w:w="5280" w:type="dxa"/>
            <w:vAlign w:val="bottom"/>
          </w:tcPr>
          <w:p>
            <w:pPr>
              <w:spacing w:after="0"/>
              <w:rPr>
                <w:sz w:val="24"/>
                <w:szCs w:val="24"/>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respect to such portion of the Aggregate Principal and such Aggregate Interest to</w:t>
            </w:r>
          </w:p>
        </w:tc>
        <w:tc>
          <w:tcPr>
            <w:tcW w:w="528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be converted:</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tc>
      </w:tr>
      <w:tr>
        <w:trPr>
          <w:trHeight w:val="43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AGGREGATE CONVERSION AMOUNT TO BE CONVERTED:</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tc>
      </w:tr>
      <w:tr>
        <w:trPr>
          <w:trHeight w:val="43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tc>
      </w:tr>
      <w:tr>
        <w:trPr>
          <w:trHeight w:val="43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 to be issued:</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tc>
      </w:tr>
      <w:tr>
        <w:trPr>
          <w:trHeight w:val="45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Please specify the amount of Restricted Principal (if any) being converted:</w:t>
            </w:r>
          </w:p>
        </w:tc>
        <w:tc>
          <w:tcPr>
            <w:tcW w:w="52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___________________________________.</w:t>
            </w:r>
          </w:p>
        </w:tc>
      </w:tr>
      <w:tr>
        <w:trPr>
          <w:trHeight w:val="43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Please specify the amount of Restricted OID (if any) being converted:</w:t>
            </w:r>
          </w:p>
        </w:tc>
        <w:tc>
          <w:tcPr>
            <w:tcW w:w="52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___________________________________.</w:t>
            </w:r>
          </w:p>
        </w:tc>
      </w:tr>
      <w:tr>
        <w:trPr>
          <w:trHeight w:val="655"/>
        </w:trPr>
        <w:tc>
          <w:tcPr>
            <w:tcW w:w="59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Please issue the Common Stock into which the Note is being converted to Holder, or for its benefit,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Check here if requesting delivery as a certificate to the following name and to the following address:</w:t>
            </w:r>
          </w:p>
        </w:tc>
        <w:tc>
          <w:tcPr>
            <w:tcW w:w="0" w:type="dxa"/>
            <w:vAlign w:val="bottom"/>
          </w:tcPr>
          <w:p>
            <w:pPr>
              <w:spacing w:after="0"/>
              <w:rPr>
                <w:sz w:val="1"/>
                <w:szCs w:val="1"/>
                <w:color w:val="auto"/>
              </w:rPr>
            </w:pPr>
          </w:p>
        </w:tc>
      </w:tr>
      <w:tr>
        <w:trPr>
          <w:trHeight w:val="4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Issue to:</w:t>
            </w:r>
          </w:p>
        </w:tc>
        <w:tc>
          <w:tcPr>
            <w:tcW w:w="7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Check here if requesting delivery by Deposit/Withdrawal at Custodian as follows:</w:t>
            </w:r>
          </w:p>
        </w:tc>
        <w:tc>
          <w:tcPr>
            <w:tcW w:w="0" w:type="dxa"/>
            <w:vAlign w:val="bottom"/>
          </w:tcPr>
          <w:p>
            <w:pPr>
              <w:spacing w:after="0"/>
              <w:rPr>
                <w:sz w:val="1"/>
                <w:szCs w:val="1"/>
                <w:color w:val="auto"/>
              </w:rPr>
            </w:pPr>
          </w:p>
        </w:tc>
      </w:tr>
      <w:tr>
        <w:trPr>
          <w:trHeight w:val="4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DTC Participant:</w:t>
            </w:r>
          </w:p>
        </w:tc>
        <w:tc>
          <w:tcPr>
            <w:tcW w:w="77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_____________________________________________________________________________________</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DTC Number:</w:t>
            </w:r>
          </w:p>
        </w:tc>
        <w:tc>
          <w:tcPr>
            <w:tcW w:w="77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_____________________________________________________________________________________</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Account Number:</w:t>
            </w:r>
          </w:p>
        </w:tc>
        <w:tc>
          <w:tcPr>
            <w:tcW w:w="77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_____________________________________________________________________________________</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to issue the above indicated number of shares of</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Common Stock in accordance with the Transfer Agent Instructions dated , 20__ from the Company and acknowledged and agreed to by ___________________.</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 by and between Presto Automation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Remus Capital Series B II, L.P.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Subordinated Convertible Note, dated as of the date hereof, between the Company and the Buyer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Buyer hereby agrees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6(c).</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means, with respect to the Initial Registration Statement required to be filed hereunder, the 150th calendar day following the date hereof and with respect to any additional Registration Statements which may be required pursuant to Section 2(c) or Section 3(c), the 30th calendar day following the date on which an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SEC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the 90th calendar day following the Closing Date (as such term is defined in the Purchase Agreement), and (2)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SEC pursuant to the 1933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all Conversion Shares, and (b)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SEC under the 1933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 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SEC pursuant to the 1933 Act, as such Rule may be amended or interpreted from time to time, or any similar rule or regulation hereafter adopted by the SEC having substantially the same purpose and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SEC pursuant to the 1933 Act, as such Rule may be amended or interpreted from time to time, or any similar rule or regulation hereafter adopted by the SEC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SEC staff, or any comments, requirements or requests of the SEC staff and (ii) the 1933 Act.</w:t>
      </w:r>
    </w:p>
    <w:p>
      <w:pPr>
        <w:spacing w:after="0" w:line="158" w:lineRule="exact"/>
        <w:rPr>
          <w:sz w:val="20"/>
          <w:szCs w:val="20"/>
          <w:color w:val="auto"/>
        </w:rPr>
      </w:pPr>
    </w:p>
    <w:p>
      <w:pPr>
        <w:ind w:left="840" w:hanging="184"/>
        <w:spacing w:after="0"/>
        <w:tabs>
          <w:tab w:leader="none" w:pos="8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SHELF REGISTRATION.</w:t>
      </w:r>
    </w:p>
    <w:p>
      <w:pPr>
        <w:spacing w:after="0" w:line="229" w:lineRule="exact"/>
        <w:rPr>
          <w:rFonts w:ascii="Times New Roman" w:cs="Times New Roman" w:eastAsia="Times New Roman" w:hAnsi="Times New Roman"/>
          <w:sz w:val="18"/>
          <w:szCs w:val="18"/>
          <w:b w:val="1"/>
          <w:bCs w:val="1"/>
          <w:color w:val="auto"/>
        </w:rPr>
      </w:pPr>
    </w:p>
    <w:p>
      <w:pPr>
        <w:jc w:val="both"/>
        <w:ind w:left="660" w:firstLine="644"/>
        <w:spacing w:after="0" w:line="267" w:lineRule="auto"/>
        <w:tabs>
          <w:tab w:leader="none" w:pos="1553"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prior to each Filing Date, the Company shall prepare and file with the SEC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2(d)) and shall contain (unless otherwise directed by at least 50% in interest of the Holders) substantially the “</w:t>
      </w:r>
      <w:r>
        <w:rPr>
          <w:rFonts w:ascii="Times New Roman" w:cs="Times New Roman" w:eastAsia="Times New Roman" w:hAnsi="Times New Roman"/>
          <w:sz w:val="17"/>
          <w:szCs w:val="17"/>
          <w:u w:val="single" w:color="auto"/>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xml:space="preserve">” attached hereto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and substantially the “</w:t>
      </w:r>
      <w:r>
        <w:rPr>
          <w:rFonts w:ascii="Times New Roman" w:cs="Times New Roman" w:eastAsia="Times New Roman" w:hAnsi="Times New Roman"/>
          <w:sz w:val="17"/>
          <w:szCs w:val="17"/>
          <w:u w:val="single" w:color="auto"/>
          <w:color w:val="auto"/>
        </w:rPr>
        <w:t>Selling Stockholder</w:t>
      </w:r>
      <w:r>
        <w:rPr>
          <w:rFonts w:ascii="Times New Roman" w:cs="Times New Roman" w:eastAsia="Times New Roman" w:hAnsi="Times New Roman"/>
          <w:sz w:val="17"/>
          <w:szCs w:val="17"/>
          <w:color w:val="auto"/>
        </w:rPr>
        <w:t xml:space="preserve">” section attached hereto as </w:t>
      </w:r>
      <w:r>
        <w:rPr>
          <w:rFonts w:ascii="Times New Roman" w:cs="Times New Roman" w:eastAsia="Times New Roman" w:hAnsi="Times New Roman"/>
          <w:sz w:val="17"/>
          <w:szCs w:val="17"/>
          <w:u w:val="single" w:color="auto"/>
          <w:color w:val="auto"/>
        </w:rPr>
        <w:t>Annex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Holder shall be required to be named as an “underwriter” without such Holder’s express prior written consent. Subject to the terms of this Agreement, the Company shall use its reasonable best efforts to cause a Registration Statement filed under this Agreement (including, without limitation, under Section 3(c)) to be declared effective under the 1933 Act as promptly as possible after the filing thereof, but in any event no later than the applicable Effectiveness Date, and shall use its reasonable best efforts to keep such Registration Statement continuously effective under the 1933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7"/>
          <w:szCs w:val="17"/>
          <w:u w:val="single" w:color="auto"/>
          <w:color w:val="auto"/>
        </w:rPr>
        <w:t>Effectiveness Period</w:t>
      </w:r>
      <w:r>
        <w:rPr>
          <w:rFonts w:ascii="Times New Roman" w:cs="Times New Roman" w:eastAsia="Times New Roman" w:hAnsi="Times New Roman"/>
          <w:sz w:val="17"/>
          <w:szCs w:val="17"/>
          <w:color w:val="auto"/>
        </w:rPr>
        <w:t>”). The Company shall telephonically request effectiveness of a Registration Statement as of 5:00 p.m. (New York City time) on a Trading Day. The Company shall promptly notify the Holders via e-mail of the effectiveness of a Registration Statement on the same Trading Day that the Company telephonically confirms effectiveness with the SEC. The Company shall, by 9:30 a.m. (New York City time) on the Trading Day after the effective date of such Registration Statement, file a final Prospectus with the SEC as required by Rule 424. Failure to so notify the Holder within one (1) Trading Day of such notification of effectiveness or failure to file a final Prospectus as foresaid shall be deemed an Event under Section 2(d).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left="4" w:firstLine="644"/>
        <w:spacing w:after="0" w:line="254" w:lineRule="auto"/>
        <w:tabs>
          <w:tab w:leader="none" w:pos="9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SEC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SEC, covering the maximum number of Registrable Securities permitted to be registered by the SEC, on Form S-3 or such other form available to register for resale the Registrable Securities as a secondary offering; with respect to filing on Form S-3 or other appropriate form,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SEC for the registration of all of the Registrable Securities in accordance with the SEC Guidance, including without limitation, Compliance and Disclosure Interpretation 612.09.</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0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and subject to the payment of liquidated damages pursuant to Section 2(d), if the SEC or any SEC Guidance sets forth a limitation on the number of Registrable Securities permitted to be registered on a particular Registration Statement as a secondary offering (and notwithstanding that the Company used diligent efforts to advocate with the SEC for the registration of all or a greater portion of Registrable Securities), unless otherwise directed in writing by a Holder as to its Registrable Securities, the number of Registrable Securities to be registered on such Registration Statement will be reduced by the Company reducing or eliminating any securities to be included other than Registrable Securities.</w:t>
      </w:r>
    </w:p>
    <w:p>
      <w:pPr>
        <w:spacing w:after="0" w:line="187"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reasonable best efforts to file with the SEC, as promptly as allowed by SEC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83" w:lineRule="exact"/>
        <w:rPr>
          <w:sz w:val="20"/>
          <w:szCs w:val="20"/>
          <w:color w:val="auto"/>
        </w:rPr>
      </w:pPr>
    </w:p>
    <w:p>
      <w:pPr>
        <w:jc w:val="both"/>
        <w:ind w:left="4" w:firstLine="644"/>
        <w:spacing w:after="0" w:line="261" w:lineRule="auto"/>
        <w:tabs>
          <w:tab w:leader="none" w:pos="92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SEC.</w:t>
      </w:r>
    </w:p>
    <w:p>
      <w:pPr>
        <w:spacing w:after="0" w:line="179" w:lineRule="exact"/>
        <w:rPr>
          <w:rFonts w:ascii="Times New Roman" w:cs="Times New Roman" w:eastAsia="Times New Roman" w:hAnsi="Times New Roman"/>
          <w:sz w:val="18"/>
          <w:szCs w:val="18"/>
          <w:color w:val="auto"/>
        </w:rPr>
      </w:pPr>
    </w:p>
    <w:p>
      <w:pPr>
        <w:ind w:left="4" w:firstLine="644"/>
        <w:spacing w:after="0" w:line="282" w:lineRule="auto"/>
        <w:tabs>
          <w:tab w:leader="none" w:pos="92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5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REGISTRATION PROCEDURES.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4"/>
        <w:spacing w:after="0" w:line="253" w:lineRule="auto"/>
        <w:tabs>
          <w:tab w:leader="none" w:pos="90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three (3)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furnish to each Holder copies of all such documents proposed to be filed, which documents (other than those incorporated or deemed to be incorporated by reference) will be subject to the review of such Holders.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w:t>
      </w:r>
    </w:p>
    <w:p>
      <w:pPr>
        <w:spacing w:after="0" w:line="5"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less than two (2) Trading Days prior to the Filing Date or by the end of the second (2nd) Trading Day following the date on which such Holder receives draft materials in accordance with this Section.</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4" w:name="page35"/>
    <w:bookmarkEnd w:id="34"/>
    <w:p>
      <w:pPr>
        <w:jc w:val="both"/>
        <w:ind w:left="-460" w:firstLine="644"/>
        <w:spacing w:after="0" w:line="253" w:lineRule="auto"/>
        <w:tabs>
          <w:tab w:leader="none" w:pos="4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Prepare and file with the SEC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SEC such additional Registration Statements in order to register for resale under the 1933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SEC with respect to a Registration Statement or any amendment thereto and provide as promptly as reasonably possible to the Holders true and complete copies of all correspondence from and to the SEC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1933 Act and the 1934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39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clause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SEC notifies the Company whether there will be a “review” of such Registration Statement and whenever the SEC comments in writing on such Registration Statement, and (C) with respect to a Registration Statement or any post-effective amendment, when the same has become effective, (ii) of any request by the SEC or any other federal or state governmental authority for amendments or supplements to a Registration Statement or Prospectus or for additional information, (iii) of the issuance by the SEC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5" w:name="page36"/>
    <w:bookmarkEnd w:id="35"/>
    <w:p>
      <w:pPr>
        <w:jc w:val="both"/>
        <w:ind w:left="-460" w:firstLine="644"/>
        <w:spacing w:after="0" w:line="266" w:lineRule="auto"/>
        <w:tabs>
          <w:tab w:leader="none" w:pos="4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SEC, provided that any such item which is available on the EDGAR system (or successor thereto) need not be furnished in physical form.</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7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5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book entry notifications setting out the ownership of the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3(j) to suspend the availability of a Registration Statement and Prospectus for a period not to exceed an aggregate of 90 calendar days (which need not be consecutive days) in any 12- month period.</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6" w:name="page37"/>
    <w:bookmarkEnd w:id="36"/>
    <w:p>
      <w:pPr>
        <w:jc w:val="both"/>
        <w:ind w:left="4" w:firstLine="644"/>
        <w:spacing w:after="0" w:line="256" w:lineRule="auto"/>
        <w:tabs>
          <w:tab w:leader="none" w:pos="9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8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SEC,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REGISTRATION EXPENSES.</w:t>
      </w:r>
    </w:p>
    <w:p>
      <w:pPr>
        <w:spacing w:after="0" w:line="229"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SEC, (B) with respect to filings required to be made with any Eligible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1933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92" w:lineRule="exact"/>
        <w:rPr>
          <w:sz w:val="20"/>
          <w:szCs w:val="20"/>
          <w:color w:val="auto"/>
        </w:rPr>
      </w:pPr>
    </w:p>
    <w:p>
      <w:pPr>
        <w:ind w:left="184" w:hanging="184"/>
        <w:spacing w:after="0"/>
        <w:tabs>
          <w:tab w:leader="none" w:pos="18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INDEMNIFICATION.</w:t>
      </w:r>
    </w:p>
    <w:p>
      <w:pPr>
        <w:spacing w:after="0" w:line="229" w:lineRule="exact"/>
        <w:rPr>
          <w:rFonts w:ascii="Times New Roman" w:cs="Times New Roman" w:eastAsia="Times New Roman" w:hAnsi="Times New Roman"/>
          <w:sz w:val="18"/>
          <w:szCs w:val="18"/>
          <w:b w:val="1"/>
          <w:bCs w:val="1"/>
          <w:color w:val="auto"/>
        </w:rPr>
      </w:pPr>
    </w:p>
    <w:p>
      <w:pPr>
        <w:jc w:val="both"/>
        <w:ind w:left="4" w:firstLine="644"/>
        <w:spacing w:after="0" w:line="251" w:lineRule="auto"/>
        <w:tabs>
          <w:tab w:leader="none" w:pos="92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1933 Act or Section 20 of the 1934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“Losses”),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1933 Act, the 1934 Act or any state securities law, or any rule or regulation thereunder, in connection with the performance of its obligations under this Agreement, except to the extent, but only to the extent, that</w:t>
      </w:r>
    </w:p>
    <w:p>
      <w:pPr>
        <w:spacing w:after="0" w:line="11"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6(e).</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7" w:name="page38"/>
    <w:bookmarkEnd w:id="37"/>
    <w:p>
      <w:pPr>
        <w:jc w:val="both"/>
        <w:ind w:left="-460" w:firstLine="644"/>
        <w:spacing w:after="0" w:line="252" w:lineRule="auto"/>
        <w:tabs>
          <w:tab w:leader="none" w:pos="4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1933 Act and Section 20 of the 1934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“Indemnified Party”), such Indemnified Party shall promptly notify the Person from whom indemnity is sought (the “Indemnifying Party”)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8" w:name="page39"/>
    <w:bookmarkEnd w:id="3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thirty (30)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left="660" w:firstLine="644"/>
        <w:spacing w:after="0" w:line="253" w:lineRule="auto"/>
        <w:tabs>
          <w:tab w:leader="none" w:pos="15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184" w:hanging="184"/>
        <w:spacing w:after="0"/>
        <w:tabs>
          <w:tab w:leader="none" w:pos="18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MISCELLANEOUS.</w:t>
      </w:r>
    </w:p>
    <w:p>
      <w:pPr>
        <w:spacing w:after="0" w:line="229" w:lineRule="exact"/>
        <w:rPr>
          <w:rFonts w:ascii="Times New Roman" w:cs="Times New Roman" w:eastAsia="Times New Roman" w:hAnsi="Times New Roman"/>
          <w:sz w:val="18"/>
          <w:szCs w:val="18"/>
          <w:b w:val="1"/>
          <w:bCs w:val="1"/>
          <w:color w:val="auto"/>
        </w:rPr>
      </w:pPr>
    </w:p>
    <w:p>
      <w:pPr>
        <w:jc w:val="both"/>
        <w:ind w:left="4" w:firstLine="644"/>
        <w:spacing w:after="0" w:line="256" w:lineRule="auto"/>
        <w:tabs>
          <w:tab w:leader="none" w:pos="89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“Advice”)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2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6(c). No consideration shall be offered or paid to any Person to amend or consent to a waiver or modification of any provision of this Agreement unless the same consideration also is offered to all of the parties to this Agreement.</w:t>
      </w:r>
    </w:p>
    <w:p>
      <w:pPr>
        <w:spacing w:after="0" w:line="197" w:lineRule="exact"/>
        <w:rPr>
          <w:rFonts w:ascii="Times New Roman" w:cs="Times New Roman" w:eastAsia="Times New Roman" w:hAnsi="Times New Roman"/>
          <w:sz w:val="18"/>
          <w:szCs w:val="18"/>
          <w:color w:val="auto"/>
        </w:rPr>
      </w:pPr>
    </w:p>
    <w:p>
      <w:pPr>
        <w:ind w:left="4" w:firstLine="644"/>
        <w:spacing w:after="0" w:line="282" w:lineRule="auto"/>
        <w:tabs>
          <w:tab w:leader="none" w:pos="9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1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15 of the Purchase Agreement.</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3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40" w:name="page41"/>
    <w:bookmarkEnd w:id="40"/>
    <w:p>
      <w:pPr>
        <w:jc w:val="both"/>
        <w:ind w:left="-460" w:firstLine="644"/>
        <w:spacing w:after="0" w:line="258" w:lineRule="auto"/>
        <w:tabs>
          <w:tab w:leader="none" w:pos="4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applicable provisions of the Purchase Agreement.</w:t>
      </w:r>
    </w:p>
    <w:p>
      <w:pPr>
        <w:spacing w:after="0" w:line="161"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0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4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0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8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Interim Chief Executive Officer</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follows.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to Presto Automation Inc. RRA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Remus Capital Series B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John Tincoff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Authorized Signatory</w:t>
      </w:r>
    </w:p>
    <w:p>
      <w:pPr>
        <w:spacing w:after="0" w:line="205"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to Presto Automation Inc. RRA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1933 Act in connection with such sales. In such event, any commissions received by such broker-dealers or agents and any profit on the resale of the securities purchased by them may be deemed to be underwriting commissions or discounts under the 1933 Act. Each Selling Stockholder has informed the Company that it does not have any written or oral agreement or understanding, directly or indirectly, with any person to distribute the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1933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1933 Act or any other rule of similar effect or (ii) all of the securities have been sold pursuant to this prospectus or Rule 144 under the 1933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1934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1934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1933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issuable to the selling shareholders pursuant to the terms of certain of the Company’s promissory notes. For additional information regarding the issuances of those notes, see “Private Placement of Notes” above. We are registering the shares of common stock in order to permit the selling shareholders to offer the shares for resale from time to time. Except for the ownership of the notes, the selling shareholders have not had any material relationship with us within the past three years.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our shares of common stock by each of the selling shareholders. The second column lists the number of shares of common stock beneficially owned by each selling shareholder, based on its ownership of the notes, as of [●], 2024, assuming the conversion of the notes held by the selling shareholders on that date, without regard to any limitations on exercises.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maximum number of shares of common stock issuable pursuant to the notes, determined as if the notes were converted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conversion or exercise, as applicable, in the notes. The fourth column assumes the sale of all of the shares offered by the selling shareholders pursuant to this prospectus.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of Selling</w:t>
            </w:r>
          </w:p>
        </w:tc>
        <w:tc>
          <w:tcPr>
            <w:tcW w:w="2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Number of shares of</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Maximum Number of</w:t>
            </w:r>
          </w:p>
        </w:tc>
        <w:tc>
          <w:tcPr>
            <w:tcW w:w="3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Number of shares of</w:t>
            </w:r>
          </w:p>
        </w:tc>
      </w:tr>
      <w:tr>
        <w:trPr>
          <w:trHeight w:val="216"/>
        </w:trPr>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w:t>
            </w:r>
          </w:p>
        </w:tc>
        <w:tc>
          <w:tcPr>
            <w:tcW w:w="2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Common Stock</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shares of Common</w:t>
            </w:r>
          </w:p>
        </w:tc>
        <w:tc>
          <w:tcPr>
            <w:tcW w:w="3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 Stock Owned</w:t>
            </w:r>
          </w:p>
        </w:tc>
      </w:tr>
      <w:tr>
        <w:trPr>
          <w:trHeight w:val="216"/>
        </w:trPr>
        <w:tc>
          <w:tcPr>
            <w:tcW w:w="2100" w:type="dxa"/>
            <w:vAlign w:val="bottom"/>
          </w:tcPr>
          <w:p>
            <w:pPr>
              <w:spacing w:after="0"/>
              <w:rPr>
                <w:sz w:val="18"/>
                <w:szCs w:val="18"/>
                <w:color w:val="auto"/>
              </w:rPr>
            </w:pPr>
          </w:p>
        </w:tc>
        <w:tc>
          <w:tcPr>
            <w:tcW w:w="2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Owned Prior to</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Stock to be Sold</w:t>
            </w:r>
          </w:p>
        </w:tc>
        <w:tc>
          <w:tcPr>
            <w:tcW w:w="3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After Offering</w:t>
            </w:r>
          </w:p>
        </w:tc>
      </w:tr>
      <w:tr>
        <w:trPr>
          <w:trHeight w:val="216"/>
        </w:trPr>
        <w:tc>
          <w:tcPr>
            <w:tcW w:w="2100" w:type="dxa"/>
            <w:vAlign w:val="bottom"/>
          </w:tcPr>
          <w:p>
            <w:pPr>
              <w:spacing w:after="0"/>
              <w:rPr>
                <w:sz w:val="18"/>
                <w:szCs w:val="18"/>
                <w:color w:val="auto"/>
              </w:rPr>
            </w:pPr>
          </w:p>
        </w:tc>
        <w:tc>
          <w:tcPr>
            <w:tcW w:w="2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Offering</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Pursuant to this</w:t>
            </w:r>
          </w:p>
        </w:tc>
        <w:tc>
          <w:tcPr>
            <w:tcW w:w="3320" w:type="dxa"/>
            <w:vAlign w:val="bottom"/>
          </w:tcPr>
          <w:p>
            <w:pPr>
              <w:spacing w:after="0"/>
              <w:rPr>
                <w:sz w:val="18"/>
                <w:szCs w:val="18"/>
                <w:color w:val="auto"/>
              </w:rPr>
            </w:pPr>
          </w:p>
        </w:tc>
      </w:tr>
      <w:tr>
        <w:trPr>
          <w:trHeight w:val="234"/>
        </w:trPr>
        <w:tc>
          <w:tcPr>
            <w:tcW w:w="2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Prospectus</w:t>
            </w:r>
          </w:p>
        </w:tc>
        <w:tc>
          <w:tcPr>
            <w:tcW w:w="3320" w:type="dxa"/>
            <w:vAlign w:val="bottom"/>
          </w:tcPr>
          <w:p>
            <w:pPr>
              <w:spacing w:after="0"/>
              <w:rPr>
                <w:sz w:val="20"/>
                <w:szCs w:val="20"/>
                <w:color w:val="auto"/>
              </w:rPr>
            </w:pPr>
          </w:p>
        </w:tc>
      </w:tr>
      <w:tr>
        <w:trPr>
          <w:trHeight w:val="655"/>
        </w:trPr>
        <w:tc>
          <w:tcPr>
            <w:tcW w:w="2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15</w:t>
            </w: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Presto Automation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9"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1300" w:right="7660" w:hanging="968"/>
        <w:spacing w:after="0" w:line="500" w:lineRule="auto"/>
        <w:tabs>
          <w:tab w:leader="none" w:pos="6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 [●]</w:t>
      </w:r>
    </w:p>
    <w:p>
      <w:pPr>
        <w:spacing w:after="0" w:line="1" w:lineRule="exact"/>
        <w:rPr>
          <w:rFonts w:ascii="Times New Roman" w:cs="Times New Roman" w:eastAsia="Times New Roman" w:hAnsi="Times New Roman"/>
          <w:sz w:val="18"/>
          <w:szCs w:val="18"/>
          <w:color w:val="auto"/>
        </w:rPr>
      </w:pPr>
    </w:p>
    <w:p>
      <w:pPr>
        <w:ind w:left="1300" w:right="2300" w:hanging="968"/>
        <w:spacing w:after="0" w:line="500" w:lineRule="auto"/>
        <w:tabs>
          <w:tab w:leader="none" w:pos="6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 [●]</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right="7440" w:hanging="968"/>
        <w:spacing w:after="0" w:line="500" w:lineRule="auto"/>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to Selling Stockholder: Telephone: [●]</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Person: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 Status: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Are you a broker-dealer?</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184" w:lineRule="exact"/>
        <w:rPr>
          <w:rFonts w:ascii="Times New Roman" w:cs="Times New Roman" w:eastAsia="Times New Roman" w:hAnsi="Times New Roman"/>
          <w:sz w:val="18"/>
          <w:szCs w:val="18"/>
          <w:color w:val="auto"/>
        </w:rPr>
      </w:pPr>
    </w:p>
    <w:p>
      <w:pPr>
        <w:ind w:left="51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If “no” to Section 3(b), the SEC’s staff has indicated that you should be identified as an underwriter in the Registration Statement.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Are you an affiliate of a broker-dealer?</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left="66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If “no” to Section 3(d), the SEC’s staff has indicated that you should be identified as an underwriter in the Registration Statement.</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Securities of the Company Owned by the Selling Stockholder.</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Except as set forth below in this Item 4, the undersigned is not the beneficial or registered owner of any securities of the Company other than the securities issuable pursuant to the Purchase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Type and Amount of other securities beneficially owned by the Selling Stockholder:</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person or by its duly authorized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24942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EMAIL A COPY OF THE COMPLETED AND EXECUTED NOTICE AND QUESTIONNAIRE 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decimal"/>
      <w:start w:val="104"/>
    </w:lvl>
  </w:abstractNum>
  <w:abstractNum w:abstractNumId="10">
    <w:nsid w:val="77465F01"/>
    <w:multiLevelType w:val="hybridMultilevel"/>
    <w:lvl w:ilvl="0">
      <w:lvlJc w:val="left"/>
      <w:lvlText w:val="%1."/>
      <w:numFmt w:val="decimal"/>
      <w:start w:val="1"/>
    </w:lvl>
    <w:lvl w:ilvl="1">
      <w:lvlJc w:val="left"/>
      <w:lvlText w:val="(%2)"/>
      <w:numFmt w:val="lowerLetter"/>
      <w:start w:val="1"/>
    </w:lvl>
  </w:abstractNum>
  <w:abstractNum w:abstractNumId="11">
    <w:nsid w:val="7724C67E"/>
    <w:multiLevelType w:val="hybridMultilevel"/>
    <w:lvl w:ilvl="0">
      <w:lvlJc w:val="left"/>
      <w:lvlText w:val="%1."/>
      <w:numFmt w:val="decimal"/>
      <w:start w:val="2"/>
    </w:lvl>
    <w:lvl w:ilvl="1">
      <w:lvlJc w:val="left"/>
      <w:lvlText w:val="(%2)"/>
      <w:numFmt w:val="lowerLetter"/>
      <w:start w:val="1"/>
    </w:lvl>
  </w:abstractNum>
  <w:abstractNum w:abstractNumId="12">
    <w:nsid w:val="5C482A97"/>
    <w:multiLevelType w:val="hybridMultilevel"/>
    <w:lvl w:ilvl="0">
      <w:lvlJc w:val="left"/>
      <w:lvlText w:val="(%1)"/>
      <w:numFmt w:val="lowerLetter"/>
      <w:start w:val="1"/>
    </w:lvl>
    <w:lvl w:ilvl="1">
      <w:lvlJc w:val="left"/>
      <w:lvlText w:val="(%2)"/>
      <w:numFmt w:val="lowerRoman"/>
      <w:start w:val="1"/>
    </w:lvl>
  </w:abstractNum>
  <w:abstractNum w:abstractNumId="13">
    <w:nsid w:val="2463B9EA"/>
    <w:multiLevelType w:val="hybridMultilevel"/>
    <w:lvl w:ilvl="0">
      <w:lvlJc w:val="left"/>
      <w:lvlText w:val="(%1)"/>
      <w:numFmt w:val="lowerLetter"/>
      <w:start w:val="3"/>
    </w:lvl>
    <w:lvl w:ilvl="1">
      <w:lvlJc w:val="left"/>
      <w:lvlText w:val="(%2)"/>
      <w:numFmt w:val="lowerRoman"/>
      <w:start w:val="1"/>
    </w:lvl>
  </w:abstractNum>
  <w:abstractNum w:abstractNumId="14">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5">
    <w:nsid w:val="51EAD36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6">
    <w:nsid w:val="2D517796"/>
    <w:multiLevelType w:val="hybridMultilevel"/>
    <w:lvl w:ilvl="0">
      <w:lvlJc w:val="left"/>
      <w:lvlText w:val="(%1)"/>
      <w:numFmt w:val="lowerRoman"/>
      <w:start w:val="2"/>
    </w:lvl>
  </w:abstractNum>
  <w:abstractNum w:abstractNumId="17">
    <w:nsid w:val="580BD78F"/>
    <w:multiLevelType w:val="hybridMultilevel"/>
    <w:lvl w:ilvl="0">
      <w:lvlJc w:val="left"/>
      <w:lvlText w:val="%1"/>
      <w:numFmt w:val="lowerLetter"/>
      <w:start w:val="1"/>
    </w:lvl>
    <w:lvl w:ilvl="1">
      <w:lvlJc w:val="left"/>
      <w:lvlText w:val="(%2)"/>
      <w:numFmt w:val="lowerRoman"/>
      <w:start w:val="9"/>
    </w:lvl>
  </w:abstractNum>
  <w:abstractNum w:abstractNumId="18">
    <w:nsid w:val="153EA438"/>
    <w:multiLevelType w:val="hybridMultilevel"/>
    <w:lvl w:ilvl="0">
      <w:lvlJc w:val="left"/>
      <w:lvlText w:val="(%1)"/>
      <w:numFmt w:val="lowerLetter"/>
      <w:start w:val="2"/>
    </w:lvl>
    <w:lvl w:ilvl="1">
      <w:lvlJc w:val="left"/>
      <w:lvlText w:val="%2"/>
      <w:numFmt w:val="lowerRoman"/>
      <w:start w:val="1"/>
    </w:lvl>
  </w:abstractNum>
  <w:abstractNum w:abstractNumId="19">
    <w:nsid w:val="3855585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0">
    <w:nsid w:val="70A64E2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1">
    <w:nsid w:val="6A2342EC"/>
    <w:multiLevelType w:val="hybridMultilevel"/>
    <w:lvl w:ilvl="0">
      <w:lvlJc w:val="left"/>
      <w:lvlText w:val="%1"/>
      <w:numFmt w:val="decimal"/>
      <w:start w:val="1"/>
    </w:lvl>
    <w:lvl w:ilvl="1">
      <w:lvlJc w:val="left"/>
      <w:lvlText w:val="(%2)"/>
      <w:numFmt w:val="lowerLetter"/>
      <w:start w:val="3"/>
    </w:lvl>
  </w:abstractNum>
  <w:abstractNum w:abstractNumId="22">
    <w:nsid w:val="2A487CB0"/>
    <w:multiLevelType w:val="hybridMultilevel"/>
    <w:lvl w:ilvl="0">
      <w:lvlJc w:val="left"/>
      <w:lvlText w:val="%1."/>
      <w:numFmt w:val="decimal"/>
      <w:start w:val="6"/>
    </w:lvl>
    <w:lvl w:ilvl="1">
      <w:lvlJc w:val="left"/>
      <w:lvlText w:val="(%2)"/>
      <w:numFmt w:val="lowerLetter"/>
      <w:start w:val="1"/>
    </w:lvl>
  </w:abstractNum>
  <w:abstractNum w:abstractNumId="23">
    <w:nsid w:val="1D4ED43B"/>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24">
    <w:nsid w:val="725A06FB"/>
    <w:multiLevelType w:val="hybridMultilevel"/>
    <w:lvl w:ilvl="0">
      <w:lvlJc w:val="left"/>
      <w:lvlText w:val="(%1)"/>
      <w:numFmt w:val="lowerRoman"/>
      <w:start w:val="2"/>
    </w:lvl>
    <w:lvl w:ilvl="1">
      <w:lvlJc w:val="left"/>
      <w:lvlText w:val="(%2)"/>
      <w:numFmt w:val="upperLetter"/>
      <w:start w:val="1"/>
    </w:lvl>
  </w:abstractNum>
  <w:abstractNum w:abstractNumId="25">
    <w:nsid w:val="2CD89A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26">
    <w:nsid w:val="57E4CCAF"/>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7">
    <w:nsid w:val="7A6D8D3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
    <w:nsid w:val="4B588F54"/>
    <w:multiLevelType w:val="hybridMultilevel"/>
    <w:lvl w:ilvl="0">
      <w:lvlJc w:val="left"/>
      <w:lvlText w:val="%1"/>
      <w:numFmt w:val="decimal"/>
      <w:start w:val="1"/>
    </w:lvl>
    <w:lvl w:ilvl="1">
      <w:lvlJc w:val="left"/>
      <w:lvlText w:val="(%2)"/>
      <w:numFmt w:val="lowerLetter"/>
      <w:start w:val="3"/>
    </w:lvl>
  </w:abstractNum>
  <w:abstractNum w:abstractNumId="29">
    <w:nsid w:val="542289EC"/>
    <w:multiLevelType w:val="hybridMultilevel"/>
    <w:lvl w:ilvl="0">
      <w:lvlJc w:val="left"/>
      <w:lvlText w:val="%1."/>
      <w:numFmt w:val="decimal"/>
      <w:start w:val="12"/>
    </w:lvl>
    <w:lvl w:ilvl="1">
      <w:lvlJc w:val="left"/>
      <w:lvlText w:val="%2"/>
      <w:numFmt w:val="lowerLetter"/>
      <w:start w:val="1"/>
    </w:lvl>
  </w:abstractNum>
  <w:abstractNum w:abstractNumId="30">
    <w:nsid w:val="6DE91B18"/>
    <w:multiLevelType w:val="hybridMultilevel"/>
    <w:lvl w:ilvl="0">
      <w:lvlJc w:val="left"/>
      <w:lvlText w:val="%1."/>
      <w:numFmt w:val="decimal"/>
      <w:start w:val="16"/>
    </w:lvl>
    <w:lvl w:ilvl="1">
      <w:lvlJc w:val="left"/>
      <w:lvlText w:val="(%2)"/>
      <w:numFmt w:val="lowerLetter"/>
      <w:start w:val="1"/>
    </w:lvl>
  </w:abstractNum>
  <w:abstractNum w:abstractNumId="31">
    <w:nsid w:val="38437FDB"/>
    <w:multiLevelType w:val="hybridMultilevel"/>
    <w:lvl w:ilvl="0">
      <w:lvlJc w:val="left"/>
      <w:lvlText w:val="%1."/>
      <w:numFmt w:val="decimal"/>
      <w:start w:val="21"/>
    </w:lvl>
    <w:lvl w:ilvl="1">
      <w:lvlJc w:val="left"/>
      <w:lvlText w:val="(%2)"/>
      <w:numFmt w:val="lowerLetter"/>
      <w:start w:val="1"/>
    </w:lvl>
  </w:abstractNum>
  <w:abstractNum w:abstractNumId="32">
    <w:nsid w:val="7644A45C"/>
    <w:multiLevelType w:val="hybridMultilevel"/>
    <w:lvl w:ilvl="0">
      <w:lvlJc w:val="left"/>
      <w:lvlText w:val="%1"/>
      <w:numFmt w:val="decimal"/>
      <w:start w:val="1"/>
    </w:lvl>
    <w:lvl w:ilvl="1">
      <w:lvlJc w:val="left"/>
      <w:lvlText w:val="(%2)"/>
      <w:numFmt w:val="lowerLetter"/>
      <w:start w:val="2"/>
    </w:lvl>
  </w:abstractNum>
  <w:abstractNum w:abstractNumId="33">
    <w:nsid w:val="32FFF902"/>
    <w:multiLevelType w:val="hybridMultilevel"/>
    <w:lvl w:ilvl="0">
      <w:lvlJc w:val="left"/>
      <w:lvlText w:val="%1."/>
      <w:numFmt w:val="decimal"/>
      <w:start w:val="22"/>
    </w:lvl>
    <w:lvl w:ilvl="1">
      <w:lvlJc w:val="left"/>
      <w:lvlText w:val="%2"/>
      <w:numFmt w:val="lowerLetter"/>
      <w:start w:val="1"/>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11"/>
    </w:lvl>
  </w:abstractNum>
  <w:abstractNum w:abstractNumId="37">
    <w:nsid w:val="3DC240FB"/>
    <w:multiLevelType w:val="hybridMultilevel"/>
    <w:lvl w:ilvl="0">
      <w:lvlJc w:val="left"/>
      <w:lvlText w:val="(%1)"/>
      <w:numFmt w:val="lowerLetter"/>
      <w:start w:val="27"/>
    </w:lvl>
  </w:abstractNum>
  <w:abstractNum w:abstractNumId="38">
    <w:nsid w:val="1BA026FA"/>
    <w:multiLevelType w:val="hybridMultilevel"/>
    <w:lvl w:ilvl="0">
      <w:lvlJc w:val="left"/>
      <w:lvlText w:val="(%1)"/>
      <w:numFmt w:val="lowerLetter"/>
      <w:start w:val="28"/>
    </w:lvl>
  </w:abstractNum>
  <w:abstractNum w:abstractNumId="39">
    <w:nsid w:val="79A1DEAA"/>
    <w:multiLevelType w:val="hybridMultilevel"/>
    <w:lvl w:ilvl="0">
      <w:lvlJc w:val="left"/>
      <w:lvlText w:val="(%1)"/>
      <w:numFmt w:val="lowerLetter"/>
      <w:start w:val="37"/>
    </w:lvl>
  </w:abstractNum>
  <w:abstractNum w:abstractNumId="40">
    <w:nsid w:val="75C6C33A"/>
    <w:multiLevelType w:val="hybridMultilevel"/>
    <w:lvl w:ilvl="0">
      <w:lvlJc w:val="left"/>
      <w:lvlText w:val="%1."/>
      <w:numFmt w:val="decimal"/>
      <w:start w:val="2"/>
    </w:lvl>
    <w:lvl w:ilvl="1">
      <w:lvlJc w:val="left"/>
      <w:lvlText w:val="(%2)"/>
      <w:numFmt w:val="lowerLetter"/>
      <w:start w:val="1"/>
    </w:lvl>
  </w:abstractNum>
  <w:abstractNum w:abstractNumId="41">
    <w:nsid w:val="12E685FB"/>
    <w:multiLevelType w:val="hybridMultilevel"/>
    <w:lvl w:ilvl="0">
      <w:lvlJc w:val="left"/>
      <w:lvlText w:val="(%1)"/>
      <w:numFmt w:val="lowerLetter"/>
      <w:start w:val="2"/>
    </w:lvl>
  </w:abstractNum>
  <w:abstractNum w:abstractNumId="42">
    <w:nsid w:val="70C6A529"/>
    <w:multiLevelType w:val="hybridMultilevel"/>
    <w:lvl w:ilvl="0">
      <w:lvlJc w:val="left"/>
      <w:lvlText w:val="%1"/>
      <w:numFmt w:val="decimal"/>
      <w:start w:val="1"/>
    </w:lvl>
    <w:lvl w:ilvl="1">
      <w:lvlJc w:val="left"/>
      <w:lvlText w:val="(%2)"/>
      <w:numFmt w:val="lowerLetter"/>
      <w:start w:val="4"/>
    </w:lvl>
  </w:abstractNum>
  <w:abstractNum w:abstractNumId="43">
    <w:nsid w:val="520EEDD1"/>
    <w:multiLevelType w:val="hybridMultilevel"/>
    <w:lvl w:ilvl="0">
      <w:lvlJc w:val="left"/>
      <w:lvlText w:val="%1."/>
      <w:numFmt w:val="decimal"/>
      <w:start w:val="3"/>
    </w:lvl>
    <w:lvl w:ilvl="1">
      <w:lvlJc w:val="left"/>
      <w:lvlText w:val="%2"/>
      <w:numFmt w:val="lowerLetter"/>
      <w:start w:val="1"/>
    </w:lvl>
  </w:abstractNum>
  <w:abstractNum w:abstractNumId="44">
    <w:nsid w:val="374A3FE6"/>
    <w:multiLevelType w:val="hybridMultilevel"/>
    <w:lvl w:ilvl="0">
      <w:lvlJc w:val="left"/>
      <w:lvlText w:val="%1"/>
      <w:numFmt w:val="decimal"/>
      <w:start w:val="1"/>
    </w:lvl>
    <w:lvl w:ilvl="1">
      <w:lvlJc w:val="left"/>
      <w:lvlText w:val="(%2)"/>
      <w:numFmt w:val="lowerLetter"/>
      <w:start w:val="1"/>
    </w:lvl>
  </w:abstractNum>
  <w:abstractNum w:abstractNumId="45">
    <w:nsid w:val="4F4EF005"/>
    <w:multiLevelType w:val="hybridMultilevel"/>
    <w:lvl w:ilvl="0">
      <w:lvlJc w:val="left"/>
      <w:lvlText w:val="(%1)"/>
      <w:numFmt w:val="decimal"/>
      <w:start w:val="2"/>
    </w:lvl>
    <w:lvl w:ilvl="1">
      <w:lvlJc w:val="left"/>
      <w:lvlText w:val="%2"/>
      <w:numFmt w:val="lowerLetter"/>
      <w:start w:val="1"/>
    </w:lvl>
  </w:abstractNum>
  <w:abstractNum w:abstractNumId="46">
    <w:nsid w:val="23F9C13C"/>
    <w:multiLevelType w:val="hybridMultilevel"/>
    <w:lvl w:ilvl="0">
      <w:lvlJc w:val="left"/>
      <w:lvlText w:val="(%1)"/>
      <w:numFmt w:val="lowerLetter"/>
      <w:start w:val="2"/>
    </w:lvl>
  </w:abstractNum>
  <w:abstractNum w:abstractNumId="47">
    <w:nsid w:val="649BB77C"/>
    <w:multiLevelType w:val="hybridMultilevel"/>
    <w:lvl w:ilvl="0">
      <w:lvlJc w:val="left"/>
      <w:lvlText w:val="(%1)"/>
      <w:numFmt w:val="lowerLetter"/>
      <w:start w:val="5"/>
    </w:lvl>
  </w:abstractNum>
  <w:abstractNum w:abstractNumId="48">
    <w:nsid w:val="275AC794"/>
    <w:multiLevelType w:val="hybridMultilevel"/>
    <w:lvl w:ilvl="0">
      <w:lvlJc w:val="left"/>
      <w:lvlText w:val="(%1)"/>
      <w:numFmt w:val="lowerLetter"/>
      <w:start w:val="11"/>
    </w:lvl>
  </w:abstractNum>
  <w:abstractNum w:abstractNumId="49">
    <w:nsid w:val="39386575"/>
    <w:multiLevelType w:val="hybridMultilevel"/>
    <w:lvl w:ilvl="0">
      <w:lvlJc w:val="left"/>
      <w:lvlText w:val="%1."/>
      <w:numFmt w:val="decimal"/>
      <w:start w:val="5"/>
    </w:lvl>
    <w:lvl w:ilvl="1">
      <w:lvlJc w:val="left"/>
      <w:lvlText w:val="(%2)"/>
      <w:numFmt w:val="lowerLetter"/>
      <w:start w:val="1"/>
    </w:lvl>
  </w:abstractNum>
  <w:abstractNum w:abstractNumId="50">
    <w:nsid w:val="1CF10FD8"/>
    <w:multiLevelType w:val="hybridMultilevel"/>
    <w:lvl w:ilvl="0">
      <w:lvlJc w:val="left"/>
      <w:lvlText w:val="(%1)"/>
      <w:numFmt w:val="lowerLetter"/>
      <w:start w:val="2"/>
    </w:lvl>
  </w:abstractNum>
  <w:abstractNum w:abstractNumId="51">
    <w:nsid w:val="180115BE"/>
    <w:multiLevelType w:val="hybridMultilevel"/>
    <w:lvl w:ilvl="0">
      <w:lvlJc w:val="left"/>
      <w:lvlText w:val="(%1)"/>
      <w:numFmt w:val="lowerLetter"/>
      <w:start w:val="4"/>
    </w:lvl>
  </w:abstractNum>
  <w:abstractNum w:abstractNumId="52">
    <w:nsid w:val="235BA861"/>
    <w:multiLevelType w:val="hybridMultilevel"/>
    <w:lvl w:ilvl="0">
      <w:lvlJc w:val="left"/>
      <w:lvlText w:val="%1."/>
      <w:numFmt w:val="decimal"/>
      <w:start w:val="6"/>
    </w:lvl>
    <w:lvl w:ilvl="1">
      <w:lvlJc w:val="left"/>
      <w:lvlText w:val="(%2)"/>
      <w:numFmt w:val="lowerLetter"/>
      <w:start w:val="1"/>
    </w:lvl>
  </w:abstractNum>
  <w:abstractNum w:abstractNumId="53">
    <w:nsid w:val="47398C89"/>
    <w:multiLevelType w:val="hybridMultilevel"/>
    <w:lvl w:ilvl="0">
      <w:lvlJc w:val="left"/>
      <w:lvlText w:val="(%1)"/>
      <w:numFmt w:val="lowerLetter"/>
      <w:start w:val="7"/>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2"/>
    </w:lvl>
  </w:abstractNum>
  <w:abstractNum w:abstractNumId="58">
    <w:nsid w:val="10233C99"/>
    <w:multiLevelType w:val="hybridMultilevel"/>
    <w:lvl w:ilvl="0">
      <w:lvlJc w:val="left"/>
      <w:lvlText w:val="%1."/>
      <w:numFmt w:val="decimal"/>
      <w:start w:val="3"/>
    </w:lvl>
  </w:abstractNum>
  <w:abstractNum w:abstractNumId="59">
    <w:nsid w:val="3F6AB60F"/>
    <w:multiLevelType w:val="hybridMultilevel"/>
    <w:lvl w:ilvl="0">
      <w:lvlJc w:val="left"/>
      <w:lvlText w:val="(%1)"/>
      <w:numFmt w:val="lowerLetter"/>
      <w:start w:val="2"/>
    </w:lvl>
  </w:abstractNum>
  <w:abstractNum w:abstractNumId="60">
    <w:nsid w:val="61574095"/>
    <w:multiLevelType w:val="hybridMultilevel"/>
    <w:lvl w:ilvl="0">
      <w:lvlJc w:val="left"/>
      <w:lvlText w:val="(%1)"/>
      <w:numFmt w:val="lowerLetter"/>
      <w:start w:val="4"/>
    </w:lvl>
  </w:abstractNum>
  <w:abstractNum w:abstractNumId="61">
    <w:nsid w:val="7E0C57B1"/>
    <w:multiLevelType w:val="hybridMultilevel"/>
    <w:lvl w:ilvl="0">
      <w:lvlJc w:val="left"/>
      <w:lvlText w:val="%1."/>
      <w:numFmt w:val="decimal"/>
      <w:start w:val="4"/>
    </w:lvl>
  </w:abstractNum>
  <w:abstractNum w:abstractNumId="62">
    <w:nsid w:val="77AE35E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2024-08-12T05:21:32Z</dcterms:created>
  <dcterms:modified xsi:type="dcterms:W3CDTF">2024-08-12T05:21:32Z</dcterms:modified>
</cp:coreProperties>
</file>