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23,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422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Ventoux CCM Acquisition Corp. (the “Company”)</w:t>
            </w:r>
          </w:p>
        </w:tc>
      </w:tr>
      <w:tr>
        <w:trPr>
          <w:trHeight w:val="216"/>
        </w:trPr>
        <w:tc>
          <w:tcPr>
            <w:tcW w:w="48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Registration Statement on Form S-1</w:t>
            </w:r>
          </w:p>
        </w:tc>
      </w:tr>
      <w:tr>
        <w:trPr>
          <w:trHeight w:val="194"/>
        </w:trPr>
        <w:tc>
          <w:tcPr>
            <w:tcW w:w="480" w:type="dxa"/>
            <w:vAlign w:val="bottom"/>
          </w:tcPr>
          <w:p>
            <w:pPr>
              <w:spacing w:after="0"/>
              <w:rPr>
                <w:sz w:val="16"/>
                <w:szCs w:val="16"/>
                <w:color w:val="auto"/>
              </w:rPr>
            </w:pPr>
          </w:p>
        </w:tc>
        <w:tc>
          <w:tcPr>
            <w:tcW w:w="422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w w:val="90"/>
              </w:rPr>
              <w:t>(File No. 333-251048) (the “Registration Statement”)</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hereby requests, pursuant to Rule 461 promulgated under the Securities Act of 1933, as amended, acceleration of effectiveness of the Registration Statement so that such Registration Statement will become effective as of 4:00 p.m., Eastern Time, on December 23, 2020, or as soon thereafter as practicable.</w:t>
      </w:r>
    </w:p>
    <w:p>
      <w:pPr>
        <w:spacing w:after="0" w:line="18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jc w:val="both"/>
        <w:ind w:left="1620" w:hanging="316"/>
        <w:spacing w:after="0" w:line="263"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183"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left="5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74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Acceleration Request:</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333-251048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2021-08-15T20:20:35Z</dcterms:created>
  <dcterms:modified xsi:type="dcterms:W3CDTF">2021-08-15T20:20:35Z</dcterms:modified>
</cp:coreProperties>
</file>