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72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2120"/>
                    </a:xfrm>
                    <a:prstGeom prst="rect">
                      <a:avLst/>
                    </a:prstGeom>
                    <a:noFill/>
                  </pic:spPr>
                </pic:pic>
              </a:graphicData>
            </a:graphic>
          </wp:anchor>
        </w:drawing>
      </w:r>
    </w:p>
    <w:p>
      <w:pPr>
        <w:spacing w:after="0" w:line="88"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Ventoux Acquisition Holdings LLC</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520"/>
        <w:spacing w:after="0" w:line="451" w:lineRule="auto"/>
        <w:rPr>
          <w:sz w:val="20"/>
          <w:szCs w:val="20"/>
          <w:color w:val="auto"/>
        </w:rPr>
      </w:pPr>
      <w:r>
        <w:rPr>
          <w:rFonts w:ascii="Arial" w:cs="Arial" w:eastAsia="Arial" w:hAnsi="Arial"/>
          <w:sz w:val="14"/>
          <w:szCs w:val="14"/>
          <w:color w:val="0000FF"/>
        </w:rPr>
        <w:t>C/O VENTOUX CCM ACQUISITION CORP. 1 EAST PUTNAM AVENUE, FLOOR 4</w:t>
      </w:r>
    </w:p>
    <w:p>
      <w:pPr>
        <w:spacing w:after="0" w:line="129"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GREENWICH</w:t>
            </w:r>
          </w:p>
        </w:tc>
        <w:tc>
          <w:tcPr>
            <w:tcW w:w="920" w:type="dxa"/>
            <w:vAlign w:val="bottom"/>
          </w:tcPr>
          <w:p>
            <w:pPr>
              <w:ind w:left="120"/>
              <w:spacing w:after="0"/>
              <w:rPr>
                <w:sz w:val="20"/>
                <w:szCs w:val="20"/>
                <w:color w:val="auto"/>
              </w:rPr>
            </w:pPr>
            <w:r>
              <w:rPr>
                <w:rFonts w:ascii="Arial" w:cs="Arial" w:eastAsia="Arial" w:hAnsi="Arial"/>
                <w:sz w:val="17"/>
                <w:szCs w:val="17"/>
                <w:color w:val="0000FF"/>
              </w:rPr>
              <w:t>CT</w:t>
            </w:r>
          </w:p>
        </w:tc>
        <w:tc>
          <w:tcPr>
            <w:tcW w:w="1620" w:type="dxa"/>
            <w:vAlign w:val="bottom"/>
          </w:tcPr>
          <w:p>
            <w:pPr>
              <w:ind w:left="420"/>
              <w:spacing w:after="0"/>
              <w:rPr>
                <w:sz w:val="20"/>
                <w:szCs w:val="20"/>
                <w:color w:val="auto"/>
              </w:rPr>
            </w:pPr>
            <w:r>
              <w:rPr>
                <w:rFonts w:ascii="Arial" w:cs="Arial" w:eastAsia="Arial" w:hAnsi="Arial"/>
                <w:sz w:val="17"/>
                <w:szCs w:val="17"/>
                <w:color w:val="0000FF"/>
              </w:rPr>
              <w:t>06830</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2"/>
          </w:tcPr>
          <w:p>
            <w:pPr>
              <w:ind w:left="80"/>
              <w:spacing w:after="0" w:line="136"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Ventoux CCM Acquisition Corp.</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VTAQU</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620" w:type="dxa"/>
            <w:vAlign w:val="bottom"/>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10"/>
        </w:trPr>
        <w:tc>
          <w:tcPr>
            <w:tcW w:w="20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20" w:type="dxa"/>
            <w:vAlign w:val="bottom"/>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0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ind w:left="400"/>
              <w:spacing w:after="0" w:line="119" w:lineRule="exact"/>
              <w:rPr>
                <w:sz w:val="20"/>
                <w:szCs w:val="20"/>
                <w:color w:val="auto"/>
              </w:rPr>
            </w:pPr>
            <w:r>
              <w:rPr>
                <w:rFonts w:ascii="Arial" w:cs="Arial" w:eastAsia="Arial" w:hAnsi="Arial"/>
                <w:sz w:val="13"/>
                <w:szCs w:val="13"/>
                <w:color w:val="auto"/>
              </w:rPr>
              <w:t>below)</w:t>
            </w:r>
          </w:p>
        </w:tc>
        <w:tc>
          <w:tcPr>
            <w:tcW w:w="1620" w:type="dxa"/>
            <w:vAlign w:val="bottom"/>
          </w:tcPr>
          <w:p>
            <w:pPr>
              <w:ind w:left="50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9"/>
        </w:trPr>
        <w:tc>
          <w:tcPr>
            <w:tcW w:w="3840" w:type="dxa"/>
            <w:vAlign w:val="bottom"/>
            <w:gridSpan w:val="2"/>
          </w:tcPr>
          <w:p>
            <w:pPr>
              <w:ind w:left="80"/>
              <w:spacing w:after="0"/>
              <w:rPr>
                <w:sz w:val="20"/>
                <w:szCs w:val="20"/>
                <w:color w:val="auto"/>
              </w:rPr>
            </w:pPr>
            <w:r>
              <w:rPr>
                <w:rFonts w:ascii="Arial" w:cs="Arial" w:eastAsia="Arial" w:hAnsi="Arial"/>
                <w:sz w:val="17"/>
                <w:szCs w:val="17"/>
                <w:color w:val="0000FF"/>
              </w:rPr>
              <w:t>01/05/2021</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253365</wp:posOffset>
            </wp:positionV>
            <wp:extent cx="6969760" cy="864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864870"/>
                    </a:xfrm>
                    <a:prstGeom prst="rect">
                      <a:avLst/>
                    </a:prstGeom>
                    <a:noFill/>
                  </pic:spPr>
                </pic:pic>
              </a:graphicData>
            </a:graphic>
          </wp:anchor>
        </w:drawing>
      </w:r>
    </w:p>
    <w:p>
      <w:pPr>
        <w:spacing w:after="0" w:line="457"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034530" cy="1916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91643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680" w:type="dxa"/>
            <w:vAlign w:val="bottom"/>
          </w:tcPr>
          <w:p>
            <w:pPr>
              <w:ind w:left="60"/>
              <w:spacing w:after="0"/>
              <w:rPr>
                <w:sz w:val="20"/>
                <w:szCs w:val="20"/>
                <w:color w:val="auto"/>
              </w:rPr>
            </w:pPr>
            <w:r>
              <w:rPr>
                <w:rFonts w:ascii="Arial" w:cs="Arial" w:eastAsia="Arial" w:hAnsi="Arial"/>
                <w:sz w:val="13"/>
                <w:szCs w:val="13"/>
                <w:color w:val="0000FF"/>
              </w:rPr>
              <w:t>Warrants</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to</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right"/>
              <w:ind w:right="224"/>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450,000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80" w:type="dxa"/>
            <w:vAlign w:val="bottom"/>
          </w:tcPr>
          <w:p>
            <w:pPr>
              <w:ind w:left="60"/>
              <w:spacing w:after="0" w:line="124" w:lineRule="exact"/>
              <w:rPr>
                <w:sz w:val="20"/>
                <w:szCs w:val="20"/>
                <w:color w:val="auto"/>
              </w:rPr>
            </w:pPr>
            <w:r>
              <w:rPr>
                <w:rFonts w:ascii="Arial" w:cs="Arial" w:eastAsia="Arial" w:hAnsi="Arial"/>
                <w:sz w:val="13"/>
                <w:szCs w:val="13"/>
                <w:color w:val="0000FF"/>
              </w:rPr>
              <w:t>purchase</w:t>
            </w:r>
          </w:p>
        </w:tc>
        <w:tc>
          <w:tcPr>
            <w:tcW w:w="760" w:type="dxa"/>
            <w:vAlign w:val="bottom"/>
          </w:tcPr>
          <w:p>
            <w:pPr>
              <w:ind w:left="24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11.5</w:t>
            </w:r>
          </w:p>
        </w:tc>
        <w:tc>
          <w:tcPr>
            <w:tcW w:w="1080" w:type="dxa"/>
            <w:vAlign w:val="bottom"/>
          </w:tcPr>
          <w:p>
            <w:pPr>
              <w:jc w:val="right"/>
              <w:ind w:right="181"/>
              <w:spacing w:after="0" w:line="124" w:lineRule="exact"/>
              <w:rPr>
                <w:sz w:val="20"/>
                <w:szCs w:val="20"/>
                <w:color w:val="auto"/>
              </w:rPr>
            </w:pPr>
            <w:r>
              <w:rPr>
                <w:rFonts w:ascii="Arial" w:cs="Arial" w:eastAsia="Arial" w:hAnsi="Arial"/>
                <w:sz w:val="13"/>
                <w:szCs w:val="13"/>
                <w:color w:val="0000FF"/>
              </w:rPr>
              <w:t>01/05/2021</w:t>
            </w:r>
          </w:p>
        </w:tc>
        <w:tc>
          <w:tcPr>
            <w:tcW w:w="1060" w:type="dxa"/>
            <w:vAlign w:val="bottom"/>
          </w:tcPr>
          <w:p>
            <w:pPr>
              <w:spacing w:after="0"/>
              <w:rPr>
                <w:sz w:val="10"/>
                <w:szCs w:val="10"/>
                <w:color w:val="auto"/>
              </w:rPr>
            </w:pPr>
          </w:p>
        </w:tc>
        <w:tc>
          <w:tcPr>
            <w:tcW w:w="800" w:type="dxa"/>
            <w:vAlign w:val="bottom"/>
          </w:tcPr>
          <w:p>
            <w:pPr>
              <w:ind w:left="180"/>
              <w:spacing w:after="0" w:line="124" w:lineRule="exact"/>
              <w:rPr>
                <w:sz w:val="20"/>
                <w:szCs w:val="20"/>
                <w:color w:val="auto"/>
              </w:rPr>
            </w:pPr>
            <w:r>
              <w:rPr>
                <w:rFonts w:ascii="Arial" w:cs="Arial" w:eastAsia="Arial" w:hAnsi="Arial"/>
                <w:sz w:val="13"/>
                <w:szCs w:val="13"/>
                <w:color w:val="0000FF"/>
              </w:rPr>
              <w:t>P</w:t>
            </w:r>
          </w:p>
        </w:tc>
        <w:tc>
          <w:tcPr>
            <w:tcW w:w="620" w:type="dxa"/>
            <w:vAlign w:val="bottom"/>
          </w:tcPr>
          <w:p>
            <w:pPr>
              <w:ind w:left="80"/>
              <w:spacing w:after="0" w:line="124" w:lineRule="exact"/>
              <w:rPr>
                <w:sz w:val="20"/>
                <w:szCs w:val="20"/>
                <w:color w:val="auto"/>
              </w:rPr>
            </w:pPr>
            <w:r>
              <w:rPr>
                <w:rFonts w:ascii="Arial" w:cs="Arial" w:eastAsia="Arial" w:hAnsi="Arial"/>
                <w:sz w:val="13"/>
                <w:szCs w:val="13"/>
                <w:color w:val="0000FF"/>
              </w:rPr>
              <w:t>450,000</w:t>
            </w: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80" w:type="dxa"/>
            <w:vAlign w:val="bottom"/>
          </w:tcPr>
          <w:p>
            <w:pPr>
              <w:ind w:left="28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w:t>
            </w:r>
          </w:p>
        </w:tc>
        <w:tc>
          <w:tcPr>
            <w:tcW w:w="920" w:type="dxa"/>
            <w:vAlign w:val="bottom"/>
          </w:tcPr>
          <w:p>
            <w:pPr>
              <w:ind w:left="200"/>
              <w:spacing w:after="0" w:line="124" w:lineRule="exact"/>
              <w:rPr>
                <w:sz w:val="20"/>
                <w:szCs w:val="20"/>
                <w:color w:val="auto"/>
              </w:rPr>
            </w:pPr>
            <w:r>
              <w:rPr>
                <w:rFonts w:ascii="Arial" w:cs="Arial" w:eastAsia="Arial" w:hAnsi="Arial"/>
                <w:sz w:val="13"/>
                <w:szCs w:val="13"/>
                <w:color w:val="0000FF"/>
              </w:rPr>
              <w:t>4,450,000</w:t>
            </w:r>
          </w:p>
        </w:tc>
        <w:tc>
          <w:tcPr>
            <w:tcW w:w="72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6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Stock</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warrants become exercisable on the later of (i) twelve (12) months from the closing of the registrant's initial public offering or (ii) the consummation of the registrant's initial business combination.</w:t>
      </w:r>
    </w:p>
    <w:p>
      <w:pPr>
        <w:spacing w:after="0" w:line="53" w:lineRule="exact"/>
        <w:rPr>
          <w:rFonts w:ascii="Arial" w:cs="Arial" w:eastAsia="Arial" w:hAnsi="Arial"/>
          <w:sz w:val="12"/>
          <w:szCs w:val="12"/>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warrants expire five (5) years after the completion of the registrant's initial business combination.</w:t>
      </w:r>
    </w:p>
    <w:p>
      <w:pPr>
        <w:spacing w:after="0" w:line="4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5"/>
          </w:tcPr>
          <w:p>
            <w:pPr>
              <w:spacing w:after="0"/>
              <w:rPr>
                <w:sz w:val="20"/>
                <w:szCs w:val="20"/>
                <w:color w:val="auto"/>
              </w:rPr>
            </w:pPr>
            <w:r>
              <w:rPr>
                <w:rFonts w:ascii="Arial" w:cs="Arial" w:eastAsia="Arial" w:hAnsi="Arial"/>
                <w:sz w:val="17"/>
                <w:szCs w:val="17"/>
                <w:color w:val="0000FF"/>
                <w:w w:val="94"/>
              </w:rPr>
              <w:t>/s/ Edward Scheetz, Managing</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01/05/2021</w:t>
            </w:r>
          </w:p>
        </w:tc>
        <w:tc>
          <w:tcPr>
            <w:tcW w:w="0" w:type="dxa"/>
            <w:vAlign w:val="bottom"/>
          </w:tcPr>
          <w:p>
            <w:pPr>
              <w:spacing w:after="0"/>
              <w:rPr>
                <w:sz w:val="1"/>
                <w:szCs w:val="1"/>
                <w:color w:val="auto"/>
              </w:rPr>
            </w:pPr>
          </w:p>
        </w:tc>
      </w:tr>
      <w:tr>
        <w:trPr>
          <w:trHeight w:val="87"/>
        </w:trPr>
        <w:tc>
          <w:tcPr>
            <w:tcW w:w="56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86"/>
              </w:rPr>
              <w:t>Member</w:t>
            </w:r>
          </w:p>
        </w:tc>
        <w:tc>
          <w:tcPr>
            <w:tcW w:w="1460" w:type="dxa"/>
            <w:vAlign w:val="bottom"/>
            <w:tcBorders>
              <w:top w:val="single" w:sz="8" w:color="auto"/>
              <w:bottom w:val="single" w:sz="8" w:color="auto"/>
            </w:tcBorders>
            <w:gridSpan w:val="3"/>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560" w:type="dxa"/>
            <w:vAlign w:val="bottom"/>
            <w:tcBorders>
              <w:bottom w:val="single" w:sz="8" w:color="auto"/>
            </w:tcBorders>
            <w:vMerge w:val="continue"/>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200" w:type="dxa"/>
            <w:vAlign w:val="bottom"/>
            <w:gridSpan w:val="5"/>
          </w:tcPr>
          <w:p>
            <w:pPr>
              <w:spacing w:after="0"/>
              <w:rPr>
                <w:sz w:val="20"/>
                <w:szCs w:val="20"/>
                <w:color w:val="auto"/>
              </w:rPr>
            </w:pPr>
            <w:r>
              <w:rPr>
                <w:rFonts w:ascii="Arial" w:cs="Arial" w:eastAsia="Arial" w:hAnsi="Arial"/>
                <w:sz w:val="17"/>
                <w:szCs w:val="17"/>
                <w:color w:val="0000FF"/>
              </w:rPr>
              <w:t>/s/ Matthew MacDonald,</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01/05/2021</w:t>
            </w:r>
          </w:p>
        </w:tc>
        <w:tc>
          <w:tcPr>
            <w:tcW w:w="0" w:type="dxa"/>
            <w:vAlign w:val="bottom"/>
          </w:tcPr>
          <w:p>
            <w:pPr>
              <w:spacing w:after="0"/>
              <w:rPr>
                <w:sz w:val="1"/>
                <w:szCs w:val="1"/>
                <w:color w:val="auto"/>
              </w:rPr>
            </w:pPr>
          </w:p>
        </w:tc>
      </w:tr>
      <w:tr>
        <w:trPr>
          <w:trHeight w:val="87"/>
        </w:trPr>
        <w:tc>
          <w:tcPr>
            <w:tcW w:w="12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w w:val="88"/>
              </w:rPr>
              <w:t>Managing Member</w:t>
            </w:r>
          </w:p>
        </w:tc>
        <w:tc>
          <w:tcPr>
            <w:tcW w:w="360" w:type="dxa"/>
            <w:vAlign w:val="bottom"/>
            <w:tcBorders>
              <w:top w:val="single" w:sz="8" w:color="auto"/>
              <w:bottom w:val="single" w:sz="8" w:color="auto"/>
            </w:tcBorders>
            <w:vMerge w:val="restart"/>
          </w:tcPr>
          <w:p>
            <w:pPr>
              <w:spacing w:after="0"/>
              <w:rPr>
                <w:sz w:val="7"/>
                <w:szCs w:val="7"/>
                <w:color w:val="auto"/>
              </w:rPr>
            </w:pPr>
          </w:p>
        </w:tc>
        <w:tc>
          <w:tcPr>
            <w:tcW w:w="5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280" w:type="dxa"/>
            <w:vAlign w:val="bottom"/>
            <w:tcBorders>
              <w:bottom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37185" TargetMode="External"/><Relationship Id="rId14"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2021-01-05T15:25:58Z</dcterms:created>
  <dcterms:modified xsi:type="dcterms:W3CDTF">2021-01-05T15:25:58Z</dcterms:modified>
</cp:coreProperties>
</file>