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3, 2023</w:t>
      </w:r>
    </w:p>
    <w:p>
      <w:pPr>
        <w:spacing w:after="0" w:line="21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Presto Automation Inc.</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4400" w:type="dxa"/>
            <w:vAlign w:val="bottom"/>
            <w:gridSpan w:val="4"/>
          </w:tcPr>
          <w:p>
            <w:pPr>
              <w:jc w:val="center"/>
              <w:ind w:right="600"/>
              <w:spacing w:after="0"/>
              <w:rPr>
                <w:sz w:val="20"/>
                <w:szCs w:val="20"/>
                <w:color w:val="auto"/>
              </w:rPr>
            </w:pPr>
            <w:r>
              <w:rPr>
                <w:rFonts w:ascii="Arial" w:cs="Arial" w:eastAsia="Arial" w:hAnsi="Arial"/>
                <w:sz w:val="18"/>
                <w:szCs w:val="18"/>
                <w:color w:val="auto"/>
                <w:w w:val="90"/>
              </w:rPr>
              <w:t>(Exact name of registrant as specified in its charter)</w:t>
            </w:r>
          </w:p>
        </w:tc>
        <w:tc>
          <w:tcPr>
            <w:tcW w:w="3120" w:type="dxa"/>
            <w:vAlign w:val="bottom"/>
          </w:tcPr>
          <w:p>
            <w:pPr>
              <w:spacing w:after="0"/>
              <w:rPr>
                <w:sz w:val="20"/>
                <w:szCs w:val="20"/>
                <w:color w:val="auto"/>
              </w:rPr>
            </w:pPr>
          </w:p>
        </w:tc>
      </w:tr>
      <w:tr>
        <w:trPr>
          <w:trHeight w:val="437"/>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720" w:type="dxa"/>
            <w:vAlign w:val="bottom"/>
            <w:gridSpan w:val="2"/>
          </w:tcPr>
          <w:p>
            <w:pPr>
              <w:jc w:val="right"/>
              <w:ind w:right="1250"/>
              <w:spacing w:after="0"/>
              <w:rPr>
                <w:sz w:val="20"/>
                <w:szCs w:val="20"/>
                <w:color w:val="auto"/>
              </w:rPr>
            </w:pPr>
            <w:r>
              <w:rPr>
                <w:rFonts w:ascii="Arial" w:cs="Arial" w:eastAsia="Arial" w:hAnsi="Arial"/>
                <w:sz w:val="18"/>
                <w:szCs w:val="18"/>
                <w:b w:val="1"/>
                <w:bCs w:val="1"/>
                <w:color w:val="auto"/>
              </w:rPr>
              <w:t>001-39830</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84-2968594</w:t>
            </w:r>
          </w:p>
        </w:tc>
      </w:tr>
      <w:tr>
        <w:trPr>
          <w:trHeight w:val="202"/>
        </w:trPr>
        <w:tc>
          <w:tcPr>
            <w:tcW w:w="3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3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tcPr>
          <w:p>
            <w:pPr>
              <w:jc w:val="center"/>
              <w:ind w:right="3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20" w:type="dxa"/>
            <w:vAlign w:val="bottom"/>
          </w:tcPr>
          <w:p>
            <w:pPr>
              <w:jc w:val="center"/>
              <w:ind w:right="3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2"/>
              </w:rPr>
              <w:t>985 Industrial Road</w:t>
            </w:r>
          </w:p>
        </w:tc>
        <w:tc>
          <w:tcPr>
            <w:tcW w:w="3120" w:type="dxa"/>
            <w:vAlign w:val="bottom"/>
          </w:tcPr>
          <w:p>
            <w:pPr>
              <w:spacing w:after="0"/>
              <w:rPr>
                <w:sz w:val="24"/>
                <w:szCs w:val="24"/>
                <w:color w:val="auto"/>
              </w:rPr>
            </w:pPr>
          </w:p>
        </w:tc>
      </w:tr>
      <w:tr>
        <w:trPr>
          <w:trHeight w:val="220"/>
        </w:trPr>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8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0"/>
              </w:rPr>
              <w:t>San Carlos, CA 94070</w:t>
            </w:r>
          </w:p>
        </w:tc>
        <w:tc>
          <w:tcPr>
            <w:tcW w:w="3120" w:type="dxa"/>
            <w:vAlign w:val="bottom"/>
          </w:tcPr>
          <w:p>
            <w:pPr>
              <w:spacing w:after="0"/>
              <w:rPr>
                <w:sz w:val="19"/>
                <w:szCs w:val="19"/>
                <w:color w:val="auto"/>
              </w:rPr>
            </w:pPr>
          </w:p>
        </w:tc>
      </w:tr>
      <w:tr>
        <w:trPr>
          <w:trHeight w:val="230"/>
        </w:trPr>
        <w:tc>
          <w:tcPr>
            <w:tcW w:w="8120" w:type="dxa"/>
            <w:vAlign w:val="bottom"/>
            <w:gridSpan w:val="5"/>
          </w:tcPr>
          <w:p>
            <w:pPr>
              <w:jc w:val="center"/>
              <w:ind w:left="303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120" w:type="dxa"/>
            <w:vAlign w:val="bottom"/>
          </w:tcPr>
          <w:p>
            <w:pPr>
              <w:spacing w:after="0"/>
              <w:rPr>
                <w:sz w:val="20"/>
                <w:szCs w:val="20"/>
                <w:color w:val="auto"/>
              </w:rPr>
            </w:pPr>
          </w:p>
        </w:tc>
      </w:tr>
      <w:tr>
        <w:trPr>
          <w:trHeight w:val="432"/>
        </w:trPr>
        <w:tc>
          <w:tcPr>
            <w:tcW w:w="8120" w:type="dxa"/>
            <w:vAlign w:val="bottom"/>
            <w:gridSpan w:val="5"/>
          </w:tcPr>
          <w:p>
            <w:pPr>
              <w:jc w:val="center"/>
              <w:ind w:left="3030"/>
              <w:spacing w:after="0"/>
              <w:rPr>
                <w:sz w:val="20"/>
                <w:szCs w:val="20"/>
                <w:color w:val="auto"/>
              </w:rPr>
            </w:pPr>
            <w:r>
              <w:rPr>
                <w:rFonts w:ascii="Arial" w:cs="Arial" w:eastAsia="Arial" w:hAnsi="Arial"/>
                <w:sz w:val="18"/>
                <w:szCs w:val="18"/>
                <w:color w:val="auto"/>
                <w:w w:val="90"/>
              </w:rPr>
              <w:t>Registrant’s telephone number, including area code</w:t>
            </w:r>
            <w:r>
              <w:rPr>
                <w:rFonts w:ascii="Arial" w:cs="Arial" w:eastAsia="Arial" w:hAnsi="Arial"/>
                <w:sz w:val="18"/>
                <w:szCs w:val="18"/>
                <w:b w:val="1"/>
                <w:bCs w:val="1"/>
                <w:color w:val="auto"/>
                <w:w w:val="90"/>
              </w:rPr>
              <w:t>: (650) 817-9012</w:t>
            </w:r>
          </w:p>
        </w:tc>
        <w:tc>
          <w:tcPr>
            <w:tcW w:w="3120" w:type="dxa"/>
            <w:vAlign w:val="bottom"/>
          </w:tcPr>
          <w:p>
            <w:pPr>
              <w:spacing w:after="0"/>
              <w:rPr>
                <w:sz w:val="24"/>
                <w:szCs w:val="24"/>
                <w:color w:val="auto"/>
              </w:rPr>
            </w:pPr>
          </w:p>
        </w:tc>
      </w:tr>
      <w:tr>
        <w:trPr>
          <w:trHeight w:val="418"/>
        </w:trPr>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2"/>
              </w:rPr>
              <w:t>Not Applicable</w:t>
            </w:r>
          </w:p>
        </w:tc>
        <w:tc>
          <w:tcPr>
            <w:tcW w:w="3120" w:type="dxa"/>
            <w:vAlign w:val="bottom"/>
          </w:tcPr>
          <w:p>
            <w:pPr>
              <w:spacing w:after="0"/>
              <w:rPr>
                <w:sz w:val="24"/>
                <w:szCs w:val="24"/>
                <w:color w:val="auto"/>
              </w:rPr>
            </w:pPr>
          </w:p>
        </w:tc>
      </w:tr>
      <w:tr>
        <w:trPr>
          <w:trHeight w:val="230"/>
        </w:trPr>
        <w:tc>
          <w:tcPr>
            <w:tcW w:w="8120" w:type="dxa"/>
            <w:vAlign w:val="bottom"/>
            <w:gridSpan w:val="5"/>
          </w:tcPr>
          <w:p>
            <w:pPr>
              <w:jc w:val="center"/>
              <w:ind w:left="305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3120" w:type="dxa"/>
            <w:vAlign w:val="bottom"/>
          </w:tcPr>
          <w:p>
            <w:pPr>
              <w:spacing w:after="0"/>
              <w:rPr>
                <w:sz w:val="20"/>
                <w:szCs w:val="20"/>
                <w:color w:val="auto"/>
              </w:rPr>
            </w:pPr>
          </w:p>
        </w:tc>
      </w:tr>
      <w:tr>
        <w:trPr>
          <w:trHeight w:val="432"/>
        </w:trPr>
        <w:tc>
          <w:tcPr>
            <w:tcW w:w="812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120" w:type="dxa"/>
            <w:vAlign w:val="bottom"/>
          </w:tcPr>
          <w:p>
            <w:pPr>
              <w:spacing w:after="0"/>
              <w:rPr>
                <w:sz w:val="24"/>
                <w:szCs w:val="24"/>
                <w:color w:val="auto"/>
              </w:rPr>
            </w:pPr>
          </w:p>
        </w:tc>
      </w:tr>
      <w:tr>
        <w:trPr>
          <w:trHeight w:val="414"/>
        </w:trPr>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20" w:type="dxa"/>
            <w:vAlign w:val="bottom"/>
          </w:tcPr>
          <w:p>
            <w:pPr>
              <w:jc w:val="center"/>
              <w:ind w:right="430"/>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Pr>
          <w:p>
            <w:pPr>
              <w:spacing w:after="0"/>
              <w:rPr>
                <w:sz w:val="20"/>
                <w:szCs w:val="20"/>
                <w:color w:val="auto"/>
              </w:rPr>
            </w:pPr>
          </w:p>
        </w:tc>
        <w:tc>
          <w:tcPr>
            <w:tcW w:w="41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9"/>
              </w:rPr>
              <w:t>Trading Symbol(s)</w:t>
            </w:r>
          </w:p>
        </w:tc>
        <w:tc>
          <w:tcPr>
            <w:tcW w:w="3120" w:type="dxa"/>
            <w:vAlign w:val="bottom"/>
          </w:tcPr>
          <w:p>
            <w:pPr>
              <w:jc w:val="center"/>
              <w:ind w:right="390"/>
              <w:spacing w:after="0"/>
              <w:rPr>
                <w:sz w:val="20"/>
                <w:szCs w:val="20"/>
                <w:color w:val="auto"/>
              </w:rPr>
            </w:pPr>
            <w:r>
              <w:rPr>
                <w:rFonts w:ascii="Arial" w:cs="Arial" w:eastAsia="Arial" w:hAnsi="Arial"/>
                <w:sz w:val="18"/>
                <w:szCs w:val="18"/>
                <w:b w:val="1"/>
                <w:bCs w:val="1"/>
                <w:color w:val="auto"/>
                <w:w w:val="87"/>
              </w:rPr>
              <w:t>registered</w:t>
            </w:r>
          </w:p>
        </w:tc>
      </w:tr>
      <w:tr>
        <w:trPr>
          <w:trHeight w:val="202"/>
        </w:trPr>
        <w:tc>
          <w:tcPr>
            <w:tcW w:w="3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Class A common stock, par value $0.0001 per</w:t>
            </w:r>
          </w:p>
        </w:tc>
        <w:tc>
          <w:tcPr>
            <w:tcW w:w="220" w:type="dxa"/>
            <w:vAlign w:val="bottom"/>
          </w:tcPr>
          <w:p>
            <w:pPr>
              <w:spacing w:after="0"/>
              <w:rPr>
                <w:sz w:val="17"/>
                <w:szCs w:val="17"/>
                <w:color w:val="auto"/>
              </w:rPr>
            </w:pPr>
          </w:p>
        </w:tc>
        <w:tc>
          <w:tcPr>
            <w:tcW w:w="3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PRST</w:t>
            </w:r>
          </w:p>
        </w:tc>
        <w:tc>
          <w:tcPr>
            <w:tcW w:w="2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tcPr>
          <w:p>
            <w:pPr>
              <w:jc w:val="center"/>
              <w:ind w:right="370"/>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color w:val="auto"/>
                <w:w w:val="84"/>
              </w:rPr>
              <w:t>share</w:t>
            </w:r>
          </w:p>
        </w:tc>
        <w:tc>
          <w:tcPr>
            <w:tcW w:w="2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color w:val="auto"/>
                <w:w w:val="89"/>
              </w:rPr>
              <w:t>Warrants, each whole warrant exercisable for one</w:t>
            </w:r>
          </w:p>
        </w:tc>
        <w:tc>
          <w:tcPr>
            <w:tcW w:w="220" w:type="dxa"/>
            <w:vAlign w:val="bottom"/>
          </w:tcPr>
          <w:p>
            <w:pPr>
              <w:spacing w:after="0"/>
              <w:rPr>
                <w:sz w:val="18"/>
                <w:szCs w:val="18"/>
                <w:color w:val="auto"/>
              </w:rPr>
            </w:pPr>
          </w:p>
        </w:tc>
        <w:tc>
          <w:tcPr>
            <w:tcW w:w="4180" w:type="dxa"/>
            <w:vAlign w:val="bottom"/>
            <w:gridSpan w:val="3"/>
          </w:tcPr>
          <w:p>
            <w:pPr>
              <w:jc w:val="center"/>
              <w:ind w:right="660"/>
              <w:spacing w:after="0"/>
              <w:rPr>
                <w:sz w:val="20"/>
                <w:szCs w:val="20"/>
                <w:color w:val="auto"/>
              </w:rPr>
            </w:pPr>
            <w:r>
              <w:rPr>
                <w:rFonts w:ascii="Arial" w:cs="Arial" w:eastAsia="Arial" w:hAnsi="Arial"/>
                <w:sz w:val="18"/>
                <w:szCs w:val="18"/>
                <w:color w:val="auto"/>
                <w:w w:val="92"/>
              </w:rPr>
              <w:t>PRSTW</w:t>
            </w:r>
          </w:p>
        </w:tc>
        <w:tc>
          <w:tcPr>
            <w:tcW w:w="3120" w:type="dxa"/>
            <w:vAlign w:val="bottom"/>
          </w:tcPr>
          <w:p>
            <w:pPr>
              <w:jc w:val="center"/>
              <w:ind w:right="37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0"/>
              </w:rPr>
              <w:t>share of common stock</w:t>
            </w: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2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ind w:right="2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3, 2023, Presto Automation Inc. (the “Company”) entered into an Amendment to the Consulting Agreement with Ashish Gupta (the “Amendment”). The Amendment extends the term of the Consulting Agreement dated March 4, 2023 that provides for Mr. Gupta to continue his advisory to the Company, from May 1, 2023 until July 31, 2023 (the “Extended Term”). In consideration, he will be compensated at a rate of $50,000 per month during the Extended Term. The Amendment also provides for a grant to Mr. Gupta of 250,000 restricted stock units, one half of which will vest in monthly increments during the Extended Term and the remaining half of which will vest upon the achievement of certain targets agreed to by the Company and Mr. Gupta.</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summary of the Amendment is qualified in its entirety by the full text of the Amendment, which is attached as Exhibit 10.1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(d) Exhibits</w:t>
            </w:r>
          </w:p>
        </w:tc>
        <w:tc>
          <w:tcPr>
            <w:tcW w:w="78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18"/>
        </w:trPr>
        <w:tc>
          <w:tcPr>
            <w:tcW w:w="1580" w:type="dxa"/>
            <w:vAlign w:val="bottom"/>
            <w:gridSpan w:val="3"/>
          </w:tcPr>
          <w:p>
            <w:pPr>
              <w:ind w:left="120"/>
              <w:spacing w:after="0"/>
              <w:rPr>
                <w:sz w:val="20"/>
                <w:szCs w:val="20"/>
                <w:color w:val="auto"/>
              </w:rPr>
            </w:pPr>
            <w:r>
              <w:rPr>
                <w:rFonts w:ascii="Arial" w:cs="Arial" w:eastAsia="Arial" w:hAnsi="Arial"/>
                <w:sz w:val="18"/>
                <w:szCs w:val="18"/>
                <w:b w:val="1"/>
                <w:bCs w:val="1"/>
                <w:color w:val="auto"/>
              </w:rPr>
              <w:t>Exhibit Number</w:t>
            </w:r>
          </w:p>
        </w:tc>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r>
      <w:tr>
        <w:trPr>
          <w:trHeight w:val="190"/>
        </w:trPr>
        <w:tc>
          <w:tcPr>
            <w:tcW w:w="580" w:type="dxa"/>
            <w:vAlign w:val="bottom"/>
          </w:tcPr>
          <w:p>
            <w:pPr>
              <w:spacing w:after="0"/>
              <w:rPr>
                <w:sz w:val="16"/>
                <w:szCs w:val="16"/>
                <w:color w:val="auto"/>
              </w:rPr>
            </w:pPr>
          </w:p>
        </w:tc>
        <w:tc>
          <w:tcPr>
            <w:tcW w:w="1000" w:type="dxa"/>
            <w:vAlign w:val="bottom"/>
            <w:gridSpan w:val="2"/>
          </w:tcPr>
          <w:p>
            <w:pPr>
              <w:jc w:val="center"/>
              <w:ind w:right="660"/>
              <w:spacing w:after="0" w:line="190" w:lineRule="exact"/>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p>
        </w:tc>
        <w:tc>
          <w:tcPr>
            <w:tcW w:w="9660" w:type="dxa"/>
            <w:vAlign w:val="bottom"/>
            <w:gridSpan w:val="2"/>
          </w:tcPr>
          <w:p>
            <w:pPr>
              <w:spacing w:after="0" w:line="190" w:lineRule="exact"/>
              <w:rPr>
                <w:sz w:val="20"/>
                <w:szCs w:val="20"/>
                <w:color w:val="auto"/>
              </w:rPr>
            </w:pPr>
            <w:r>
              <w:rPr>
                <w:rFonts w:ascii="Arial" w:cs="Arial" w:eastAsia="Arial" w:hAnsi="Arial"/>
                <w:sz w:val="18"/>
                <w:szCs w:val="18"/>
                <w:color w:val="0000EE"/>
              </w:rPr>
              <w:t>Amendment to Consulting Agreement between Presto Automation Inc. and Ashish Gupta dated May 3, 2023.</w:t>
            </w:r>
          </w:p>
        </w:tc>
      </w:tr>
      <w:tr>
        <w:trPr>
          <w:trHeight w:val="237"/>
        </w:trPr>
        <w:tc>
          <w:tcPr>
            <w:tcW w:w="580" w:type="dxa"/>
            <w:vAlign w:val="bottom"/>
          </w:tcPr>
          <w:p>
            <w:pPr>
              <w:spacing w:after="0"/>
              <w:rPr>
                <w:sz w:val="20"/>
                <w:szCs w:val="20"/>
                <w:color w:val="auto"/>
              </w:rPr>
            </w:pPr>
          </w:p>
        </w:tc>
        <w:tc>
          <w:tcPr>
            <w:tcW w:w="32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auto"/>
                <w:w w:val="93"/>
              </w:rPr>
              <w:t>104</w:t>
            </w:r>
          </w:p>
        </w:tc>
        <w:tc>
          <w:tcPr>
            <w:tcW w:w="680" w:type="dxa"/>
            <w:vAlign w:val="bottom"/>
          </w:tcPr>
          <w:p>
            <w:pPr>
              <w:spacing w:after="0"/>
              <w:rPr>
                <w:sz w:val="20"/>
                <w:szCs w:val="20"/>
                <w:color w:val="auto"/>
              </w:rPr>
            </w:pPr>
          </w:p>
        </w:tc>
        <w:tc>
          <w:tcPr>
            <w:tcW w:w="78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78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Susan Shinoff</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 &amp; Corp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CONSULTING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Amendment to the Consulting Agreement (the “Amendment”) amends the Consulting Agreement by and between Presto Automation Inc. (“Company”) and Ashish Gupta (“Consultant”) dated March 4, 2023 (the “Agreement”) and is entered into as of last date of signing by all parties (the “Amendment Effective Date”).</w:t>
      </w:r>
    </w:p>
    <w:p>
      <w:pPr>
        <w:spacing w:after="0" w:line="184"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WHEREAS, the parties wish to extend Consultant’s consulting period so that he may perform certain services for the Company, in consideration for additional fees;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ind w:left="540" w:hanging="26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Change of Terms</w:t>
      </w:r>
      <w:r>
        <w:rPr>
          <w:rFonts w:ascii="Arial" w:cs="Arial" w:eastAsia="Arial" w:hAnsi="Arial"/>
          <w:sz w:val="18"/>
          <w:szCs w:val="18"/>
          <w:color w:val="auto"/>
        </w:rPr>
        <w:t xml:space="preserve">. As of the Amendment Effective Date,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of the Agreement is replaced with </w:t>
      </w:r>
      <w:r>
        <w:rPr>
          <w:rFonts w:ascii="Arial" w:cs="Arial" w:eastAsia="Arial" w:hAnsi="Arial"/>
          <w:sz w:val="18"/>
          <w:szCs w:val="18"/>
          <w:u w:val="single" w:color="auto"/>
          <w:color w:val="auto"/>
        </w:rPr>
        <w:t>Exhibit A-1</w:t>
      </w:r>
      <w:r>
        <w:rPr>
          <w:rFonts w:ascii="Arial" w:cs="Arial" w:eastAsia="Arial" w:hAnsi="Arial"/>
          <w:sz w:val="18"/>
          <w:szCs w:val="18"/>
          <w:color w:val="auto"/>
        </w:rPr>
        <w:t>, attached hereto.</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All other terms remain the same</w:t>
      </w:r>
      <w:r>
        <w:rPr>
          <w:rFonts w:ascii="Arial" w:cs="Arial" w:eastAsia="Arial" w:hAnsi="Arial"/>
          <w:sz w:val="18"/>
          <w:szCs w:val="18"/>
          <w:color w:val="auto"/>
        </w:rPr>
        <w:t>. All other terms of the Agreement remain unchanged and in full effect.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Amendment Effective Date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PRESTO AUTOMATION</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CONSULTANT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w w:val="99"/>
              </w:rPr>
              <w:t>Signature:</w:t>
            </w:r>
          </w:p>
        </w:tc>
        <w:tc>
          <w:tcPr>
            <w:tcW w:w="4680" w:type="dxa"/>
            <w:vAlign w:val="bottom"/>
            <w:gridSpan w:val="2"/>
          </w:tcPr>
          <w:p>
            <w:pPr>
              <w:ind w:left="80"/>
              <w:spacing w:after="0"/>
              <w:rPr>
                <w:sz w:val="20"/>
                <w:szCs w:val="20"/>
                <w:color w:val="auto"/>
              </w:rPr>
            </w:pPr>
            <w:r>
              <w:rPr>
                <w:rFonts w:ascii="Arial" w:cs="Arial" w:eastAsia="Arial" w:hAnsi="Arial"/>
                <w:sz w:val="18"/>
                <w:szCs w:val="18"/>
                <w:color w:val="auto"/>
              </w:rPr>
              <w:t>/s/ Keith Kravcik</w:t>
            </w:r>
          </w:p>
        </w:tc>
        <w:tc>
          <w:tcPr>
            <w:tcW w:w="1120" w:type="dxa"/>
            <w:vAlign w:val="bottom"/>
          </w:tcPr>
          <w:p>
            <w:pPr>
              <w:ind w:left="220"/>
              <w:spacing w:after="0"/>
              <w:rPr>
                <w:sz w:val="20"/>
                <w:szCs w:val="20"/>
                <w:color w:val="auto"/>
              </w:rPr>
            </w:pPr>
            <w:r>
              <w:rPr>
                <w:rFonts w:ascii="Arial" w:cs="Arial" w:eastAsia="Arial" w:hAnsi="Arial"/>
                <w:sz w:val="18"/>
                <w:szCs w:val="18"/>
                <w:color w:val="auto"/>
              </w:rPr>
              <w:t>Signature:</w:t>
            </w:r>
          </w:p>
        </w:tc>
        <w:tc>
          <w:tcPr>
            <w:tcW w:w="4600" w:type="dxa"/>
            <w:vAlign w:val="bottom"/>
          </w:tcPr>
          <w:p>
            <w:pPr>
              <w:spacing w:after="0"/>
              <w:rPr>
                <w:sz w:val="20"/>
                <w:szCs w:val="20"/>
                <w:color w:val="auto"/>
              </w:rPr>
            </w:pPr>
            <w:r>
              <w:rPr>
                <w:rFonts w:ascii="Arial" w:cs="Arial" w:eastAsia="Arial" w:hAnsi="Arial"/>
                <w:sz w:val="18"/>
                <w:szCs w:val="18"/>
                <w:color w:val="auto"/>
              </w:rPr>
              <w:t>/s/ Ashish Gupta</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gridSpan w:val="2"/>
          </w:tcPr>
          <w:p>
            <w:pPr>
              <w:ind w:left="80"/>
              <w:spacing w:after="0"/>
              <w:rPr>
                <w:sz w:val="20"/>
                <w:szCs w:val="20"/>
                <w:color w:val="auto"/>
              </w:rPr>
            </w:pPr>
            <w:r>
              <w:rPr>
                <w:rFonts w:ascii="Arial" w:cs="Arial" w:eastAsia="Arial" w:hAnsi="Arial"/>
                <w:sz w:val="18"/>
                <w:szCs w:val="18"/>
                <w:color w:val="auto"/>
              </w:rPr>
              <w:t>Keith Kravcik</w:t>
            </w:r>
          </w:p>
        </w:tc>
        <w:tc>
          <w:tcPr>
            <w:tcW w:w="1120" w:type="dxa"/>
            <w:vAlign w:val="bottom"/>
          </w:tcPr>
          <w:p>
            <w:pPr>
              <w:ind w:left="2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Ashish Gupta</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gridSpan w:val="2"/>
          </w:tcPr>
          <w:p>
            <w:pPr>
              <w:ind w:left="80"/>
              <w:spacing w:after="0"/>
              <w:rPr>
                <w:sz w:val="20"/>
                <w:szCs w:val="20"/>
                <w:color w:val="auto"/>
              </w:rPr>
            </w:pPr>
            <w:r>
              <w:rPr>
                <w:rFonts w:ascii="Arial" w:cs="Arial" w:eastAsia="Arial" w:hAnsi="Arial"/>
                <w:sz w:val="18"/>
                <w:szCs w:val="18"/>
                <w:color w:val="auto"/>
              </w:rPr>
              <w:t>Audit Committee Chair &amp; Board Director, Presto</w:t>
            </w:r>
          </w:p>
        </w:tc>
        <w:tc>
          <w:tcPr>
            <w:tcW w:w="1120" w:type="dxa"/>
            <w:vAlign w:val="bottom"/>
          </w:tcPr>
          <w:p>
            <w:pPr>
              <w:ind w:left="2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Principal Financial Officer, Presto</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4680" w:type="dxa"/>
            <w:vAlign w:val="bottom"/>
            <w:gridSpan w:val="2"/>
          </w:tcPr>
          <w:p>
            <w:pPr>
              <w:ind w:left="80"/>
              <w:spacing w:after="0"/>
              <w:rPr>
                <w:sz w:val="20"/>
                <w:szCs w:val="20"/>
                <w:color w:val="auto"/>
              </w:rPr>
            </w:pPr>
            <w:r>
              <w:rPr>
                <w:rFonts w:ascii="Arial" w:cs="Arial" w:eastAsia="Arial" w:hAnsi="Arial"/>
                <w:sz w:val="18"/>
                <w:szCs w:val="18"/>
                <w:color w:val="auto"/>
              </w:rPr>
              <w:t>03 May 2023</w:t>
            </w:r>
          </w:p>
        </w:tc>
        <w:tc>
          <w:tcPr>
            <w:tcW w:w="1120" w:type="dxa"/>
            <w:vAlign w:val="bottom"/>
          </w:tcPr>
          <w:p>
            <w:pPr>
              <w:ind w:left="220"/>
              <w:spacing w:after="0"/>
              <w:rPr>
                <w:sz w:val="20"/>
                <w:szCs w:val="20"/>
                <w:color w:val="auto"/>
              </w:rPr>
            </w:pPr>
            <w:r>
              <w:rPr>
                <w:rFonts w:ascii="Arial" w:cs="Arial" w:eastAsia="Arial" w:hAnsi="Arial"/>
                <w:sz w:val="18"/>
                <w:szCs w:val="18"/>
                <w:color w:val="auto"/>
              </w:rPr>
              <w:t>Date:</w:t>
            </w:r>
          </w:p>
        </w:tc>
        <w:tc>
          <w:tcPr>
            <w:tcW w:w="4600" w:type="dxa"/>
            <w:vAlign w:val="bottom"/>
          </w:tcPr>
          <w:p>
            <w:pPr>
              <w:spacing w:after="0"/>
              <w:rPr>
                <w:sz w:val="20"/>
                <w:szCs w:val="20"/>
                <w:color w:val="auto"/>
              </w:rPr>
            </w:pPr>
            <w:r>
              <w:rPr>
                <w:rFonts w:ascii="Arial" w:cs="Arial" w:eastAsia="Arial" w:hAnsi="Arial"/>
                <w:sz w:val="18"/>
                <w:szCs w:val="18"/>
                <w:color w:val="auto"/>
              </w:rPr>
              <w:t>03 May 2023</w:t>
            </w:r>
          </w:p>
        </w:tc>
      </w:tr>
      <w:tr>
        <w:trPr>
          <w:trHeight w:val="642"/>
        </w:trPr>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0" w:type="dxa"/>
            <w:vAlign w:val="bottom"/>
            <w:tcBorders>
              <w:top w:val="single" w:sz="8" w:color="auto"/>
              <w:bottom w:val="single" w:sz="8" w:color="auto"/>
            </w:tcBorders>
          </w:tcPr>
          <w:p>
            <w:pPr>
              <w:spacing w:after="0"/>
              <w:rPr>
                <w:sz w:val="24"/>
                <w:szCs w:val="24"/>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460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EXHIBIT A-1</w:t>
      </w:r>
    </w:p>
    <w:p>
      <w:pPr>
        <w:spacing w:after="0" w:line="200" w:lineRule="exact"/>
        <w:rPr>
          <w:sz w:val="20"/>
          <w:szCs w:val="20"/>
          <w:color w:val="auto"/>
        </w:rPr>
      </w:pPr>
    </w:p>
    <w:p>
      <w:pPr>
        <w:spacing w:after="0" w:line="241" w:lineRule="exact"/>
        <w:rPr>
          <w:sz w:val="20"/>
          <w:szCs w:val="20"/>
          <w:color w:val="auto"/>
        </w:rPr>
      </w:pPr>
    </w:p>
    <w:p>
      <w:pPr>
        <w:ind w:right="20" w:firstLine="8"/>
        <w:spacing w:after="0" w:line="282"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w:t>
      </w:r>
      <w:r>
        <w:rPr>
          <w:rFonts w:ascii="Arial" w:cs="Arial" w:eastAsia="Arial" w:hAnsi="Arial"/>
          <w:sz w:val="18"/>
          <w:szCs w:val="18"/>
          <w:color w:val="auto"/>
        </w:rPr>
        <w:t>Consultant will perform the following duties (“Services”), with the title of</w:t>
      </w:r>
      <w:r>
        <w:rPr>
          <w:rFonts w:ascii="Arial" w:cs="Arial" w:eastAsia="Arial" w:hAnsi="Arial"/>
          <w:sz w:val="18"/>
          <w:szCs w:val="18"/>
          <w:b w:val="1"/>
          <w:bCs w:val="1"/>
          <w:color w:val="auto"/>
        </w:rPr>
        <w:t xml:space="preserve"> Principal Financial Officer, </w:t>
      </w:r>
      <w:r>
        <w:rPr>
          <w:rFonts w:ascii="Arial" w:cs="Arial" w:eastAsia="Arial" w:hAnsi="Arial"/>
          <w:sz w:val="18"/>
          <w:szCs w:val="18"/>
          <w:color w:val="auto"/>
        </w:rPr>
        <w:t>on behalf of the Company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w:t>
      </w:r>
    </w:p>
    <w:p>
      <w:pPr>
        <w:spacing w:after="0" w:line="165" w:lineRule="exact"/>
        <w:rPr>
          <w:rFonts w:ascii="Arial" w:cs="Arial" w:eastAsia="Arial" w:hAnsi="Arial"/>
          <w:sz w:val="18"/>
          <w:szCs w:val="18"/>
          <w:b w:val="1"/>
          <w:bCs w:val="1"/>
          <w:color w:val="auto"/>
        </w:rPr>
      </w:pPr>
    </w:p>
    <w:p>
      <w:pPr>
        <w:ind w:left="1080" w:hanging="330"/>
        <w:spacing w:after="0"/>
        <w:tabs>
          <w:tab w:leader="none" w:pos="1080" w:val="left"/>
        </w:tabs>
        <w:numPr>
          <w:ilvl w:val="2"/>
          <w:numId w:val="3"/>
        </w:numPr>
        <w:rPr>
          <w:rFonts w:ascii="Arial" w:cs="Arial" w:eastAsia="Arial" w:hAnsi="Arial"/>
          <w:sz w:val="18"/>
          <w:szCs w:val="18"/>
          <w:color w:val="auto"/>
        </w:rPr>
      </w:pPr>
      <w:r>
        <w:rPr>
          <w:rFonts w:ascii="Arial" w:cs="Arial" w:eastAsia="Arial" w:hAnsi="Arial"/>
          <w:sz w:val="18"/>
          <w:szCs w:val="18"/>
          <w:color w:val="1D1C1D"/>
        </w:rPr>
        <w:t>Provide financial advisory services to the Company as requested;</w:t>
      </w:r>
    </w:p>
    <w:p>
      <w:pPr>
        <w:spacing w:after="0" w:line="23" w:lineRule="exact"/>
        <w:rPr>
          <w:rFonts w:ascii="Arial" w:cs="Arial" w:eastAsia="Arial" w:hAnsi="Arial"/>
          <w:sz w:val="18"/>
          <w:szCs w:val="18"/>
          <w:color w:val="auto"/>
        </w:rPr>
      </w:pPr>
    </w:p>
    <w:p>
      <w:pPr>
        <w:ind w:left="1080" w:hanging="330"/>
        <w:spacing w:after="0" w:line="250" w:lineRule="auto"/>
        <w:tabs>
          <w:tab w:leader="none" w:pos="1080" w:val="left"/>
        </w:tabs>
        <w:numPr>
          <w:ilvl w:val="2"/>
          <w:numId w:val="3"/>
        </w:numPr>
        <w:rPr>
          <w:rFonts w:ascii="Arial" w:cs="Arial" w:eastAsia="Arial" w:hAnsi="Arial"/>
          <w:sz w:val="18"/>
          <w:szCs w:val="18"/>
          <w:color w:val="auto"/>
        </w:rPr>
      </w:pPr>
      <w:r>
        <w:rPr>
          <w:rFonts w:ascii="Arial" w:cs="Arial" w:eastAsia="Arial" w:hAnsi="Arial"/>
          <w:sz w:val="18"/>
          <w:szCs w:val="18"/>
          <w:color w:val="1D1C1D"/>
        </w:rPr>
        <w:t>Sign on behalf of the Company for the fiscal quarter Q3 2023 as the Company’s representative, with respect to the Statement 10-Q filing in May 2023 (“Q3 2023 Filing”);</w:t>
      </w:r>
    </w:p>
    <w:p>
      <w:pPr>
        <w:ind w:left="1080" w:hanging="330"/>
        <w:spacing w:after="0" w:line="250" w:lineRule="auto"/>
        <w:tabs>
          <w:tab w:leader="none" w:pos="1080" w:val="left"/>
        </w:tabs>
        <w:numPr>
          <w:ilvl w:val="2"/>
          <w:numId w:val="3"/>
        </w:numPr>
        <w:rPr>
          <w:rFonts w:ascii="Arial" w:cs="Arial" w:eastAsia="Arial" w:hAnsi="Arial"/>
          <w:sz w:val="18"/>
          <w:szCs w:val="18"/>
          <w:color w:val="auto"/>
        </w:rPr>
      </w:pPr>
      <w:r>
        <w:rPr>
          <w:rFonts w:ascii="Arial" w:cs="Arial" w:eastAsia="Arial" w:hAnsi="Arial"/>
          <w:sz w:val="18"/>
          <w:szCs w:val="18"/>
          <w:color w:val="1D1C1D"/>
        </w:rPr>
        <w:t>Lead members of the Company’s Finance and support other functional teams to develop analyses and implement recommendations as directed by the Company’s Board of Directors (the “Board”);</w:t>
      </w:r>
    </w:p>
    <w:p>
      <w:pPr>
        <w:jc w:val="both"/>
        <w:ind w:left="1080" w:hanging="330"/>
        <w:spacing w:after="0" w:line="250" w:lineRule="auto"/>
        <w:tabs>
          <w:tab w:leader="none" w:pos="1080" w:val="left"/>
        </w:tabs>
        <w:numPr>
          <w:ilvl w:val="2"/>
          <w:numId w:val="3"/>
        </w:numPr>
        <w:rPr>
          <w:rFonts w:ascii="Arial" w:cs="Arial" w:eastAsia="Arial" w:hAnsi="Arial"/>
          <w:sz w:val="18"/>
          <w:szCs w:val="18"/>
          <w:color w:val="auto"/>
        </w:rPr>
      </w:pPr>
      <w:r>
        <w:rPr>
          <w:rFonts w:ascii="Arial" w:cs="Arial" w:eastAsia="Arial" w:hAnsi="Arial"/>
          <w:sz w:val="18"/>
          <w:szCs w:val="18"/>
          <w:color w:val="1D1C1D"/>
        </w:rPr>
        <w:t>Provide historical and other Company information to support the Company’s finance and operations functions and assist in onboarding a new Chief Financial Officer (CFO), should the Company hire one during the Term, to allow the Company to minimize the disruption that comes from a change in CFOs, where possible.</w:t>
      </w:r>
    </w:p>
    <w:p>
      <w:pPr>
        <w:spacing w:after="0" w:line="1" w:lineRule="exact"/>
        <w:rPr>
          <w:rFonts w:ascii="Arial" w:cs="Arial" w:eastAsia="Arial" w:hAnsi="Arial"/>
          <w:sz w:val="18"/>
          <w:szCs w:val="18"/>
          <w:color w:val="auto"/>
        </w:rPr>
      </w:pPr>
    </w:p>
    <w:p>
      <w:pPr>
        <w:ind w:left="1080" w:hanging="330"/>
        <w:spacing w:after="0"/>
        <w:tabs>
          <w:tab w:leader="none" w:pos="1080" w:val="left"/>
        </w:tabs>
        <w:numPr>
          <w:ilvl w:val="2"/>
          <w:numId w:val="3"/>
        </w:numPr>
        <w:rPr>
          <w:rFonts w:ascii="Arial" w:cs="Arial" w:eastAsia="Arial" w:hAnsi="Arial"/>
          <w:sz w:val="17"/>
          <w:szCs w:val="17"/>
          <w:color w:val="auto"/>
        </w:rPr>
      </w:pPr>
      <w:r>
        <w:rPr>
          <w:rFonts w:ascii="Arial" w:cs="Arial" w:eastAsia="Arial" w:hAnsi="Arial"/>
          <w:sz w:val="17"/>
          <w:szCs w:val="17"/>
          <w:color w:val="auto"/>
        </w:rPr>
        <w:t>Provide guidance on specific tasks, responsibilities and other information needed by Company personnel or the Board, as requested.</w:t>
      </w:r>
    </w:p>
    <w:p>
      <w:pPr>
        <w:spacing w:after="0" w:line="218" w:lineRule="exact"/>
        <w:rPr>
          <w:rFonts w:ascii="Arial" w:cs="Arial" w:eastAsia="Arial" w:hAnsi="Arial"/>
          <w:sz w:val="17"/>
          <w:szCs w:val="17"/>
          <w:color w:val="auto"/>
        </w:rPr>
      </w:pPr>
    </w:p>
    <w:p>
      <w:pPr>
        <w:ind w:firstLine="8"/>
        <w:spacing w:after="0" w:line="282" w:lineRule="auto"/>
        <w:tabs>
          <w:tab w:leader="none" w:pos="193"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REPORTING. </w:t>
      </w:r>
      <w:r>
        <w:rPr>
          <w:rFonts w:ascii="Arial" w:cs="Arial" w:eastAsia="Arial" w:hAnsi="Arial"/>
          <w:sz w:val="18"/>
          <w:szCs w:val="18"/>
          <w:color w:val="auto"/>
        </w:rPr>
        <w:t>Consultant will report directly to Keith Kravcik, Chair of the Company’s Board of Directors Audit Committee,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the duties under this Agreement.</w:t>
      </w:r>
    </w:p>
    <w:p>
      <w:pPr>
        <w:spacing w:after="0" w:line="161" w:lineRule="exact"/>
        <w:rPr>
          <w:rFonts w:ascii="Arial" w:cs="Arial" w:eastAsia="Arial" w:hAnsi="Arial"/>
          <w:sz w:val="18"/>
          <w:szCs w:val="18"/>
          <w:b w:val="1"/>
          <w:bCs w:val="1"/>
          <w:color w:val="auto"/>
        </w:rPr>
      </w:pPr>
    </w:p>
    <w:p>
      <w:pPr>
        <w:jc w:val="both"/>
        <w:ind w:firstLine="8"/>
        <w:spacing w:after="0" w:line="314" w:lineRule="auto"/>
        <w:tabs>
          <w:tab w:leader="none" w:pos="1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original term of the Agreement was from March 8, 2023 to May 19, 2023 (“Original Term”). The new, extended term shall begin from May</w:t>
      </w:r>
      <w:r>
        <w:rPr>
          <w:rFonts w:ascii="Arial" w:cs="Arial" w:eastAsia="Arial" w:hAnsi="Arial"/>
          <w:sz w:val="16"/>
          <w:szCs w:val="16"/>
          <w:b w:val="1"/>
          <w:bCs w:val="1"/>
          <w:color w:val="auto"/>
        </w:rPr>
        <w:t xml:space="preserve"> </w:t>
      </w:r>
      <w:r>
        <w:rPr>
          <w:rFonts w:ascii="Arial" w:cs="Arial" w:eastAsia="Arial" w:hAnsi="Arial"/>
          <w:sz w:val="16"/>
          <w:szCs w:val="16"/>
          <w:color w:val="auto"/>
        </w:rPr>
        <w:t>1, 2023 and end on July 31, 2023 (the “Extended Term”) and, together with the Original Term notwithstanding overlap, “Term”). This Amendment may only be extended thereafter by mutual agreement, unless terminated earlier by operation of and in accordance with this Amendment.</w:t>
      </w:r>
    </w:p>
    <w:p>
      <w:pPr>
        <w:spacing w:after="0" w:line="141" w:lineRule="exact"/>
        <w:rPr>
          <w:rFonts w:ascii="Arial" w:cs="Arial" w:eastAsia="Arial" w:hAnsi="Arial"/>
          <w:sz w:val="16"/>
          <w:szCs w:val="16"/>
          <w:b w:val="1"/>
          <w:bCs w:val="1"/>
          <w:color w:val="auto"/>
        </w:rPr>
      </w:pPr>
    </w:p>
    <w:p>
      <w:pPr>
        <w:ind w:left="180" w:hanging="172"/>
        <w:spacing w:after="0"/>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COMPENSATION. </w:t>
      </w:r>
      <w:r>
        <w:rPr>
          <w:rFonts w:ascii="Arial" w:cs="Arial" w:eastAsia="Arial" w:hAnsi="Arial"/>
          <w:sz w:val="17"/>
          <w:szCs w:val="17"/>
          <w:color w:val="auto"/>
        </w:rPr>
        <w:t>As full compensation for the Services rendered pursuant to this Amendment, the Company shall pay the Consultant as follows:</w:t>
      </w:r>
    </w:p>
    <w:p>
      <w:pPr>
        <w:spacing w:after="0" w:line="240" w:lineRule="exact"/>
        <w:rPr>
          <w:rFonts w:ascii="Arial" w:cs="Arial" w:eastAsia="Arial" w:hAnsi="Arial"/>
          <w:sz w:val="17"/>
          <w:szCs w:val="17"/>
          <w:b w:val="1"/>
          <w:bCs w:val="1"/>
          <w:color w:val="auto"/>
        </w:rPr>
      </w:pPr>
    </w:p>
    <w:p>
      <w:pPr>
        <w:ind w:left="720" w:hanging="334"/>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accordance with the Agreement,</w:t>
      </w:r>
    </w:p>
    <w:p>
      <w:pPr>
        <w:spacing w:after="0" w:line="225" w:lineRule="exact"/>
        <w:rPr>
          <w:rFonts w:ascii="Arial" w:cs="Arial" w:eastAsia="Arial" w:hAnsi="Arial"/>
          <w:sz w:val="18"/>
          <w:szCs w:val="18"/>
          <w:color w:val="auto"/>
        </w:rPr>
      </w:pPr>
    </w:p>
    <w:p>
      <w:pPr>
        <w:ind w:left="1360" w:hanging="326"/>
        <w:spacing w:after="0"/>
        <w:tabs>
          <w:tab w:leader="none" w:pos="1360" w:val="left"/>
        </w:tabs>
        <w:numPr>
          <w:ilvl w:val="3"/>
          <w:numId w:val="3"/>
        </w:numPr>
        <w:rPr>
          <w:rFonts w:ascii="Arial" w:cs="Arial" w:eastAsia="Arial" w:hAnsi="Arial"/>
          <w:sz w:val="18"/>
          <w:szCs w:val="18"/>
          <w:color w:val="auto"/>
        </w:rPr>
      </w:pPr>
      <w:r>
        <w:rPr>
          <w:rFonts w:ascii="Arial" w:cs="Arial" w:eastAsia="Arial" w:hAnsi="Arial"/>
          <w:sz w:val="18"/>
          <w:szCs w:val="18"/>
          <w:color w:val="auto"/>
        </w:rPr>
        <w:t>$40,000 for Services performed during the Original Term, pro-rated for the period from March 4, 2023 to April 28, 2023;</w:t>
      </w:r>
    </w:p>
    <w:p>
      <w:pPr>
        <w:spacing w:after="0" w:line="23" w:lineRule="exact"/>
        <w:rPr>
          <w:rFonts w:ascii="Arial" w:cs="Arial" w:eastAsia="Arial" w:hAnsi="Arial"/>
          <w:sz w:val="18"/>
          <w:szCs w:val="18"/>
          <w:color w:val="auto"/>
        </w:rPr>
      </w:pPr>
    </w:p>
    <w:p>
      <w:pPr>
        <w:ind w:left="1360" w:hanging="326"/>
        <w:spacing w:after="0"/>
        <w:tabs>
          <w:tab w:leader="none" w:pos="1360" w:val="left"/>
        </w:tabs>
        <w:numPr>
          <w:ilvl w:val="3"/>
          <w:numId w:val="3"/>
        </w:numPr>
        <w:rPr>
          <w:rFonts w:ascii="Arial" w:cs="Arial" w:eastAsia="Arial" w:hAnsi="Arial"/>
          <w:sz w:val="17"/>
          <w:szCs w:val="17"/>
          <w:color w:val="auto"/>
        </w:rPr>
      </w:pPr>
      <w:r>
        <w:rPr>
          <w:rFonts w:ascii="Arial" w:cs="Arial" w:eastAsia="Arial" w:hAnsi="Arial"/>
          <w:sz w:val="17"/>
          <w:szCs w:val="17"/>
          <w:color w:val="auto"/>
        </w:rPr>
        <w:t>$56,850 upon the successful filing with the Securities and Exchange Commission of the Q3 2023 Filing on or about May 15, 2023.</w:t>
      </w:r>
    </w:p>
    <w:p>
      <w:pPr>
        <w:spacing w:after="0" w:line="222" w:lineRule="exact"/>
        <w:rPr>
          <w:rFonts w:ascii="Arial" w:cs="Arial" w:eastAsia="Arial" w:hAnsi="Arial"/>
          <w:sz w:val="17"/>
          <w:szCs w:val="17"/>
          <w:color w:val="auto"/>
        </w:rPr>
      </w:pPr>
    </w:p>
    <w:p>
      <w:pPr>
        <w:ind w:left="720" w:hanging="334"/>
        <w:spacing w:after="0" w:line="277"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$50,000 per month, for Services performed during the Extended Term, to be paid twice monthly in accordance with the Company’s standard payroll schedule for all personnel.</w:t>
      </w:r>
    </w:p>
    <w:p>
      <w:pPr>
        <w:spacing w:after="0" w:line="170" w:lineRule="exact"/>
        <w:rPr>
          <w:rFonts w:ascii="Arial" w:cs="Arial" w:eastAsia="Arial" w:hAnsi="Arial"/>
          <w:sz w:val="18"/>
          <w:szCs w:val="18"/>
          <w:color w:val="auto"/>
        </w:rPr>
      </w:pPr>
    </w:p>
    <w:p>
      <w:pPr>
        <w:ind w:left="660" w:hanging="274"/>
        <w:spacing w:after="0" w:line="342" w:lineRule="auto"/>
        <w:tabs>
          <w:tab w:leader="none" w:pos="660" w:val="left"/>
        </w:tabs>
        <w:numPr>
          <w:ilvl w:val="1"/>
          <w:numId w:val="3"/>
        </w:numPr>
        <w:rPr>
          <w:rFonts w:ascii="Arial" w:cs="Arial" w:eastAsia="Arial" w:hAnsi="Arial"/>
          <w:sz w:val="16"/>
          <w:szCs w:val="16"/>
          <w:color w:val="1D1C1D"/>
        </w:rPr>
      </w:pPr>
      <w:r>
        <w:rPr>
          <w:rFonts w:ascii="Arial" w:cs="Arial" w:eastAsia="Arial" w:hAnsi="Arial"/>
          <w:sz w:val="16"/>
          <w:szCs w:val="16"/>
          <w:color w:val="1D1C1D"/>
        </w:rPr>
        <w:t>250,000 in Restricted Stock Units (RSUs) granted upon the execution of this Amendment, with (i) 125,000 RSUs to vest monthly during the Extended Term and (ii) up to 125,000 RSUs to vest upon the achievement of certain targets established between the Company and Consultant.</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Should Consultant leave the Company before the end of the Term, Consultant shall only be paid for the portion of the Term that he provided Services for, until his last day with the Company (“Termination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left="-8" w:firstLine="8"/>
        <w:spacing w:after="0" w:line="263"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OPTION VESTING. (i) With respect to Consultant’s stock options granted to date, to him as a Company employee, such options shall continue to vest until the Termination Date; this provision was approved by the Board. (ii) The deadline for exercising these stock options shall be extended for three (3) years from the Termination Date; this provision was approved by the Board on February 8, 2023</w:t>
      </w:r>
      <w:r>
        <w:rPr>
          <w:rFonts w:ascii="Arial" w:cs="Arial" w:eastAsia="Arial" w:hAnsi="Arial"/>
          <w:sz w:val="18"/>
          <w:szCs w:val="18"/>
          <w:b w:val="1"/>
          <w:bCs w:val="1"/>
          <w:color w:val="auto"/>
        </w:rPr>
        <w:t>.</w:t>
      </w:r>
    </w:p>
    <w:p>
      <w:pPr>
        <w:spacing w:after="0" w:line="183" w:lineRule="exact"/>
        <w:rPr>
          <w:rFonts w:ascii="Arial" w:cs="Arial" w:eastAsia="Arial" w:hAnsi="Arial"/>
          <w:sz w:val="18"/>
          <w:szCs w:val="18"/>
          <w:color w:val="auto"/>
        </w:rPr>
      </w:pPr>
    </w:p>
    <w:p>
      <w:pPr>
        <w:ind w:left="5432"/>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72"/>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32"/>
      </w:cols>
      <w:pgMar w:left="328"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Roman"/>
      <w:start w:val="1"/>
    </w:lvl>
  </w:abstractNum>
  <w:abstractNum w:abstractNumId="3">
    <w:nsid w:val="625558EC"/>
    <w:multiLevelType w:val="hybridMultilevel"/>
    <w:lvl w:ilvl="0">
      <w:lvlJc w:val="left"/>
      <w:lvlText w:val="%1."/>
      <w:numFmt w:val="decimal"/>
      <w:start w:val="5"/>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2023-05-10T05:25:48Z</dcterms:created>
  <dcterms:modified xsi:type="dcterms:W3CDTF">2023-05-10T05:25:48Z</dcterms:modified>
</cp:coreProperties>
</file>