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32385</wp:posOffset>
            </wp:positionV>
            <wp:extent cx="6972300" cy="1691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916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Ventoux Acquisition Holdings LLC</w:t>
        </w:r>
      </w:hyperlink>
    </w:p>
    <w:p>
      <w:pPr>
        <w:spacing w:after="0" w:line="28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7" w:lineRule="exact"/>
        <w:rPr>
          <w:sz w:val="24"/>
          <w:szCs w:val="24"/>
          <w:color w:val="auto"/>
        </w:rPr>
      </w:pPr>
    </w:p>
    <w:p>
      <w:pPr>
        <w:ind w:left="120" w:right="580"/>
        <w:spacing w:after="0" w:line="361" w:lineRule="auto"/>
        <w:rPr>
          <w:sz w:val="20"/>
          <w:szCs w:val="20"/>
          <w:color w:val="auto"/>
        </w:rPr>
      </w:pPr>
      <w:r>
        <w:rPr>
          <w:rFonts w:ascii="Times New Roman" w:cs="Times New Roman" w:eastAsia="Times New Roman" w:hAnsi="Times New Roman"/>
          <w:sz w:val="16"/>
          <w:szCs w:val="16"/>
          <w:color w:val="0000FF"/>
        </w:rPr>
        <w:t>C/O VENTOUX CCM ACQUISITION CORP. 1 EAST PUTNAM AVENUE, FLOOR 4</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GREENWICH</w:t>
            </w:r>
          </w:p>
        </w:tc>
        <w:tc>
          <w:tcPr>
            <w:tcW w:w="9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06830</w:t>
            </w:r>
          </w:p>
        </w:tc>
      </w:tr>
      <w:tr>
        <w:trPr>
          <w:trHeight w:val="145"/>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60"/>
              <w:spacing w:after="0" w:line="20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Ventoux CCM Acquisition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VTAQU</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8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0" w:type="dxa"/>
            <w:vAlign w:val="bottom"/>
            <w:tcBorders>
              <w:bottom w:val="single" w:sz="8" w:color="2C2C2C"/>
            </w:tcBorders>
          </w:tcPr>
          <w:p>
            <w:pPr>
              <w:spacing w:after="0"/>
              <w:rPr>
                <w:sz w:val="13"/>
                <w:szCs w:val="13"/>
                <w:color w:val="auto"/>
              </w:rPr>
            </w:pPr>
          </w:p>
        </w:tc>
        <w:tc>
          <w:tcPr>
            <w:tcW w:w="36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ind w:left="400"/>
              <w:spacing w:after="0" w:line="145"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5"/>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below)</w:t>
            </w:r>
          </w:p>
        </w:tc>
        <w:tc>
          <w:tcPr>
            <w:tcW w:w="1620" w:type="dxa"/>
            <w:vAlign w:val="bottom"/>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1"/>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12/30/2020</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100"/>
        <w:spacing w:after="0" w:line="233"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303530</wp:posOffset>
            </wp:positionV>
            <wp:extent cx="6972300" cy="849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849630"/>
                    </a:xfrm>
                    <a:prstGeom prst="rect">
                      <a:avLst/>
                    </a:prstGeom>
                    <a:noFill/>
                  </pic:spPr>
                </pic:pic>
              </a:graphicData>
            </a:graphic>
          </wp:anchor>
        </w:drawing>
      </w:r>
    </w:p>
    <w:p>
      <w:pPr>
        <w:spacing w:after="0" w:line="534"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40"/>
              <w:spacing w:after="0" w:line="120"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035800" cy="1802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180276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w:t>
            </w:r>
          </w:p>
        </w:tc>
        <w:tc>
          <w:tcPr>
            <w:tcW w:w="2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vMerge w:val="continue"/>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to</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4,000,000</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ind w:left="2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040" w:type="dxa"/>
            <w:vAlign w:val="bottom"/>
          </w:tcPr>
          <w:p>
            <w:pPr>
              <w:jc w:val="right"/>
              <w:ind w:right="182"/>
              <w:spacing w:after="0" w:line="126" w:lineRule="exact"/>
              <w:rPr>
                <w:sz w:val="20"/>
                <w:szCs w:val="20"/>
                <w:color w:val="auto"/>
              </w:rPr>
            </w:pPr>
            <w:r>
              <w:rPr>
                <w:rFonts w:ascii="Times New Roman" w:cs="Times New Roman" w:eastAsia="Times New Roman" w:hAnsi="Times New Roman"/>
                <w:sz w:val="13"/>
                <w:szCs w:val="13"/>
                <w:color w:val="0000FF"/>
              </w:rPr>
              <w:t>12/30/2020</w:t>
            </w:r>
          </w:p>
        </w:tc>
        <w:tc>
          <w:tcPr>
            <w:tcW w:w="1060" w:type="dxa"/>
            <w:vAlign w:val="bottom"/>
          </w:tcPr>
          <w:p>
            <w:pPr>
              <w:spacing w:after="0"/>
              <w:rPr>
                <w:sz w:val="10"/>
                <w:szCs w:val="10"/>
                <w:color w:val="auto"/>
              </w:rPr>
            </w:pPr>
          </w:p>
        </w:tc>
        <w:tc>
          <w:tcPr>
            <w:tcW w:w="780" w:type="dxa"/>
            <w:vAlign w:val="bottom"/>
          </w:tcPr>
          <w:p>
            <w:pPr>
              <w:ind w:left="180"/>
              <w:spacing w:after="0" w:line="126" w:lineRule="exact"/>
              <w:rPr>
                <w:sz w:val="20"/>
                <w:szCs w:val="20"/>
                <w:color w:val="auto"/>
              </w:rPr>
            </w:pPr>
            <w:r>
              <w:rPr>
                <w:rFonts w:ascii="Times New Roman" w:cs="Times New Roman" w:eastAsia="Times New Roman" w:hAnsi="Times New Roman"/>
                <w:sz w:val="13"/>
                <w:szCs w:val="13"/>
                <w:color w:val="0000FF"/>
              </w:rPr>
              <w:t>P</w:t>
            </w: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4,000,000</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tcPr>
          <w:p>
            <w:pPr>
              <w:ind w:lef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w:t>
            </w:r>
          </w:p>
        </w:tc>
        <w:tc>
          <w:tcPr>
            <w:tcW w:w="900" w:type="dxa"/>
            <w:vAlign w:val="bottom"/>
          </w:tcPr>
          <w:p>
            <w:pPr>
              <w:ind w:left="200"/>
              <w:spacing w:after="0" w:line="126" w:lineRule="exact"/>
              <w:rPr>
                <w:sz w:val="20"/>
                <w:szCs w:val="20"/>
                <w:color w:val="auto"/>
              </w:rPr>
            </w:pPr>
            <w:r>
              <w:rPr>
                <w:rFonts w:ascii="Times New Roman" w:cs="Times New Roman" w:eastAsia="Times New Roman" w:hAnsi="Times New Roman"/>
                <w:sz w:val="13"/>
                <w:szCs w:val="13"/>
                <w:color w:val="0000FF"/>
              </w:rPr>
              <w:t>4,000,000</w:t>
            </w:r>
          </w:p>
        </w:tc>
        <w:tc>
          <w:tcPr>
            <w:tcW w:w="72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pacing w:after="0" w:line="8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become exercisable on the later of (i) twelve (12) months from the closing of the registrant's initial public offering or (ii) the consummation of the registrant's initial business combination.</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expire five (5) years after the completion of the registrant's initial business combination.</w:t>
      </w:r>
    </w:p>
    <w:p>
      <w:pPr>
        <w:spacing w:after="0" w:line="6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By: /s/ Edward Scheetz,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-5080</wp:posOffset>
            </wp:positionV>
            <wp:extent cx="991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ind w:left="6600"/>
        <w:spacing w:after="0" w:line="203" w:lineRule="auto"/>
        <w:tabs>
          <w:tab w:leader="none" w:pos="8780" w:val="left"/>
        </w:tabs>
        <w:rPr>
          <w:sz w:val="20"/>
          <w:szCs w:val="20"/>
          <w:color w:val="auto"/>
        </w:rPr>
      </w:pPr>
      <w:r>
        <w:rPr>
          <w:rFonts w:ascii="Times New Roman" w:cs="Times New Roman" w:eastAsia="Times New Roman" w:hAnsi="Times New Roman"/>
          <w:sz w:val="16"/>
          <w:szCs w:val="16"/>
          <w:color w:val="0000FF"/>
        </w:rPr>
        <w:t>Managing Member By: /s/</w:t>
      </w:r>
      <w:r>
        <w:rPr>
          <w:sz w:val="20"/>
          <w:szCs w:val="20"/>
          <w:color w:val="auto"/>
        </w:rPr>
        <w:tab/>
      </w:r>
      <w:r>
        <w:rPr>
          <w:rFonts w:ascii="Times New Roman" w:cs="Times New Roman" w:eastAsia="Times New Roman" w:hAnsi="Times New Roman"/>
          <w:sz w:val="24"/>
          <w:szCs w:val="24"/>
          <w:color w:val="0000FF"/>
          <w:vertAlign w:val="subscript"/>
        </w:rPr>
        <w:t>12/30/2020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09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Matthew MacDonald, Managing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3500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5001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-80010</wp:posOffset>
            </wp:positionV>
            <wp:extent cx="470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Member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3498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4988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837185" TargetMode="External"/><Relationship Id="rId14"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2020-12-30T16:03:31Z</dcterms:created>
  <dcterms:modified xsi:type="dcterms:W3CDTF">2020-12-30T16:03:31Z</dcterms:modified>
</cp:coreProperties>
</file>