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135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3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Suri Rajat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 MIDDLEFIELD ROAD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07/28/2023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2,234,703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4,873,529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number of shares beneficially owned has been adjusted pursuant to a review of the Reporting Person's holdings.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Rajat Suri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10/26/2023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5017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2023-10-26T16:58:03Z</dcterms:created>
  <dcterms:modified xsi:type="dcterms:W3CDTF">2023-10-26T16:58:03Z</dcterms:modified>
</cp:coreProperties>
</file>