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274320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342900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10-Q</w:t>
      </w:r>
    </w:p>
    <w:p>
      <w:pPr>
        <w:spacing w:after="0" w:line="150" w:lineRule="exact"/>
        <w:rPr>
          <w:sz w:val="24"/>
          <w:szCs w:val="24"/>
          <w:color w:val="auto"/>
        </w:rPr>
      </w:pPr>
    </w:p>
    <w:p>
      <w:pPr>
        <w:jc w:val="center"/>
        <w:ind w:left="3520" w:right="1220" w:hanging="2297"/>
        <w:spacing w:after="0" w:line="442" w:lineRule="auto"/>
        <w:tabs>
          <w:tab w:leader="none" w:pos="1399"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 For the quarterly period ended March 31,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50" w:lineRule="exact"/>
        <w:rPr>
          <w:sz w:val="24"/>
          <w:szCs w:val="24"/>
          <w:color w:val="auto"/>
        </w:rPr>
      </w:pPr>
    </w:p>
    <w:p>
      <w:pPr>
        <w:ind w:left="1380" w:hanging="161"/>
        <w:spacing w:after="0"/>
        <w:tabs>
          <w:tab w:leader="none" w:pos="13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36" w:lineRule="exact"/>
        <w:rPr>
          <w:sz w:val="24"/>
          <w:szCs w:val="24"/>
          <w:color w:val="auto"/>
        </w:rPr>
      </w:pPr>
    </w:p>
    <w:p>
      <w:pPr>
        <w:ind w:left="3800"/>
        <w:spacing w:after="0"/>
        <w:tabs>
          <w:tab w:leader="none" w:pos="600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PRESTO AUTOMATION INC.</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64"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4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280" w:type="dxa"/>
            <w:vAlign w:val="bottom"/>
            <w:gridSpan w:val="3"/>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001-39830</w:t>
            </w:r>
          </w:p>
        </w:tc>
        <w:tc>
          <w:tcPr>
            <w:tcW w:w="240" w:type="dxa"/>
            <w:vAlign w:val="bottom"/>
          </w:tcPr>
          <w:p>
            <w:pPr>
              <w:spacing w:after="0"/>
              <w:rPr>
                <w:sz w:val="15"/>
                <w:szCs w:val="15"/>
                <w:color w:val="auto"/>
              </w:rPr>
            </w:pPr>
          </w:p>
        </w:tc>
        <w:tc>
          <w:tcPr>
            <w:tcW w:w="3080" w:type="dxa"/>
            <w:vAlign w:val="bottom"/>
          </w:tcPr>
          <w:p>
            <w:pPr>
              <w:jc w:val="right"/>
              <w:ind w:right="1128"/>
              <w:spacing w:after="0"/>
              <w:rPr>
                <w:sz w:val="20"/>
                <w:szCs w:val="20"/>
                <w:color w:val="auto"/>
              </w:rPr>
            </w:pPr>
            <w:r>
              <w:rPr>
                <w:rFonts w:ascii="Times New Roman" w:cs="Times New Roman" w:eastAsia="Times New Roman" w:hAnsi="Times New Roman"/>
                <w:sz w:val="14"/>
                <w:szCs w:val="14"/>
                <w:b w:val="1"/>
                <w:bCs w:val="1"/>
                <w:color w:val="auto"/>
              </w:rPr>
              <w:t>84-2968594</w:t>
            </w:r>
          </w:p>
        </w:tc>
        <w:tc>
          <w:tcPr>
            <w:tcW w:w="0" w:type="dxa"/>
            <w:vAlign w:val="bottom"/>
          </w:tcPr>
          <w:p>
            <w:pPr>
              <w:spacing w:after="0"/>
              <w:rPr>
                <w:sz w:val="1"/>
                <w:szCs w:val="1"/>
                <w:color w:val="auto"/>
              </w:rPr>
            </w:pPr>
          </w:p>
        </w:tc>
      </w:tr>
      <w:tr>
        <w:trPr>
          <w:trHeight w:val="184"/>
        </w:trPr>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280" w:type="dxa"/>
            <w:vAlign w:val="bottom"/>
          </w:tcPr>
          <w:p>
            <w:pPr>
              <w:spacing w:after="0"/>
              <w:rPr>
                <w:sz w:val="15"/>
                <w:szCs w:val="15"/>
                <w:color w:val="auto"/>
              </w:rPr>
            </w:pPr>
          </w:p>
        </w:tc>
        <w:tc>
          <w:tcPr>
            <w:tcW w:w="228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40" w:type="dxa"/>
            <w:vAlign w:val="bottom"/>
          </w:tcPr>
          <w:p>
            <w:pPr>
              <w:spacing w:after="0"/>
              <w:rPr>
                <w:sz w:val="15"/>
                <w:szCs w:val="15"/>
                <w:color w:val="auto"/>
              </w:rPr>
            </w:pPr>
          </w:p>
        </w:tc>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0" w:type="dxa"/>
            <w:vAlign w:val="bottom"/>
          </w:tcPr>
          <w:p>
            <w:pPr>
              <w:spacing w:after="0"/>
              <w:rPr>
                <w:sz w:val="1"/>
                <w:szCs w:val="1"/>
                <w:color w:val="auto"/>
              </w:rPr>
            </w:pPr>
          </w:p>
        </w:tc>
      </w:tr>
      <w:tr>
        <w:trPr>
          <w:trHeight w:val="298"/>
        </w:trPr>
        <w:tc>
          <w:tcPr>
            <w:tcW w:w="4320" w:type="dxa"/>
            <w:vAlign w:val="bottom"/>
            <w:gridSpan w:val="2"/>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985 Industrial Road</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80" w:type="dxa"/>
            <w:vAlign w:val="bottom"/>
            <w:vMerge w:val="restart"/>
          </w:tcPr>
          <w:p>
            <w:pPr>
              <w:jc w:val="right"/>
              <w:ind w:right="2188"/>
              <w:spacing w:after="0"/>
              <w:rPr>
                <w:sz w:val="20"/>
                <w:szCs w:val="20"/>
                <w:color w:val="auto"/>
              </w:rPr>
            </w:pPr>
            <w:r>
              <w:rPr>
                <w:rFonts w:ascii="Times New Roman" w:cs="Times New Roman" w:eastAsia="Times New Roman" w:hAnsi="Times New Roman"/>
                <w:sz w:val="14"/>
                <w:szCs w:val="14"/>
                <w:b w:val="1"/>
                <w:bCs w:val="1"/>
                <w:color w:val="auto"/>
              </w:rPr>
              <w:t>94070</w:t>
            </w:r>
          </w:p>
        </w:tc>
        <w:tc>
          <w:tcPr>
            <w:tcW w:w="0" w:type="dxa"/>
            <w:vAlign w:val="bottom"/>
          </w:tcPr>
          <w:p>
            <w:pPr>
              <w:spacing w:after="0"/>
              <w:rPr>
                <w:sz w:val="1"/>
                <w:szCs w:val="1"/>
                <w:color w:val="auto"/>
              </w:rPr>
            </w:pPr>
          </w:p>
        </w:tc>
      </w:tr>
      <w:tr>
        <w:trPr>
          <w:trHeight w:val="173"/>
        </w:trPr>
        <w:tc>
          <w:tcPr>
            <w:tcW w:w="4320" w:type="dxa"/>
            <w:vAlign w:val="bottom"/>
            <w:tcBorders>
              <w:bottom w:val="single" w:sz="8" w:color="auto"/>
            </w:tcBorders>
            <w:gridSpan w:val="2"/>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San Carlos, California</w:t>
            </w:r>
          </w:p>
        </w:tc>
        <w:tc>
          <w:tcPr>
            <w:tcW w:w="5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320" w:type="dxa"/>
            <w:vAlign w:val="bottom"/>
            <w:gridSpan w:val="2"/>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80" w:type="dxa"/>
            <w:vAlign w:val="bottom"/>
          </w:tcPr>
          <w:p>
            <w:pPr>
              <w:jc w:val="center"/>
              <w:ind w:right="1748"/>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(650) 817-9012</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3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1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3"/>
        </w:trPr>
        <w:tc>
          <w:tcPr>
            <w:tcW w:w="3740" w:type="dxa"/>
            <w:vAlign w:val="bottom"/>
            <w:gridSpan w:val="2"/>
            <w:vMerge w:val="continue"/>
          </w:tcPr>
          <w:p>
            <w:pPr>
              <w:spacing w:after="0"/>
              <w:rPr>
                <w:sz w:val="15"/>
                <w:szCs w:val="15"/>
                <w:color w:val="auto"/>
              </w:rPr>
            </w:pPr>
          </w:p>
        </w:tc>
        <w:tc>
          <w:tcPr>
            <w:tcW w:w="3120" w:type="dxa"/>
            <w:vAlign w:val="bottom"/>
            <w:gridSpan w:val="2"/>
            <w:vMerge w:val="continue"/>
          </w:tcPr>
          <w:p>
            <w:pPr>
              <w:spacing w:after="0"/>
              <w:rPr>
                <w:sz w:val="15"/>
                <w:szCs w:val="15"/>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42"/>
        </w:trPr>
        <w:tc>
          <w:tcPr>
            <w:tcW w:w="358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Common stock, par value $0.0001 per share</w:t>
            </w:r>
          </w:p>
        </w:tc>
        <w:tc>
          <w:tcPr>
            <w:tcW w:w="160" w:type="dxa"/>
            <w:vAlign w:val="bottom"/>
            <w:tcBorders>
              <w:top w:val="single" w:sz="8" w:color="CCEEFF"/>
            </w:tcBorders>
            <w:shd w:val="clear" w:color="auto" w:fill="CCEEFF"/>
          </w:tcPr>
          <w:p>
            <w:pPr>
              <w:spacing w:after="0"/>
              <w:rPr>
                <w:sz w:val="12"/>
                <w:szCs w:val="12"/>
                <w:color w:val="auto"/>
              </w:rPr>
            </w:pPr>
          </w:p>
        </w:tc>
        <w:tc>
          <w:tcPr>
            <w:tcW w:w="296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PRST</w:t>
            </w:r>
          </w:p>
        </w:tc>
        <w:tc>
          <w:tcPr>
            <w:tcW w:w="160" w:type="dxa"/>
            <w:vAlign w:val="bottom"/>
            <w:tcBorders>
              <w:top w:val="single" w:sz="8" w:color="CCEEFF"/>
            </w:tcBorders>
            <w:shd w:val="clear" w:color="auto" w:fill="CCEEFF"/>
          </w:tcPr>
          <w:p>
            <w:pPr>
              <w:spacing w:after="0"/>
              <w:rPr>
                <w:sz w:val="12"/>
                <w:szCs w:val="12"/>
                <w:color w:val="auto"/>
              </w:rPr>
            </w:pPr>
          </w:p>
        </w:tc>
        <w:tc>
          <w:tcPr>
            <w:tcW w:w="306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740" w:type="dxa"/>
            <w:vAlign w:val="bottom"/>
            <w:gridSpan w:val="2"/>
            <w:shd w:val="clear" w:color="auto" w:fill="CCEEFF"/>
          </w:tcPr>
          <w:p>
            <w:pPr>
              <w:jc w:val="center"/>
              <w:ind w:right="160"/>
              <w:spacing w:after="0" w:line="126" w:lineRule="exact"/>
              <w:rPr>
                <w:sz w:val="20"/>
                <w:szCs w:val="20"/>
                <w:color w:val="auto"/>
              </w:rPr>
            </w:pPr>
            <w:r>
              <w:rPr>
                <w:rFonts w:ascii="Times New Roman" w:cs="Times New Roman" w:eastAsia="Times New Roman" w:hAnsi="Times New Roman"/>
                <w:sz w:val="14"/>
                <w:szCs w:val="14"/>
                <w:color w:val="auto"/>
              </w:rPr>
              <w:t>Warrants, each whole warrant exercisable for one share of</w:t>
            </w:r>
          </w:p>
        </w:tc>
        <w:tc>
          <w:tcPr>
            <w:tcW w:w="3120" w:type="dxa"/>
            <w:vAlign w:val="bottom"/>
            <w:gridSpan w:val="2"/>
            <w:vMerge w:val="restart"/>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PRSTW</w:t>
            </w:r>
          </w:p>
        </w:tc>
        <w:tc>
          <w:tcPr>
            <w:tcW w:w="30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71"/>
        </w:trPr>
        <w:tc>
          <w:tcPr>
            <w:tcW w:w="37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Common stock, each at an exercise price of $8.21 per share</w:t>
            </w:r>
          </w:p>
        </w:tc>
        <w:tc>
          <w:tcPr>
            <w:tcW w:w="3120" w:type="dxa"/>
            <w:vAlign w:val="bottom"/>
            <w:gridSpan w:val="2"/>
            <w:vMerge w:val="continue"/>
            <w:shd w:val="clear" w:color="auto" w:fill="CCEEFF"/>
          </w:tcPr>
          <w:p>
            <w:pPr>
              <w:spacing w:after="0"/>
              <w:rPr>
                <w:sz w:val="14"/>
                <w:szCs w:val="14"/>
                <w:color w:val="auto"/>
              </w:rPr>
            </w:pPr>
          </w:p>
        </w:tc>
        <w:tc>
          <w:tcPr>
            <w:tcW w:w="30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93" w:lineRule="exact"/>
        <w:rPr>
          <w:sz w:val="24"/>
          <w:szCs w:val="24"/>
          <w:color w:val="auto"/>
        </w:rPr>
      </w:pPr>
    </w:p>
    <w:p>
      <w:pPr>
        <w:ind w:right="46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79" w:lineRule="exact"/>
        <w:rPr>
          <w:sz w:val="24"/>
          <w:szCs w:val="24"/>
          <w:color w:val="auto"/>
        </w:rPr>
      </w:pPr>
    </w:p>
    <w:p>
      <w:pPr>
        <w:ind w:right="30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8" w:lineRule="exact"/>
        <w:rPr>
          <w:sz w:val="24"/>
          <w:szCs w:val="24"/>
          <w:color w:val="auto"/>
        </w:rPr>
      </w:pPr>
    </w:p>
    <w:p>
      <w:pPr>
        <w:ind w:right="40"/>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560" w:type="dxa"/>
            <w:vAlign w:val="bottom"/>
          </w:tcPr>
          <w:p>
            <w:pPr>
              <w:ind w:left="680"/>
              <w:spacing w:after="0" w:line="141" w:lineRule="exact"/>
              <w:rPr>
                <w:sz w:val="20"/>
                <w:szCs w:val="20"/>
                <w:color w:val="auto"/>
              </w:rPr>
            </w:pPr>
            <w:r>
              <w:rPr>
                <w:rFonts w:ascii="MS PGothic" w:cs="MS PGothic" w:eastAsia="MS PGothic" w:hAnsi="MS PGothic"/>
                <w:sz w:val="14"/>
                <w:szCs w:val="14"/>
                <w:color w:val="auto"/>
              </w:rPr>
              <w:t>☐</w:t>
            </w:r>
          </w:p>
        </w:tc>
        <w:tc>
          <w:tcPr>
            <w:tcW w:w="412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Accelerated filer</w:t>
            </w:r>
          </w:p>
        </w:tc>
        <w:tc>
          <w:tcPr>
            <w:tcW w:w="90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560" w:type="dxa"/>
            <w:vAlign w:val="bottom"/>
          </w:tcPr>
          <w:p>
            <w:pPr>
              <w:ind w:left="680"/>
              <w:spacing w:after="0" w:line="141" w:lineRule="exact"/>
              <w:rPr>
                <w:sz w:val="20"/>
                <w:szCs w:val="20"/>
                <w:color w:val="auto"/>
              </w:rPr>
            </w:pPr>
            <w:r>
              <w:rPr>
                <w:rFonts w:ascii="MS PGothic" w:cs="MS PGothic" w:eastAsia="MS PGothic" w:hAnsi="MS PGothic"/>
                <w:sz w:val="14"/>
                <w:szCs w:val="14"/>
                <w:color w:val="auto"/>
              </w:rPr>
              <w:t>☒</w:t>
            </w:r>
          </w:p>
        </w:tc>
        <w:tc>
          <w:tcPr>
            <w:tcW w:w="412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90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2560" w:type="dxa"/>
            <w:vAlign w:val="bottom"/>
          </w:tcPr>
          <w:p>
            <w:pPr>
              <w:ind w:left="680"/>
              <w:spacing w:after="0" w:line="141" w:lineRule="exact"/>
              <w:rPr>
                <w:sz w:val="20"/>
                <w:szCs w:val="20"/>
                <w:color w:val="auto"/>
              </w:rPr>
            </w:pPr>
            <w:r>
              <w:rPr>
                <w:rFonts w:ascii="MS PGothic" w:cs="MS PGothic" w:eastAsia="MS PGothic" w:hAnsi="MS PGothic"/>
                <w:sz w:val="14"/>
                <w:szCs w:val="14"/>
                <w:color w:val="auto"/>
              </w:rPr>
              <w:t>☒</w:t>
            </w:r>
          </w:p>
        </w:tc>
        <w:tc>
          <w:tcPr>
            <w:tcW w:w="4120" w:type="dxa"/>
            <w:vAlign w:val="bottom"/>
          </w:tcPr>
          <w:p>
            <w:pPr>
              <w:spacing w:after="0"/>
              <w:rPr>
                <w:sz w:val="21"/>
                <w:szCs w:val="21"/>
                <w:color w:val="auto"/>
              </w:rPr>
            </w:pPr>
          </w:p>
        </w:tc>
        <w:tc>
          <w:tcPr>
            <w:tcW w:w="900" w:type="dxa"/>
            <w:vAlign w:val="bottom"/>
          </w:tcPr>
          <w:p>
            <w:pPr>
              <w:spacing w:after="0"/>
              <w:rPr>
                <w:sz w:val="21"/>
                <w:szCs w:val="21"/>
                <w:color w:val="auto"/>
              </w:rPr>
            </w:pPr>
          </w:p>
        </w:tc>
      </w:tr>
    </w:tbl>
    <w:p>
      <w:pPr>
        <w:spacing w:after="0" w:line="154" w:lineRule="exact"/>
        <w:rPr>
          <w:sz w:val="24"/>
          <w:szCs w:val="24"/>
          <w:color w:val="auto"/>
        </w:rPr>
      </w:pPr>
    </w:p>
    <w:p>
      <w:pPr>
        <w:ind w:right="4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jc w:val="right"/>
        <w:ind w:right="2520"/>
        <w:spacing w:after="0" w:line="26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May 20, 2024, 105,882,010 shares of common stock, par value $0.0001 per share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469265</wp:posOffset>
            </wp:positionV>
            <wp:extent cx="629221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32385</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92075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98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4"/>
        </w:trPr>
        <w:tc>
          <w:tcPr>
            <w:tcW w:w="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60" w:type="dxa"/>
            <w:vAlign w:val="bottom"/>
            <w:gridSpan w:val="9"/>
          </w:tcPr>
          <w:p>
            <w:pPr>
              <w:jc w:val="center"/>
              <w:ind w:right="2280"/>
              <w:spacing w:after="0"/>
              <w:rPr>
                <w:sz w:val="20"/>
                <w:szCs w:val="20"/>
                <w:color w:val="auto"/>
              </w:rPr>
            </w:pPr>
            <w:r>
              <w:rPr>
                <w:rFonts w:ascii="Times New Roman" w:cs="Times New Roman" w:eastAsia="Times New Roman" w:hAnsi="Times New Roman"/>
                <w:sz w:val="18"/>
                <w:szCs w:val="18"/>
                <w:b w:val="1"/>
                <w:bCs w:val="1"/>
                <w:color w:val="auto"/>
                <w:w w:val="98"/>
              </w:rPr>
              <w:t>PRESTO AUTOMATION INC.</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60" w:type="dxa"/>
            <w:vAlign w:val="bottom"/>
            <w:gridSpan w:val="6"/>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60" w:type="dxa"/>
            <w:vAlign w:val="bottom"/>
            <w:gridSpan w:val="9"/>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w w:val="99"/>
              </w:rPr>
              <w:t>For the Quarter Ended March 31, 2024</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20" w:type="dxa"/>
            <w:vAlign w:val="bottom"/>
            <w:gridSpan w:val="7"/>
          </w:tcPr>
          <w:p>
            <w:pPr>
              <w:jc w:val="center"/>
              <w:ind w:right="31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7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2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960" w:type="dxa"/>
            <w:vAlign w:val="bottom"/>
            <w:gridSpan w:val="2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94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ii</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00" w:type="dxa"/>
            <w:vAlign w:val="bottom"/>
            <w:tcBorders>
              <w:top w:val="single" w:sz="8" w:color="0000EE"/>
            </w:tcBorders>
            <w:gridSpan w:val="17"/>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 . FINANCIAL INFORMATION</w:t>
            </w:r>
          </w:p>
        </w:tc>
        <w:tc>
          <w:tcPr>
            <w:tcW w:w="4460" w:type="dxa"/>
            <w:vAlign w:val="bottom"/>
            <w:tcBorders>
              <w:top w:val="single" w:sz="8" w:color="CCEEFF"/>
            </w:tcBorders>
            <w:gridSpan w:val="6"/>
          </w:tcPr>
          <w:p>
            <w:pPr>
              <w:spacing w:after="0"/>
              <w:rPr>
                <w:sz w:val="15"/>
                <w:szCs w:val="15"/>
                <w:color w:val="auto"/>
              </w:rPr>
            </w:pPr>
          </w:p>
        </w:tc>
        <w:tc>
          <w:tcPr>
            <w:tcW w:w="9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4"/>
              </w:rPr>
              <w:t>Item 1.</w:t>
            </w:r>
          </w:p>
        </w:tc>
        <w:tc>
          <w:tcPr>
            <w:tcW w:w="280" w:type="dxa"/>
            <w:vAlign w:val="bottom"/>
            <w:gridSpan w:val="2"/>
            <w:shd w:val="clear" w:color="auto" w:fill="CCEEFF"/>
          </w:tcPr>
          <w:p>
            <w:pPr>
              <w:spacing w:after="0"/>
              <w:rPr>
                <w:sz w:val="15"/>
                <w:szCs w:val="15"/>
                <w:color w:val="auto"/>
              </w:rPr>
            </w:pPr>
          </w:p>
        </w:tc>
        <w:tc>
          <w:tcPr>
            <w:tcW w:w="81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60" w:type="dxa"/>
            <w:vAlign w:val="bottom"/>
            <w:gridSpan w:val="19"/>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6240" w:type="dxa"/>
            <w:vAlign w:val="bottom"/>
            <w:tcBorders>
              <w:bottom w:val="single" w:sz="8" w:color="0000EE"/>
            </w:tcBorders>
            <w:gridSpan w:val="1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Income (Loss)</w:t>
            </w:r>
          </w:p>
        </w:tc>
        <w:tc>
          <w:tcPr>
            <w:tcW w:w="16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60" w:type="dxa"/>
            <w:vAlign w:val="bottom"/>
            <w:gridSpan w:val="19"/>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Stockholders’ Deficit</w:t>
            </w:r>
          </w:p>
        </w:tc>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60" w:type="dxa"/>
            <w:vAlign w:val="bottom"/>
            <w:gridSpan w:val="1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Statements of Cash Flows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60" w:type="dxa"/>
            <w:vAlign w:val="bottom"/>
            <w:gridSpan w:val="19"/>
          </w:tcPr>
          <w:p>
            <w:pPr>
              <w:ind w:left="20"/>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4"/>
              </w:rPr>
              <w:t>Item 2.</w:t>
            </w:r>
          </w:p>
        </w:tc>
        <w:tc>
          <w:tcPr>
            <w:tcW w:w="280" w:type="dxa"/>
            <w:vAlign w:val="bottom"/>
            <w:gridSpan w:val="2"/>
            <w:shd w:val="clear" w:color="auto" w:fill="CCEEFF"/>
          </w:tcPr>
          <w:p>
            <w:pPr>
              <w:spacing w:after="0"/>
              <w:rPr>
                <w:sz w:val="17"/>
                <w:szCs w:val="17"/>
                <w:color w:val="auto"/>
              </w:rPr>
            </w:pPr>
          </w:p>
        </w:tc>
        <w:tc>
          <w:tcPr>
            <w:tcW w:w="81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4"/>
              </w:rPr>
              <w:t>Item 3.</w:t>
            </w:r>
          </w:p>
        </w:tc>
        <w:tc>
          <w:tcPr>
            <w:tcW w:w="280" w:type="dxa"/>
            <w:vAlign w:val="bottom"/>
            <w:tcBorders>
              <w:top w:val="single" w:sz="8" w:color="CCEEFF"/>
            </w:tcBorders>
            <w:gridSpan w:val="2"/>
          </w:tcPr>
          <w:p>
            <w:pPr>
              <w:spacing w:after="0"/>
              <w:rPr>
                <w:sz w:val="15"/>
                <w:szCs w:val="15"/>
                <w:color w:val="auto"/>
              </w:rPr>
            </w:pPr>
          </w:p>
        </w:tc>
        <w:tc>
          <w:tcPr>
            <w:tcW w:w="646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720" w:type="dxa"/>
            <w:vAlign w:val="bottom"/>
            <w:tcBorders>
              <w:top w:val="single" w:sz="8" w:color="CCEEFF"/>
            </w:tcBorders>
            <w:gridSpan w:val="2"/>
          </w:tcPr>
          <w:p>
            <w:pPr>
              <w:spacing w:after="0"/>
              <w:rPr>
                <w:sz w:val="15"/>
                <w:szCs w:val="15"/>
                <w:color w:val="auto"/>
              </w:rPr>
            </w:pPr>
          </w:p>
        </w:tc>
        <w:tc>
          <w:tcPr>
            <w:tcW w:w="9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4"/>
              </w:rPr>
              <w:t>Item 4.</w:t>
            </w:r>
          </w:p>
        </w:tc>
        <w:tc>
          <w:tcPr>
            <w:tcW w:w="280" w:type="dxa"/>
            <w:vAlign w:val="bottom"/>
            <w:tcBorders>
              <w:bottom w:val="single" w:sz="8" w:color="CCEEFF"/>
            </w:tcBorders>
            <w:gridSpan w:val="2"/>
            <w:shd w:val="clear" w:color="auto" w:fill="CCEEFF"/>
          </w:tcPr>
          <w:p>
            <w:pPr>
              <w:spacing w:after="0"/>
              <w:rPr>
                <w:sz w:val="17"/>
                <w:szCs w:val="17"/>
                <w:color w:val="auto"/>
              </w:rPr>
            </w:pPr>
          </w:p>
        </w:tc>
        <w:tc>
          <w:tcPr>
            <w:tcW w:w="178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6400" w:type="dxa"/>
            <w:vAlign w:val="bottom"/>
            <w:tcBorders>
              <w:bottom w:val="single" w:sz="8" w:color="CCEEFF"/>
            </w:tcBorders>
            <w:gridSpan w:val="12"/>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96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4"/>
              </w:rPr>
              <w:t>Item 1.</w:t>
            </w:r>
          </w:p>
        </w:tc>
        <w:tc>
          <w:tcPr>
            <w:tcW w:w="280" w:type="dxa"/>
            <w:vAlign w:val="bottom"/>
            <w:tcBorders>
              <w:bottom w:val="single" w:sz="8" w:color="CCEEFF"/>
            </w:tcBorders>
            <w:gridSpan w:val="2"/>
            <w:shd w:val="clear" w:color="auto" w:fill="CCEEFF"/>
          </w:tcPr>
          <w:p>
            <w:pPr>
              <w:spacing w:after="0"/>
              <w:rPr>
                <w:sz w:val="17"/>
                <w:szCs w:val="17"/>
                <w:color w:val="auto"/>
              </w:rPr>
            </w:pPr>
          </w:p>
        </w:tc>
        <w:tc>
          <w:tcPr>
            <w:tcW w:w="134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6840" w:type="dxa"/>
            <w:vAlign w:val="bottom"/>
            <w:tcBorders>
              <w:bottom w:val="single" w:sz="8" w:color="CCEEFF"/>
            </w:tcBorders>
            <w:gridSpan w:val="13"/>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Item 1A.</w:t>
            </w:r>
          </w:p>
        </w:tc>
        <w:tc>
          <w:tcPr>
            <w:tcW w:w="818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4"/>
              </w:rPr>
              <w:t>Item 2.</w:t>
            </w:r>
          </w:p>
        </w:tc>
        <w:tc>
          <w:tcPr>
            <w:tcW w:w="280" w:type="dxa"/>
            <w:vAlign w:val="bottom"/>
            <w:tcBorders>
              <w:bottom w:val="single" w:sz="8" w:color="CCEEFF"/>
            </w:tcBorders>
            <w:gridSpan w:val="2"/>
            <w:shd w:val="clear" w:color="auto" w:fill="CCEEFF"/>
          </w:tcPr>
          <w:p>
            <w:pPr>
              <w:spacing w:after="0"/>
              <w:rPr>
                <w:sz w:val="17"/>
                <w:szCs w:val="17"/>
                <w:color w:val="auto"/>
              </w:rPr>
            </w:pPr>
          </w:p>
        </w:tc>
        <w:tc>
          <w:tcPr>
            <w:tcW w:w="436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3820" w:type="dxa"/>
            <w:vAlign w:val="bottom"/>
            <w:tcBorders>
              <w:bottom w:val="single" w:sz="8" w:color="CCEEFF"/>
            </w:tcBorders>
            <w:gridSpan w:val="4"/>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818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4"/>
              </w:rPr>
              <w:t>Item 4.</w:t>
            </w:r>
          </w:p>
        </w:tc>
        <w:tc>
          <w:tcPr>
            <w:tcW w:w="280" w:type="dxa"/>
            <w:vAlign w:val="bottom"/>
            <w:tcBorders>
              <w:bottom w:val="single" w:sz="8" w:color="CCEEFF"/>
            </w:tcBorders>
            <w:gridSpan w:val="2"/>
            <w:shd w:val="clear" w:color="auto" w:fill="CCEEFF"/>
          </w:tcPr>
          <w:p>
            <w:pPr>
              <w:spacing w:after="0"/>
              <w:rPr>
                <w:sz w:val="17"/>
                <w:szCs w:val="17"/>
                <w:color w:val="auto"/>
              </w:rPr>
            </w:pPr>
          </w:p>
        </w:tc>
        <w:tc>
          <w:tcPr>
            <w:tcW w:w="178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6400" w:type="dxa"/>
            <w:vAlign w:val="bottom"/>
            <w:tcBorders>
              <w:bottom w:val="single" w:sz="8" w:color="CCEEFF"/>
            </w:tcBorders>
            <w:gridSpan w:val="12"/>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818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4"/>
              </w:rPr>
              <w:t>Item 6.</w:t>
            </w:r>
          </w:p>
        </w:tc>
        <w:tc>
          <w:tcPr>
            <w:tcW w:w="280" w:type="dxa"/>
            <w:vAlign w:val="bottom"/>
            <w:gridSpan w:val="2"/>
            <w:shd w:val="clear" w:color="auto" w:fill="CCEEFF"/>
          </w:tcPr>
          <w:p>
            <w:pPr>
              <w:spacing w:after="0"/>
              <w:rPr>
                <w:sz w:val="15"/>
                <w:szCs w:val="15"/>
                <w:color w:val="auto"/>
              </w:rPr>
            </w:pPr>
          </w:p>
        </w:tc>
        <w:tc>
          <w:tcPr>
            <w:tcW w:w="81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18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statements that Presto Automation Inc. and its subsidiaries (together, the “Company” or “Presto”) believe are “forward-looking statements” within the meaning of the Private Securities Litigation Reform Act of 1995. These forward-looking statements include, without limitation, statements relating to expectations for future financial performance, business strategies or expectations for our business. These statements are based on the beliefs and assumptions of the management of the Company. Although the Company believes that its plans, intentions and expectations reflected in or suggested by these forward-looking statements are reasonable, it cannot provide assurance that it will achieve or realize these plans, intentions or expectations. These statements constitute projections, forecasts and forward-looking statements, and are not guarantees of performance. Such statements can be identified by the fact that they do not relate strictly to historical or current facts. When used in this Quarterly Report on Form 10-Q, words such as “anticipate,” “believe,” “can,” “continue,” “could,” “estimate,” “expect,” “forecast,” “intend,” “may,” “might,” “plan,” “possible,” “potential,” “predict,” “project,” “seek,” “should,” “strive,” “target,” “will,” “would” and similar expressions may identify forward-looking statements, but the absence of these words does not mean that a statement is not forward-looking.</w:t>
      </w:r>
    </w:p>
    <w:p>
      <w:pPr>
        <w:spacing w:after="0" w:line="19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Should one or more of a number of known and unknown risks and uncertainties materialize, or should any of our assumptions prove incorrect, the Company’s actual results or performance may be materially different from those expressed or implied by these forward-looking statements. Factors that could cause actual results to differ include, but are not limited to, the following:</w:t>
      </w:r>
    </w:p>
    <w:p>
      <w:pPr>
        <w:spacing w:after="0" w:line="180" w:lineRule="exact"/>
        <w:rPr>
          <w:sz w:val="20"/>
          <w:szCs w:val="20"/>
          <w:color w:val="auto"/>
        </w:rPr>
      </w:pPr>
    </w:p>
    <w:p>
      <w:pPr>
        <w:ind w:left="1000" w:right="280" w:hanging="317"/>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Presto’s current liquidity resources raise substantial doubt about its ability to continue as a going concern and to comply with its debt covenants unless it raises additional capital to meet its obligations in the near term.</w:t>
      </w:r>
    </w:p>
    <w:p>
      <w:pPr>
        <w:spacing w:after="0" w:line="161" w:lineRule="exact"/>
        <w:rPr>
          <w:rFonts w:ascii="Times New Roman" w:cs="Times New Roman" w:eastAsia="Times New Roman" w:hAnsi="Times New Roman"/>
          <w:sz w:val="18"/>
          <w:szCs w:val="18"/>
          <w:color w:val="auto"/>
        </w:rPr>
      </w:pPr>
    </w:p>
    <w:p>
      <w:pPr>
        <w:ind w:left="1000" w:right="340" w:hanging="317"/>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Presto’s limited operating history in a new and developing market makes it difficult to evaluate its current business and predict its future results.</w:t>
      </w:r>
    </w:p>
    <w:p>
      <w:pPr>
        <w:spacing w:after="0" w:line="161" w:lineRule="exact"/>
        <w:rPr>
          <w:rFonts w:ascii="Times New Roman" w:cs="Times New Roman" w:eastAsia="Times New Roman" w:hAnsi="Times New Roman"/>
          <w:sz w:val="18"/>
          <w:szCs w:val="18"/>
          <w:color w:val="auto"/>
        </w:rPr>
      </w:pPr>
    </w:p>
    <w:p>
      <w:pPr>
        <w:ind w:left="1000" w:right="100" w:hanging="317"/>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Presto’s success depends on increasing the number of franchisees of our existing restaurant customers that use its solution, and, in particular, Presto Voice, and the timing of the deployments of contracted locations.</w:t>
      </w:r>
    </w:p>
    <w:p>
      <w:pPr>
        <w:spacing w:after="0" w:line="161" w:lineRule="exact"/>
        <w:rPr>
          <w:rFonts w:ascii="Times New Roman" w:cs="Times New Roman" w:eastAsia="Times New Roman" w:hAnsi="Times New Roman"/>
          <w:sz w:val="18"/>
          <w:szCs w:val="18"/>
          <w:color w:val="auto"/>
        </w:rPr>
      </w:pPr>
    </w:p>
    <w:p>
      <w:pPr>
        <w:ind w:left="1000" w:right="200" w:hanging="317"/>
        <w:spacing w:after="0" w:line="312" w:lineRule="auto"/>
        <w:tabs>
          <w:tab w:leader="none" w:pos="10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been evaluating strategic alternatives of our Presto Touch solution such as a sale, partial sale or abandonment of the Presto Touch business in the coming months and we may be unable to realize the benefits we expect from doing so.</w:t>
      </w:r>
    </w:p>
    <w:p>
      <w:pPr>
        <w:spacing w:after="0" w:line="139" w:lineRule="exact"/>
        <w:rPr>
          <w:rFonts w:ascii="Times New Roman" w:cs="Times New Roman" w:eastAsia="Times New Roman" w:hAnsi="Times New Roman"/>
          <w:sz w:val="17"/>
          <w:szCs w:val="17"/>
          <w:color w:val="auto"/>
        </w:rPr>
      </w:pPr>
    </w:p>
    <w:p>
      <w:pPr>
        <w:ind w:left="1000" w:right="440" w:hanging="317"/>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Presto’s sales cycles can be long and unpredictable, and its sales efforts require a considerable investment of time and expense.</w:t>
      </w:r>
    </w:p>
    <w:p>
      <w:pPr>
        <w:spacing w:after="0" w:line="161" w:lineRule="exact"/>
        <w:rPr>
          <w:rFonts w:ascii="Times New Roman" w:cs="Times New Roman" w:eastAsia="Times New Roman" w:hAnsi="Times New Roman"/>
          <w:sz w:val="18"/>
          <w:szCs w:val="18"/>
          <w:color w:val="auto"/>
        </w:rPr>
      </w:pPr>
    </w:p>
    <w:p>
      <w:pPr>
        <w:ind w:left="1000" w:right="40" w:hanging="317"/>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may be adversely affected if it is unable to optimize the number of human agents required to operate its Presto Voice solution to improve its unit cost structure.</w:t>
      </w:r>
    </w:p>
    <w:p>
      <w:pPr>
        <w:spacing w:after="0" w:line="161" w:lineRule="exact"/>
        <w:rPr>
          <w:rFonts w:ascii="Times New Roman" w:cs="Times New Roman" w:eastAsia="Times New Roman" w:hAnsi="Times New Roman"/>
          <w:sz w:val="18"/>
          <w:szCs w:val="18"/>
          <w:color w:val="auto"/>
        </w:rPr>
      </w:pPr>
    </w:p>
    <w:p>
      <w:pPr>
        <w:ind w:left="1000" w:right="200" w:hanging="317"/>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Presto’s senior management team have impacted its organization’s focus and it is dependent on the continued services and performance of its current senior management team.</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Presto’s ability to recruit, retain, and develop qualified personnel is critical to its success and growth.</w:t>
      </w:r>
    </w:p>
    <w:p>
      <w:pPr>
        <w:spacing w:after="0" w:line="225" w:lineRule="exact"/>
        <w:rPr>
          <w:rFonts w:ascii="Times New Roman" w:cs="Times New Roman" w:eastAsia="Times New Roman" w:hAnsi="Times New Roman"/>
          <w:sz w:val="18"/>
          <w:szCs w:val="18"/>
          <w:color w:val="auto"/>
        </w:rPr>
      </w:pPr>
    </w:p>
    <w:p>
      <w:pPr>
        <w:ind w:left="1000" w:right="260" w:hanging="317"/>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errors or vulnerabilities in third party technology that is used in Presto’s solutions could harm its reputation and brand and adversely impact its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1000" w:right="220" w:hanging="317"/>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Presto’s pricing decisions and pricing models may adversely affect its ability to attract new customers and retain existing customers.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Presto fails to maintain a consistently high level of customer service or fails to manage its reputation, brand, business and financial results may be harmed.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Presto’s AI solutions could cause it to incur additional expenses and impact its product development program.</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right="220" w:hanging="317"/>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is subject to legal proceedings and government investigations which are costly and time-consuming to defend and may adversely affect its business, financial position, and results of operations.</w:t>
      </w:r>
    </w:p>
    <w:p>
      <w:pPr>
        <w:spacing w:after="0" w:line="161" w:lineRule="exact"/>
        <w:rPr>
          <w:rFonts w:ascii="Times New Roman" w:cs="Times New Roman" w:eastAsia="Times New Roman" w:hAnsi="Times New Roman"/>
          <w:sz w:val="18"/>
          <w:szCs w:val="18"/>
          <w:color w:val="auto"/>
        </w:rPr>
      </w:pPr>
    </w:p>
    <w:p>
      <w:pPr>
        <w:ind w:left="1000" w:right="120" w:hanging="317"/>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and certain of its third-party partners, service providers, and sub processors transmit and store personal information of its customers and their consumers. If the security of this information is compromised, Presto’s reputation may be harmed, and it may be exposed to liability and loss of business.</w:t>
      </w:r>
    </w:p>
    <w:p>
      <w:pPr>
        <w:spacing w:after="0" w:line="175" w:lineRule="exact"/>
        <w:rPr>
          <w:rFonts w:ascii="Times New Roman" w:cs="Times New Roman" w:eastAsia="Times New Roman" w:hAnsi="Times New Roman"/>
          <w:sz w:val="18"/>
          <w:szCs w:val="18"/>
          <w:color w:val="auto"/>
        </w:rPr>
      </w:pPr>
    </w:p>
    <w:p>
      <w:pPr>
        <w:ind w:left="1000" w:right="240" w:hanging="317"/>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is subject to stringent and changing privacy laws, regulations and standards, and contractual obligations related to data privacy and security, and noncompliance with such laws could adversely affect its business.</w:t>
      </w:r>
    </w:p>
    <w:p>
      <w:pPr>
        <w:spacing w:after="0" w:line="161" w:lineRule="exact"/>
        <w:rPr>
          <w:rFonts w:ascii="Times New Roman" w:cs="Times New Roman" w:eastAsia="Times New Roman" w:hAnsi="Times New Roman"/>
          <w:sz w:val="18"/>
          <w:szCs w:val="18"/>
          <w:color w:val="auto"/>
        </w:rPr>
      </w:pPr>
    </w:p>
    <w:p>
      <w:pPr>
        <w:ind w:left="1000" w:right="60" w:hanging="317"/>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denial of service attacks, or other hacking and phishing attacks on Presto’s systems or the systems with which Presto’s solutions integrate could harm its reputation or subject Presto to significant liability, and adversely affect its business and financial results.</w:t>
      </w:r>
    </w:p>
    <w:p>
      <w:pPr>
        <w:spacing w:after="0" w:line="175" w:lineRule="exact"/>
        <w:rPr>
          <w:rFonts w:ascii="Times New Roman" w:cs="Times New Roman" w:eastAsia="Times New Roman" w:hAnsi="Times New Roman"/>
          <w:sz w:val="18"/>
          <w:szCs w:val="18"/>
          <w:color w:val="auto"/>
        </w:rPr>
      </w:pPr>
    </w:p>
    <w:p>
      <w:pPr>
        <w:ind w:left="1000" w:right="200" w:hanging="317"/>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is dependent upon its customers continued and unimpeded access to the internet, and upon their willingness to use the internet for commerce.</w:t>
      </w:r>
    </w:p>
    <w:p>
      <w:pPr>
        <w:spacing w:after="0" w:line="161" w:lineRule="exact"/>
        <w:rPr>
          <w:rFonts w:ascii="Times New Roman" w:cs="Times New Roman" w:eastAsia="Times New Roman" w:hAnsi="Times New Roman"/>
          <w:sz w:val="18"/>
          <w:szCs w:val="18"/>
          <w:color w:val="auto"/>
        </w:rPr>
      </w:pPr>
    </w:p>
    <w:p>
      <w:pPr>
        <w:ind w:left="1000" w:right="140" w:hanging="317"/>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Presto’s efforts to generate revenues and/or reduce expenditures may not be sufficient and may make it difficult for Presto to implement its business strategy.</w:t>
      </w:r>
    </w:p>
    <w:p>
      <w:pPr>
        <w:spacing w:after="0" w:line="161" w:lineRule="exact"/>
        <w:rPr>
          <w:rFonts w:ascii="Times New Roman" w:cs="Times New Roman" w:eastAsia="Times New Roman" w:hAnsi="Times New Roman"/>
          <w:sz w:val="18"/>
          <w:szCs w:val="18"/>
          <w:color w:val="auto"/>
        </w:rPr>
      </w:pPr>
    </w:p>
    <w:p>
      <w:pPr>
        <w:ind w:left="1000" w:right="140" w:hanging="317"/>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has faced challenges complying with the covenants contained in its credit facility and, unless it can raise additional capital, it may need additional waivers which may not be forthcoming.</w:t>
      </w:r>
    </w:p>
    <w:p>
      <w:pPr>
        <w:spacing w:after="0" w:line="161" w:lineRule="exact"/>
        <w:rPr>
          <w:rFonts w:ascii="Times New Roman" w:cs="Times New Roman" w:eastAsia="Times New Roman" w:hAnsi="Times New Roman"/>
          <w:sz w:val="18"/>
          <w:szCs w:val="18"/>
          <w:color w:val="auto"/>
        </w:rPr>
      </w:pPr>
    </w:p>
    <w:p>
      <w:pPr>
        <w:ind w:left="1000" w:hanging="317"/>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requires additional capital, which additional financing is likely to result in restrictions on its operations or substantial dilution to its stockholders, to support the growth of its business, and this capital might not be available on acceptable terms, if at all</w:t>
      </w:r>
      <w:r>
        <w:rPr>
          <w:rFonts w:ascii="Times New Roman" w:cs="Times New Roman" w:eastAsia="Times New Roman" w:hAnsi="Times New Roman"/>
          <w:sz w:val="18"/>
          <w:szCs w:val="18"/>
          <w:b w:val="1"/>
          <w:bCs w:val="1"/>
          <w:i w:val="1"/>
          <w:iCs w:val="1"/>
          <w:color w:val="auto"/>
        </w:rPr>
        <w:t>.</w:t>
      </w:r>
    </w:p>
    <w:p>
      <w:pPr>
        <w:spacing w:after="0" w:line="175" w:lineRule="exact"/>
        <w:rPr>
          <w:rFonts w:ascii="Times New Roman" w:cs="Times New Roman" w:eastAsia="Times New Roman" w:hAnsi="Times New Roman"/>
          <w:sz w:val="18"/>
          <w:szCs w:val="18"/>
          <w:color w:val="auto"/>
        </w:rPr>
      </w:pPr>
    </w:p>
    <w:p>
      <w:pPr>
        <w:ind w:left="1000" w:right="300" w:hanging="317"/>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the restaurant industry or the global economy could limit Presto’s ability to grow its business and materially impact its financial performance.</w:t>
      </w:r>
    </w:p>
    <w:p>
      <w:pPr>
        <w:spacing w:after="0" w:line="161" w:lineRule="exact"/>
        <w:rPr>
          <w:rFonts w:ascii="Times New Roman" w:cs="Times New Roman" w:eastAsia="Times New Roman" w:hAnsi="Times New Roman"/>
          <w:sz w:val="18"/>
          <w:szCs w:val="18"/>
          <w:color w:val="auto"/>
        </w:rPr>
      </w:pPr>
    </w:p>
    <w:p>
      <w:pPr>
        <w:ind w:left="1000" w:right="280" w:hanging="317"/>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Presto’s results of operations may fluctuate from quarter to quarter and if it fails to meet the expectations of securities analysts or investors with respect to results of operations, its stock price and the value of your investment could decline.</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Presto’s ability to use its net operating loss carryforwards and certain other tax attributes may be limited.</w:t>
      </w:r>
    </w:p>
    <w:p>
      <w:pPr>
        <w:spacing w:after="0" w:line="225" w:lineRule="exact"/>
        <w:rPr>
          <w:rFonts w:ascii="Times New Roman" w:cs="Times New Roman" w:eastAsia="Times New Roman" w:hAnsi="Times New Roman"/>
          <w:sz w:val="18"/>
          <w:szCs w:val="18"/>
          <w:color w:val="auto"/>
        </w:rPr>
      </w:pPr>
    </w:p>
    <w:p>
      <w:pPr>
        <w:ind w:left="1000" w:right="40" w:hanging="317"/>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turmoil in the banking industry may negatively impact Presto’s ability to acquire financing on acceptable terms if at all, and worsening conditions or additional bank failures could result in a loss of deposits over federally insured levels.</w:t>
      </w:r>
    </w:p>
    <w:p>
      <w:pPr>
        <w:spacing w:after="0" w:line="161" w:lineRule="exact"/>
        <w:rPr>
          <w:rFonts w:ascii="Times New Roman" w:cs="Times New Roman" w:eastAsia="Times New Roman" w:hAnsi="Times New Roman"/>
          <w:sz w:val="18"/>
          <w:szCs w:val="18"/>
          <w:color w:val="auto"/>
        </w:rPr>
      </w:pPr>
    </w:p>
    <w:p>
      <w:pPr>
        <w:ind w:left="1000" w:right="240" w:hanging="317"/>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restaurant technology industry is highly competitive. Presto may not be able to compete successfully against current and future competitors.</w:t>
      </w:r>
    </w:p>
    <w:p>
      <w:pPr>
        <w:spacing w:after="0" w:line="161" w:lineRule="exact"/>
        <w:rPr>
          <w:rFonts w:ascii="Times New Roman" w:cs="Times New Roman" w:eastAsia="Times New Roman" w:hAnsi="Times New Roman"/>
          <w:sz w:val="18"/>
          <w:szCs w:val="18"/>
          <w:color w:val="auto"/>
        </w:rPr>
      </w:pPr>
    </w:p>
    <w:p>
      <w:pPr>
        <w:ind w:left="1000" w:right="860" w:hanging="317"/>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of or other strategic transactions by Presto’s competitors, its customers, or its partners could weaken its competitive position or reduce its revenue.</w:t>
      </w:r>
    </w:p>
    <w:p>
      <w:pPr>
        <w:spacing w:after="0" w:line="161" w:lineRule="exact"/>
        <w:rPr>
          <w:rFonts w:ascii="Times New Roman" w:cs="Times New Roman" w:eastAsia="Times New Roman" w:hAnsi="Times New Roman"/>
          <w:sz w:val="18"/>
          <w:szCs w:val="18"/>
          <w:color w:val="auto"/>
        </w:rPr>
      </w:pPr>
    </w:p>
    <w:p>
      <w:pPr>
        <w:ind w:left="1000" w:right="380" w:hanging="317"/>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Presto’s growth depends in part on reliance on third parties and its ability to integrate with third-party applications and software.</w:t>
      </w:r>
    </w:p>
    <w:p>
      <w:pPr>
        <w:spacing w:after="0" w:line="161" w:lineRule="exact"/>
        <w:rPr>
          <w:rFonts w:ascii="Times New Roman" w:cs="Times New Roman" w:eastAsia="Times New Roman" w:hAnsi="Times New Roman"/>
          <w:sz w:val="18"/>
          <w:szCs w:val="18"/>
          <w:color w:val="auto"/>
        </w:rPr>
      </w:pPr>
    </w:p>
    <w:p>
      <w:pPr>
        <w:ind w:left="1000" w:right="160" w:hanging="317"/>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Presto’s transaction revenue is partly dependent on its partners to develop and update third-party entertainment applications. The decisions of developers to remove their applications or change the terms of our commercial relationship could adversely impact Presto’s transaction revenue.</w:t>
      </w:r>
    </w:p>
    <w:p>
      <w:pPr>
        <w:spacing w:after="0" w:line="175" w:lineRule="exact"/>
        <w:rPr>
          <w:rFonts w:ascii="Times New Roman" w:cs="Times New Roman" w:eastAsia="Times New Roman" w:hAnsi="Times New Roman"/>
          <w:sz w:val="18"/>
          <w:szCs w:val="18"/>
          <w:color w:val="auto"/>
        </w:rPr>
      </w:pPr>
    </w:p>
    <w:p>
      <w:pPr>
        <w:ind w:left="1000" w:right="300" w:hanging="317"/>
        <w:spacing w:after="0" w:line="312" w:lineRule="auto"/>
        <w:tabs>
          <w:tab w:leader="none" w:pos="10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transactions processed on Presto’s solutions may subject Presto to regulatory requirements and the rules of payment card networks, and other risks that could be costly and difficult to comply with or that could harm its business.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right="240" w:hanging="317"/>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relies upon Amazon Web Services, Microsoft Azure and other infrastructure to operate its platform, and any disruption of or interference with its use of these providers would adversely affect its business, results of operations, and financial condition.</w:t>
      </w:r>
    </w:p>
    <w:p>
      <w:pPr>
        <w:spacing w:after="0" w:line="175" w:lineRule="exact"/>
        <w:rPr>
          <w:rFonts w:ascii="Times New Roman" w:cs="Times New Roman" w:eastAsia="Times New Roman" w:hAnsi="Times New Roman"/>
          <w:sz w:val="18"/>
          <w:szCs w:val="18"/>
          <w:color w:val="auto"/>
        </w:rPr>
      </w:pPr>
    </w:p>
    <w:p>
      <w:pPr>
        <w:ind w:left="1000" w:right="100" w:hanging="317"/>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estimates and information contained in this report are based on information from third-party sources, and Presto does not independently verify the accuracy or completeness of the data contained in such sources or the methodologies for collecting such data.</w:t>
      </w:r>
    </w:p>
    <w:p>
      <w:pPr>
        <w:spacing w:after="0" w:line="175" w:lineRule="exact"/>
        <w:rPr>
          <w:rFonts w:ascii="Times New Roman" w:cs="Times New Roman" w:eastAsia="Times New Roman" w:hAnsi="Times New Roman"/>
          <w:sz w:val="18"/>
          <w:szCs w:val="18"/>
          <w:color w:val="auto"/>
        </w:rPr>
      </w:pPr>
    </w:p>
    <w:p>
      <w:pPr>
        <w:ind w:left="1000" w:right="80" w:hanging="317"/>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Presto’s business is subject to a variety of U.S. laws and regulations, many of which are unsettled and still developing, and Presto or its customers’ failure to comply with such laws and regulations could subject Presto to claims or otherwise adversely affect its business, financial condition, or results of operations.</w:t>
      </w:r>
    </w:p>
    <w:p>
      <w:pPr>
        <w:spacing w:after="0" w:line="175" w:lineRule="exact"/>
        <w:rPr>
          <w:rFonts w:ascii="Times New Roman" w:cs="Times New Roman" w:eastAsia="Times New Roman" w:hAnsi="Times New Roman"/>
          <w:sz w:val="18"/>
          <w:szCs w:val="18"/>
          <w:color w:val="auto"/>
        </w:rPr>
      </w:pPr>
    </w:p>
    <w:p>
      <w:pPr>
        <w:ind w:left="1000" w:right="340" w:hanging="317"/>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U.S. and international trade policies that restrict imports or increase tariffs could have a material adverse effect on Presto’s results of operations.</w:t>
      </w:r>
    </w:p>
    <w:p>
      <w:pPr>
        <w:spacing w:after="0" w:line="161" w:lineRule="exact"/>
        <w:rPr>
          <w:rFonts w:ascii="Times New Roman" w:cs="Times New Roman" w:eastAsia="Times New Roman" w:hAnsi="Times New Roman"/>
          <w:sz w:val="18"/>
          <w:szCs w:val="18"/>
          <w:color w:val="auto"/>
        </w:rPr>
      </w:pPr>
    </w:p>
    <w:p>
      <w:pPr>
        <w:ind w:left="1000" w:right="300" w:hanging="317"/>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Presto fails to adequately protect its intellectual property rights, its competitive position could be impaired and it may lose valuable assets, generate reduced revenue and become subject to costly litigation to protect its rights.</w:t>
      </w:r>
    </w:p>
    <w:p>
      <w:pPr>
        <w:spacing w:after="0" w:line="161" w:lineRule="exact"/>
        <w:rPr>
          <w:rFonts w:ascii="Times New Roman" w:cs="Times New Roman" w:eastAsia="Times New Roman" w:hAnsi="Times New Roman"/>
          <w:sz w:val="18"/>
          <w:szCs w:val="18"/>
          <w:color w:val="auto"/>
        </w:rPr>
      </w:pPr>
    </w:p>
    <w:p>
      <w:pPr>
        <w:ind w:left="1000" w:right="120" w:hanging="317"/>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has been, and may in the future be, subject to claims by third parties of intellectual property infringement, which, if successful could negatively impact operations and significantly increase costs.</w:t>
      </w:r>
    </w:p>
    <w:p>
      <w:pPr>
        <w:spacing w:after="0" w:line="161" w:lineRule="exact"/>
        <w:rPr>
          <w:rFonts w:ascii="Times New Roman" w:cs="Times New Roman" w:eastAsia="Times New Roman" w:hAnsi="Times New Roman"/>
          <w:sz w:val="18"/>
          <w:szCs w:val="18"/>
          <w:color w:val="auto"/>
        </w:rPr>
      </w:pPr>
    </w:p>
    <w:p>
      <w:pPr>
        <w:ind w:left="1000" w:right="120" w:hanging="317"/>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uses open-source software in its platform, which could negatively affect its ability to sell its services or subject it to litigation or other actions.</w:t>
      </w:r>
    </w:p>
    <w:p>
      <w:pPr>
        <w:spacing w:after="0" w:line="161" w:lineRule="exact"/>
        <w:rPr>
          <w:rFonts w:ascii="Times New Roman" w:cs="Times New Roman" w:eastAsia="Times New Roman" w:hAnsi="Times New Roman"/>
          <w:sz w:val="18"/>
          <w:szCs w:val="18"/>
          <w:color w:val="auto"/>
        </w:rPr>
      </w:pPr>
    </w:p>
    <w:p>
      <w:pPr>
        <w:jc w:val="both"/>
        <w:ind w:left="1000" w:right="20" w:hanging="317"/>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may be unable to continue to use the domain names that it uses in its business or prevent third parties from acquiring and using domain names that infringe on, are similar to, or otherwise decrease the value of its brand, trademarks, or service marks.</w:t>
      </w:r>
    </w:p>
    <w:p>
      <w:pPr>
        <w:spacing w:after="0" w:line="175" w:lineRule="exact"/>
        <w:rPr>
          <w:rFonts w:ascii="Times New Roman" w:cs="Times New Roman" w:eastAsia="Times New Roman" w:hAnsi="Times New Roman"/>
          <w:sz w:val="18"/>
          <w:szCs w:val="18"/>
          <w:color w:val="auto"/>
        </w:rPr>
      </w:pPr>
    </w:p>
    <w:p>
      <w:pPr>
        <w:ind w:left="1000" w:right="760" w:hanging="317"/>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Presto’s senior management team has limited experience managing a public company, and regulatory compliance obligations may divert its attention from the day-to-day management of its business.</w:t>
      </w:r>
    </w:p>
    <w:p>
      <w:pPr>
        <w:spacing w:after="0" w:line="161" w:lineRule="exact"/>
        <w:rPr>
          <w:rFonts w:ascii="Times New Roman" w:cs="Times New Roman" w:eastAsia="Times New Roman" w:hAnsi="Times New Roman"/>
          <w:sz w:val="18"/>
          <w:szCs w:val="18"/>
          <w:color w:val="auto"/>
        </w:rPr>
      </w:pPr>
    </w:p>
    <w:p>
      <w:pPr>
        <w:ind w:left="1000" w:right="120" w:hanging="317"/>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public reporting company, Presto is subject to filing deadlines for reports that are filed pursuant to the Exchange Act, and its failure to timely file such reports may have material adverse consequences on its business.</w:t>
      </w:r>
    </w:p>
    <w:p>
      <w:pPr>
        <w:spacing w:after="0" w:line="161" w:lineRule="exact"/>
        <w:rPr>
          <w:rFonts w:ascii="Times New Roman" w:cs="Times New Roman" w:eastAsia="Times New Roman" w:hAnsi="Times New Roman"/>
          <w:sz w:val="18"/>
          <w:szCs w:val="18"/>
          <w:color w:val="auto"/>
        </w:rPr>
      </w:pPr>
    </w:p>
    <w:p>
      <w:pPr>
        <w:ind w:left="1000" w:hanging="317"/>
        <w:spacing w:after="0" w:line="261"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public reporting company, Presto is subject to rules and regulations established from time to time by the Securities and Exchange Commission (the “SEC”) regarding its internal control over financial reporting. If Presto fails to establish and maintain effective internal control over financial reporting and disclosure controls and procedures, it may not be able to accurately report its financial results or report them in a timely manner.</w:t>
      </w:r>
    </w:p>
    <w:p>
      <w:pPr>
        <w:spacing w:after="0" w:line="179" w:lineRule="exact"/>
        <w:rPr>
          <w:rFonts w:ascii="Times New Roman" w:cs="Times New Roman" w:eastAsia="Times New Roman" w:hAnsi="Times New Roman"/>
          <w:sz w:val="18"/>
          <w:szCs w:val="18"/>
          <w:color w:val="auto"/>
        </w:rPr>
      </w:pPr>
    </w:p>
    <w:p>
      <w:pPr>
        <w:ind w:left="1000" w:right="200" w:hanging="317"/>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has identified material weaknesses in its internal controls over financial reporting and, if it fails to remediate these deficiencies, it may not be able to accurately or timely report its financial condition or results of operations.</w:t>
      </w:r>
    </w:p>
    <w:p>
      <w:pPr>
        <w:spacing w:after="0" w:line="161" w:lineRule="exact"/>
        <w:rPr>
          <w:rFonts w:ascii="Times New Roman" w:cs="Times New Roman" w:eastAsia="Times New Roman" w:hAnsi="Times New Roman"/>
          <w:sz w:val="18"/>
          <w:szCs w:val="18"/>
          <w:color w:val="auto"/>
        </w:rPr>
      </w:pPr>
    </w:p>
    <w:p>
      <w:pPr>
        <w:ind w:left="1000" w:right="580" w:hanging="317"/>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is an emerging growth company, and it cannot be certain if the reduced disclosure requirements applicable to emerging growth companies will make its common stock less attractive to investors.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has and will continue to incur significant costs as a result of operating as a public company.</w:t>
      </w:r>
    </w:p>
    <w:p>
      <w:pPr>
        <w:spacing w:after="0" w:line="225" w:lineRule="exact"/>
        <w:rPr>
          <w:rFonts w:ascii="Times New Roman" w:cs="Times New Roman" w:eastAsia="Times New Roman" w:hAnsi="Times New Roman"/>
          <w:sz w:val="18"/>
          <w:szCs w:val="18"/>
          <w:color w:val="auto"/>
        </w:rPr>
      </w:pPr>
    </w:p>
    <w:p>
      <w:pPr>
        <w:ind w:left="1000" w:right="20" w:hanging="317"/>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Presto’s Charter and Bylaws may discourage, delay or prevent a merger, acquisition or other change in control in Presto’s company that stockholders may consider favorable, including transactions in which you might otherwise receive a premium for your shares.</w:t>
      </w:r>
    </w:p>
    <w:p>
      <w:pPr>
        <w:spacing w:after="0" w:line="175" w:lineRule="exact"/>
        <w:rPr>
          <w:rFonts w:ascii="Times New Roman" w:cs="Times New Roman" w:eastAsia="Times New Roman" w:hAnsi="Times New Roman"/>
          <w:sz w:val="18"/>
          <w:szCs w:val="18"/>
          <w:color w:val="auto"/>
        </w:rPr>
      </w:pPr>
    </w:p>
    <w:p>
      <w:pPr>
        <w:ind w:left="1000" w:right="60" w:hanging="317"/>
        <w:spacing w:after="0" w:line="289" w:lineRule="auto"/>
        <w:tabs>
          <w:tab w:leader="none" w:pos="10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Presto’s Charter provides that the Court of Chancery of the State of Delaware and the federal district courts of the United States of America are the exclusive forums for substantially all disputes between it and our stockholders, which could limit its stockholders’ ability to obtain a favorable judicial forum for disputes with Presto or its directors, officers, or employees.</w:t>
      </w:r>
    </w:p>
    <w:p>
      <w:pPr>
        <w:sectPr>
          <w:pgSz w:w="11900" w:h="16838" w:orient="portrait"/>
          <w:cols w:equalWidth="0" w:num="1">
            <w:col w:w="9920"/>
          </w:cols>
          <w:pgMar w:left="980" w:top="513" w:right="999"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market for Presto’s securities may not continue, which would adversely affect the liquidity and price of its securities.</w:t>
      </w:r>
    </w:p>
    <w:p>
      <w:pPr>
        <w:spacing w:after="0" w:line="225" w:lineRule="exact"/>
        <w:rPr>
          <w:rFonts w:ascii="Times New Roman" w:cs="Times New Roman" w:eastAsia="Times New Roman" w:hAnsi="Times New Roman"/>
          <w:sz w:val="18"/>
          <w:szCs w:val="18"/>
          <w:color w:val="auto"/>
        </w:rPr>
      </w:pPr>
    </w:p>
    <w:p>
      <w:pPr>
        <w:ind w:left="1000" w:right="160" w:hanging="317"/>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Nasdaq Stock Market LLC (“Nasdaq”) may delist Presto’s securities from trading on its exchange, which could limit investors’ ability to make transactions in its securities and subject Presto to additional trading restrictions.</w:t>
      </w:r>
    </w:p>
    <w:p>
      <w:pPr>
        <w:spacing w:after="0" w:line="161" w:lineRule="exact"/>
        <w:rPr>
          <w:rFonts w:ascii="Times New Roman" w:cs="Times New Roman" w:eastAsia="Times New Roman" w:hAnsi="Times New Roman"/>
          <w:sz w:val="18"/>
          <w:szCs w:val="18"/>
          <w:color w:val="auto"/>
        </w:rPr>
      </w:pPr>
    </w:p>
    <w:p>
      <w:pPr>
        <w:ind w:left="1000" w:right="300" w:hanging="317"/>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offerings of debt or offerings or issuances of equity securities by Presto may adversely affect the market price of Presto’s common stock or otherwise dilute all other stockholders.</w:t>
      </w:r>
    </w:p>
    <w:p>
      <w:pPr>
        <w:spacing w:after="0" w:line="161" w:lineRule="exact"/>
        <w:rPr>
          <w:rFonts w:ascii="Times New Roman" w:cs="Times New Roman" w:eastAsia="Times New Roman" w:hAnsi="Times New Roman"/>
          <w:sz w:val="18"/>
          <w:szCs w:val="18"/>
          <w:color w:val="auto"/>
        </w:rPr>
      </w:pPr>
    </w:p>
    <w:p>
      <w:pPr>
        <w:ind w:left="1000" w:right="240" w:hanging="317"/>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or cease publishing research or reports about Presto, its business, or its market, or if they change their recommendations regarding Presto’s securities adversely, the price and trading volume of Presto’s securities could decline.</w:t>
      </w:r>
    </w:p>
    <w:p>
      <w:pPr>
        <w:spacing w:after="0" w:line="175" w:lineRule="exact"/>
        <w:rPr>
          <w:rFonts w:ascii="Times New Roman" w:cs="Times New Roman" w:eastAsia="Times New Roman" w:hAnsi="Times New Roman"/>
          <w:sz w:val="18"/>
          <w:szCs w:val="18"/>
          <w:color w:val="auto"/>
        </w:rPr>
      </w:pPr>
    </w:p>
    <w:p>
      <w:pPr>
        <w:ind w:left="1000" w:right="320" w:hanging="317"/>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may be subject to securities litigation, which is expensive and could divert management’s attention and strategic alternatives.</w:t>
      </w:r>
    </w:p>
    <w:p>
      <w:pPr>
        <w:spacing w:after="0" w:line="162" w:lineRule="exact"/>
        <w:rPr>
          <w:sz w:val="20"/>
          <w:szCs w:val="20"/>
          <w:color w:val="auto"/>
        </w:rPr>
      </w:pPr>
    </w:p>
    <w:p>
      <w:pPr>
        <w:ind w:left="660" w:firstLine="324"/>
        <w:spacing w:after="0" w:line="282" w:lineRule="auto"/>
        <w:rPr>
          <w:sz w:val="20"/>
          <w:szCs w:val="20"/>
          <w:color w:val="auto"/>
        </w:rPr>
      </w:pPr>
      <w:r>
        <w:rPr>
          <w:rFonts w:ascii="Times New Roman" w:cs="Times New Roman" w:eastAsia="Times New Roman" w:hAnsi="Times New Roman"/>
          <w:sz w:val="18"/>
          <w:szCs w:val="18"/>
          <w:color w:val="auto"/>
        </w:rPr>
        <w:t>We may also be impacted by other factors disclosed in this Quarterly Report on Form 10-Q and the Company’s other filings with the SEC.</w:t>
      </w:r>
    </w:p>
    <w:p>
      <w:pPr>
        <w:spacing w:after="0" w:line="162" w:lineRule="exact"/>
        <w:rPr>
          <w:sz w:val="20"/>
          <w:szCs w:val="20"/>
          <w:color w:val="auto"/>
        </w:rPr>
      </w:pPr>
    </w:p>
    <w:p>
      <w:pPr>
        <w:jc w:val="both"/>
        <w:ind w:left="660" w:right="240" w:firstLine="324"/>
        <w:spacing w:after="0" w:line="266" w:lineRule="auto"/>
        <w:rPr>
          <w:sz w:val="20"/>
          <w:szCs w:val="20"/>
          <w:color w:val="auto"/>
        </w:rPr>
      </w:pPr>
      <w:r>
        <w:rPr>
          <w:rFonts w:ascii="Times New Roman" w:cs="Times New Roman" w:eastAsia="Times New Roman" w:hAnsi="Times New Roman"/>
          <w:sz w:val="18"/>
          <w:szCs w:val="18"/>
          <w:color w:val="auto"/>
        </w:rPr>
        <w:t>The Company’s forward-looking statements speak only as of the date of their initial issuance, and the Company does not undertake any obligation to update or revise publicly any forward-looking statement, whether as a result of new information, future events, or otherwise.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40" w:type="dxa"/>
            <w:vAlign w:val="bottom"/>
          </w:tcPr>
          <w:p>
            <w:pPr>
              <w:spacing w:after="0"/>
              <w:rPr>
                <w:sz w:val="13"/>
                <w:szCs w:val="13"/>
                <w:color w:val="auto"/>
              </w:rPr>
            </w:pPr>
          </w:p>
        </w:tc>
        <w:tc>
          <w:tcPr>
            <w:tcW w:w="13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7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4,235</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15,143</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200" w:type="dxa"/>
            <w:vAlign w:val="bottom"/>
          </w:tcPr>
          <w:p>
            <w:pPr>
              <w:spacing w:after="0"/>
              <w:rPr>
                <w:sz w:val="12"/>
                <w:szCs w:val="12"/>
                <w:color w:val="auto"/>
              </w:rPr>
            </w:pPr>
          </w:p>
        </w:tc>
        <w:tc>
          <w:tcPr>
            <w:tcW w:w="14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receivable, net of allowance of $415 and $746, respectively</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1,246</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1,831</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629</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costs, current</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1,068</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2,301</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1,427</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1,162</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8,157</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31,066</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costs, net of current portion</w:t>
            </w: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Investment in non-affiliate</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577</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909</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8,126</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10,528</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1,156</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1,156</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long-term assets</w:t>
            </w:r>
          </w:p>
        </w:tc>
        <w:tc>
          <w:tcPr>
            <w:tcW w:w="20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291</w:t>
            </w:r>
          </w:p>
        </w:tc>
        <w:tc>
          <w:tcPr>
            <w:tcW w:w="3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936</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70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20,432</w:t>
            </w:r>
          </w:p>
        </w:tc>
        <w:tc>
          <w:tcPr>
            <w:tcW w:w="3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46,687</w:t>
            </w:r>
          </w:p>
        </w:tc>
        <w:tc>
          <w:tcPr>
            <w:tcW w:w="2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7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and Stockholders’ Deficit</w:t>
            </w: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4,106</w:t>
            </w:r>
          </w:p>
        </w:tc>
        <w:tc>
          <w:tcPr>
            <w:tcW w:w="300" w:type="dxa"/>
            <w:vAlign w:val="bottom"/>
          </w:tcPr>
          <w:p>
            <w:pPr>
              <w:spacing w:after="0"/>
              <w:rPr>
                <w:sz w:val="12"/>
                <w:szCs w:val="12"/>
                <w:color w:val="auto"/>
              </w:rPr>
            </w:pP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3,295</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4,167</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4,319</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Financing obligations, current</w:t>
            </w: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3,540</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1,676</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Debt, current</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50,271</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50,639</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Convertible promissory notes</w:t>
            </w: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8,490</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revenue, current</w:t>
            </w:r>
          </w:p>
        </w:tc>
        <w:tc>
          <w:tcPr>
            <w:tcW w:w="20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960</w:t>
            </w:r>
          </w:p>
        </w:tc>
        <w:tc>
          <w:tcPr>
            <w:tcW w:w="3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1,284</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71,534</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61,213</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Financing obligations, net of current</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Warrant liabilities</w:t>
            </w: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7,043</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25,867</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revenue, net of current portion</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 long-term liabilities</w:t>
            </w:r>
          </w:p>
        </w:tc>
        <w:tc>
          <w:tcPr>
            <w:tcW w:w="2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1,535</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20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78,600</w:t>
            </w:r>
          </w:p>
        </w:tc>
        <w:tc>
          <w:tcPr>
            <w:tcW w:w="3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91,914</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Commitments and Contingencies (Refer to Note 8)</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Stockholders’ deficit:</w:t>
            </w: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7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Preferred stock, $0.0001 par value–1,500,000 shares authorized as of March 31, 2024 and June 30, 2023,</w:t>
            </w:r>
          </w:p>
        </w:tc>
        <w:tc>
          <w:tcPr>
            <w:tcW w:w="200" w:type="dxa"/>
            <w:vAlign w:val="bottom"/>
            <w:shd w:val="clear" w:color="auto" w:fill="CCEEFF"/>
          </w:tcPr>
          <w:p>
            <w:pPr>
              <w:spacing w:after="0"/>
              <w:rPr>
                <w:sz w:val="10"/>
                <w:szCs w:val="10"/>
                <w:color w:val="auto"/>
              </w:rPr>
            </w:pPr>
          </w:p>
        </w:tc>
        <w:tc>
          <w:tcPr>
            <w:tcW w:w="140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136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respectively; no shares issued and outstanding as of March 31, 2024 and June 30, 2023, respectively</w:t>
            </w:r>
          </w:p>
        </w:tc>
        <w:tc>
          <w:tcPr>
            <w:tcW w:w="200" w:type="dxa"/>
            <w:vAlign w:val="bottom"/>
            <w:shd w:val="clear" w:color="auto" w:fill="CCEEFF"/>
          </w:tcPr>
          <w:p>
            <w:pPr>
              <w:spacing w:after="0"/>
              <w:rPr>
                <w:sz w:val="14"/>
                <w:szCs w:val="14"/>
                <w:color w:val="auto"/>
              </w:rPr>
            </w:pPr>
          </w:p>
        </w:tc>
        <w:tc>
          <w:tcPr>
            <w:tcW w:w="140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stock, $0.0001 par value–100,000,000,000 and 180,000,000 shares authorized as of March 31, 2024</w:t>
            </w: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and June 30, 2023, respectively, and 107,175,894 shares issued with 104,175,894 shares outstanding as of</w:t>
            </w:r>
          </w:p>
        </w:tc>
        <w:tc>
          <w:tcPr>
            <w:tcW w:w="2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March 31, 2024 and 57,180,531 shares issued and outstanding as of June 30, 2023</w:t>
            </w:r>
          </w:p>
        </w:tc>
        <w:tc>
          <w:tcPr>
            <w:tcW w:w="2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Treasury stock at cost, 3,000,000 and 0 shares held at March 31, 2024 and June 30, 2023, respectively</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2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208,612</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190,031</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(266,040)</w:t>
            </w:r>
          </w:p>
        </w:tc>
        <w:tc>
          <w:tcPr>
            <w:tcW w:w="2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(235,263)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stockholders’ deficit</w:t>
            </w:r>
          </w:p>
        </w:tc>
        <w:tc>
          <w:tcPr>
            <w:tcW w:w="20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(58,168)</w:t>
            </w:r>
          </w:p>
        </w:tc>
        <w:tc>
          <w:tcPr>
            <w:tcW w:w="3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(45,227)</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deficit</w:t>
            </w: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20,432</w:t>
            </w:r>
          </w:p>
        </w:tc>
        <w:tc>
          <w:tcPr>
            <w:tcW w:w="3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46,687</w:t>
            </w:r>
          </w:p>
        </w:tc>
        <w:tc>
          <w:tcPr>
            <w:tcW w:w="2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2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Platform</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6,432</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Transaction</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Platform</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Transaction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amortization and impairments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6,118</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20,385</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profit (loss)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7,408</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27,556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47,882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warrants and convertible promissory notes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(3,126)</w:t>
            </w: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(2,991)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(10,441)</w:t>
            </w: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 and financing obligations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financing and financial instrument income (costs),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17,729</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44,395</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provision (benefit) for income taxes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and comprehensive income (loss)</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(15,680)</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Reconciliation of net income (loss) and comprehensive income (loss)</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50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attributable to common stockholders for net income (loss) per share: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deemed dividend attributable to the anti-dilution provision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(9,000)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(10,500)</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Net income (loss) and comprehensive income (loss) attributable to</w:t>
            </w: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50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(27,095)</w:t>
            </w:r>
          </w:p>
        </w:tc>
        <w:tc>
          <w:tcPr>
            <w:tcW w:w="120" w:type="dxa"/>
            <w:vAlign w:val="bottom"/>
          </w:tcPr>
          <w:p>
            <w:pPr>
              <w:spacing w:after="0"/>
              <w:rPr>
                <w:sz w:val="15"/>
                <w:szCs w:val="15"/>
                <w:color w:val="auto"/>
              </w:rPr>
            </w:pPr>
          </w:p>
        </w:tc>
        <w:tc>
          <w:tcPr>
            <w:tcW w:w="9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(15,680)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(41,277)</w:t>
            </w: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stockholders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080" w:type="dxa"/>
            <w:vAlign w:val="bottom"/>
            <w:tcBorders>
              <w:top w:val="single" w:sz="8" w:color="CCEEFF"/>
            </w:tcBorders>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Net income (loss) per share attributable to common stockholders,</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(0.60)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(loss) per share attributable to common stockholders,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(0.32)</w:t>
            </w:r>
          </w:p>
        </w:tc>
        <w:tc>
          <w:tcPr>
            <w:tcW w:w="1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(0.60)</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used in computing net income (loss) per</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attributable to common stockholders, basic</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83,744,950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51,453,368</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68,395,804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44,173,570</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used in computing net income (loss) per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attributable to common stockholders, diluted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83,744,950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51,453,368</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68,395,804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54,539,795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2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180" w:type="dxa"/>
            <w:vAlign w:val="bottom"/>
          </w:tcPr>
          <w:p>
            <w:pPr>
              <w:spacing w:after="0"/>
              <w:rPr>
                <w:sz w:val="15"/>
                <w:szCs w:val="15"/>
                <w:color w:val="auto"/>
              </w:rPr>
            </w:pPr>
          </w:p>
        </w:tc>
        <w:tc>
          <w:tcPr>
            <w:tcW w:w="1240" w:type="dxa"/>
            <w:vAlign w:val="bottom"/>
            <w:tcBorders>
              <w:bottom w:val="single" w:sz="8" w:color="auto"/>
            </w:tcBorders>
            <w:gridSpan w:val="3"/>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5180" w:type="dxa"/>
            <w:vAlign w:val="bottom"/>
          </w:tcPr>
          <w:p>
            <w:pPr>
              <w:spacing w:after="0"/>
              <w:rPr>
                <w:sz w:val="13"/>
                <w:szCs w:val="13"/>
                <w:color w:val="auto"/>
              </w:rPr>
            </w:pPr>
          </w:p>
        </w:tc>
        <w:tc>
          <w:tcPr>
            <w:tcW w:w="800" w:type="dxa"/>
            <w:vAlign w:val="bottom"/>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3"/>
                <w:szCs w:val="13"/>
                <w:color w:val="auto"/>
              </w:rPr>
            </w:pPr>
          </w:p>
        </w:tc>
        <w:tc>
          <w:tcPr>
            <w:tcW w:w="5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Stock</w:t>
            </w:r>
          </w:p>
        </w:tc>
        <w:tc>
          <w:tcPr>
            <w:tcW w:w="72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51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Beginning balance at June 30, 2023</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57,180,531</w:t>
            </w:r>
          </w:p>
        </w:tc>
        <w:tc>
          <w:tcPr>
            <w:tcW w:w="1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$ 190,031</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(235,263)</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(45,227)</w:t>
            </w:r>
          </w:p>
        </w:tc>
        <w:tc>
          <w:tcPr>
            <w:tcW w:w="0" w:type="dxa"/>
            <w:vAlign w:val="bottom"/>
          </w:tcPr>
          <w:p>
            <w:pPr>
              <w:spacing w:after="0"/>
              <w:rPr>
                <w:sz w:val="1"/>
                <w:szCs w:val="1"/>
                <w:color w:val="auto"/>
              </w:rPr>
            </w:pPr>
          </w:p>
        </w:tc>
      </w:tr>
      <w:tr>
        <w:trPr>
          <w:trHeight w:val="148"/>
        </w:trPr>
        <w:tc>
          <w:tcPr>
            <w:tcW w:w="51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3,805,155</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282</w:t>
            </w:r>
          </w:p>
        </w:tc>
        <w:tc>
          <w:tcPr>
            <w:tcW w:w="0" w:type="dxa"/>
            <w:vAlign w:val="bottom"/>
          </w:tcPr>
          <w:p>
            <w:pPr>
              <w:spacing w:after="0"/>
              <w:rPr>
                <w:sz w:val="1"/>
                <w:szCs w:val="1"/>
                <w:color w:val="auto"/>
              </w:rPr>
            </w:pPr>
          </w:p>
        </w:tc>
      </w:tr>
      <w:tr>
        <w:trPr>
          <w:trHeight w:val="148"/>
        </w:trPr>
        <w:tc>
          <w:tcPr>
            <w:tcW w:w="51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Issuance of common stock upon vesting of restricted stock units</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1,205,089</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518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Cancellation of restricted stock awards issued in connection with the CyborgOps</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(97,881)</w:t>
            </w: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acquisition</w:t>
            </w: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Fair value of common stock warrants issued to a customer</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148"/>
        </w:trPr>
        <w:tc>
          <w:tcPr>
            <w:tcW w:w="51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Issuance of common stock, net of issuance costs of $1,778</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22,583,000</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11,495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11,497</w:t>
            </w:r>
          </w:p>
        </w:tc>
        <w:tc>
          <w:tcPr>
            <w:tcW w:w="0" w:type="dxa"/>
            <w:vAlign w:val="bottom"/>
          </w:tcPr>
          <w:p>
            <w:pPr>
              <w:spacing w:after="0"/>
              <w:rPr>
                <w:sz w:val="1"/>
                <w:szCs w:val="1"/>
                <w:color w:val="auto"/>
              </w:rPr>
            </w:pPr>
          </w:p>
        </w:tc>
      </w:tr>
      <w:tr>
        <w:trPr>
          <w:trHeight w:val="148"/>
        </w:trPr>
        <w:tc>
          <w:tcPr>
            <w:tcW w:w="51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Issuance of common stock upon trigger of anti-dilution adjustments</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22,500,000</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518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Share repurchase and forfeited anti-dilution adjustment in connection with $3.0</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(2,250)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0" w:type="dxa"/>
            <w:vAlign w:val="bottom"/>
          </w:tcPr>
          <w:p>
            <w:pPr>
              <w:spacing w:after="0"/>
              <w:rPr>
                <w:sz w:val="1"/>
                <w:szCs w:val="1"/>
                <w:color w:val="auto"/>
              </w:rPr>
            </w:pPr>
          </w:p>
        </w:tc>
      </w:tr>
      <w:tr>
        <w:trPr>
          <w:trHeight w:val="171"/>
        </w:trPr>
        <w:tc>
          <w:tcPr>
            <w:tcW w:w="5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million exchange for January 2024 Note</w:t>
            </w: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Earnout shares stock-based compensation</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3,934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3,934</w:t>
            </w:r>
          </w:p>
        </w:tc>
        <w:tc>
          <w:tcPr>
            <w:tcW w:w="0" w:type="dxa"/>
            <w:vAlign w:val="bottom"/>
          </w:tcPr>
          <w:p>
            <w:pPr>
              <w:spacing w:after="0"/>
              <w:rPr>
                <w:sz w:val="1"/>
                <w:szCs w:val="1"/>
                <w:color w:val="auto"/>
              </w:rPr>
            </w:pPr>
          </w:p>
        </w:tc>
      </w:tr>
      <w:tr>
        <w:trPr>
          <w:trHeight w:val="148"/>
        </w:trPr>
        <w:tc>
          <w:tcPr>
            <w:tcW w:w="51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4,975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4,975</w:t>
            </w:r>
          </w:p>
        </w:tc>
        <w:tc>
          <w:tcPr>
            <w:tcW w:w="0" w:type="dxa"/>
            <w:vAlign w:val="bottom"/>
          </w:tcPr>
          <w:p>
            <w:pPr>
              <w:spacing w:after="0"/>
              <w:rPr>
                <w:sz w:val="1"/>
                <w:szCs w:val="1"/>
                <w:color w:val="auto"/>
              </w:rPr>
            </w:pPr>
          </w:p>
        </w:tc>
      </w:tr>
      <w:tr>
        <w:trPr>
          <w:trHeight w:val="148"/>
        </w:trPr>
        <w:tc>
          <w:tcPr>
            <w:tcW w:w="51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(30,777)</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(30,777)</w:t>
            </w:r>
          </w:p>
        </w:tc>
        <w:tc>
          <w:tcPr>
            <w:tcW w:w="0" w:type="dxa"/>
            <w:vAlign w:val="bottom"/>
          </w:tcPr>
          <w:p>
            <w:pPr>
              <w:spacing w:after="0"/>
              <w:rPr>
                <w:sz w:val="1"/>
                <w:szCs w:val="1"/>
                <w:color w:val="auto"/>
              </w:rPr>
            </w:pPr>
          </w:p>
        </w:tc>
      </w:tr>
      <w:tr>
        <w:trPr>
          <w:trHeight w:val="142"/>
        </w:trPr>
        <w:tc>
          <w:tcPr>
            <w:tcW w:w="51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March 31, 2024</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107,175,894</w:t>
            </w:r>
          </w:p>
        </w:tc>
        <w:tc>
          <w:tcPr>
            <w:tcW w:w="16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(750)$ 208,612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(266,040)</w:t>
            </w: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(58,168)</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160" w:type="dxa"/>
            <w:vAlign w:val="bottom"/>
            <w:gridSpan w:val="3"/>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3"/>
                <w:szCs w:val="13"/>
                <w:color w:val="auto"/>
              </w:rPr>
            </w:pPr>
          </w:p>
        </w:tc>
        <w:tc>
          <w:tcPr>
            <w:tcW w:w="88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3"/>
                <w:szCs w:val="13"/>
                <w:color w:val="auto"/>
              </w:rPr>
            </w:pP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160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18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780" w:type="dxa"/>
            <w:vAlign w:val="bottom"/>
            <w:tcBorders>
              <w:top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740" w:type="dxa"/>
            <w:vAlign w:val="bottom"/>
            <w:tcBorders>
              <w:top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41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June 30, 2022</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28,343,420</w:t>
            </w:r>
          </w:p>
        </w:tc>
        <w:tc>
          <w:tcPr>
            <w:tcW w:w="1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w:t>
            </w:r>
          </w:p>
        </w:tc>
        <w:tc>
          <w:tcPr>
            <w:tcW w:w="1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6,196,257</w:t>
            </w:r>
          </w:p>
        </w:tc>
        <w:tc>
          <w:tcPr>
            <w:tcW w:w="1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78,290</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(200,783)</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(122,459)</w:t>
            </w:r>
          </w:p>
        </w:tc>
        <w:tc>
          <w:tcPr>
            <w:tcW w:w="0" w:type="dxa"/>
            <w:vAlign w:val="bottom"/>
          </w:tcPr>
          <w:p>
            <w:pPr>
              <w:spacing w:after="0"/>
              <w:rPr>
                <w:sz w:val="1"/>
                <w:szCs w:val="1"/>
                <w:color w:val="auto"/>
              </w:rPr>
            </w:pPr>
          </w:p>
        </w:tc>
      </w:tr>
      <w:tr>
        <w:trPr>
          <w:trHeight w:val="148"/>
        </w:trPr>
        <w:tc>
          <w:tcPr>
            <w:tcW w:w="4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Recapitalization upon Merger</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(28,343,420)</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21,778,182</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1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Adjusted balance, beginning of period</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27,974,439</w:t>
            </w:r>
          </w:p>
        </w:tc>
        <w:tc>
          <w:tcPr>
            <w:tcW w:w="1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78,321</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(200,783)</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(122,459)</w:t>
            </w:r>
          </w:p>
        </w:tc>
        <w:tc>
          <w:tcPr>
            <w:tcW w:w="0" w:type="dxa"/>
            <w:vAlign w:val="bottom"/>
          </w:tcPr>
          <w:p>
            <w:pPr>
              <w:spacing w:after="0"/>
              <w:rPr>
                <w:sz w:val="1"/>
                <w:szCs w:val="1"/>
                <w:color w:val="auto"/>
              </w:rPr>
            </w:pPr>
          </w:p>
        </w:tc>
      </w:tr>
      <w:tr>
        <w:trPr>
          <w:trHeight w:val="148"/>
        </w:trPr>
        <w:tc>
          <w:tcPr>
            <w:tcW w:w="41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517,515</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280</w:t>
            </w:r>
          </w:p>
        </w:tc>
        <w:tc>
          <w:tcPr>
            <w:tcW w:w="0" w:type="dxa"/>
            <w:vAlign w:val="bottom"/>
          </w:tcPr>
          <w:p>
            <w:pPr>
              <w:spacing w:after="0"/>
              <w:rPr>
                <w:sz w:val="1"/>
                <w:szCs w:val="1"/>
                <w:color w:val="auto"/>
              </w:rPr>
            </w:pPr>
          </w:p>
        </w:tc>
      </w:tr>
      <w:tr>
        <w:trPr>
          <w:trHeight w:val="149"/>
        </w:trPr>
        <w:tc>
          <w:tcPr>
            <w:tcW w:w="41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Fair value of issued warrants on common stock</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1,352</w:t>
            </w:r>
          </w:p>
        </w:tc>
        <w:tc>
          <w:tcPr>
            <w:tcW w:w="0" w:type="dxa"/>
            <w:vAlign w:val="bottom"/>
          </w:tcPr>
          <w:p>
            <w:pPr>
              <w:spacing w:after="0"/>
              <w:rPr>
                <w:sz w:val="1"/>
                <w:szCs w:val="1"/>
                <w:color w:val="auto"/>
              </w:rPr>
            </w:pPr>
          </w:p>
        </w:tc>
      </w:tr>
      <w:tr>
        <w:trPr>
          <w:trHeight w:val="148"/>
        </w:trPr>
        <w:tc>
          <w:tcPr>
            <w:tcW w:w="41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Issuance of common stock upon net exercise of warrants</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136,681</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1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Issuance of common stock</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143,333</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1,100</w:t>
            </w:r>
          </w:p>
        </w:tc>
        <w:tc>
          <w:tcPr>
            <w:tcW w:w="0" w:type="dxa"/>
            <w:vAlign w:val="bottom"/>
          </w:tcPr>
          <w:p>
            <w:pPr>
              <w:spacing w:after="0"/>
              <w:rPr>
                <w:sz w:val="1"/>
                <w:szCs w:val="1"/>
                <w:color w:val="auto"/>
              </w:rPr>
            </w:pPr>
          </w:p>
        </w:tc>
      </w:tr>
      <w:tr>
        <w:trPr>
          <w:trHeight w:val="148"/>
        </w:trPr>
        <w:tc>
          <w:tcPr>
            <w:tcW w:w="41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Issuance of common stock upon vesting of restricted stock units</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798,239</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412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Issuance of shares and transfer of warrants upon termination of</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323,968</w:t>
            </w: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2,412</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2,412</w:t>
            </w:r>
          </w:p>
        </w:tc>
        <w:tc>
          <w:tcPr>
            <w:tcW w:w="0" w:type="dxa"/>
            <w:vAlign w:val="bottom"/>
          </w:tcPr>
          <w:p>
            <w:pPr>
              <w:spacing w:after="0"/>
              <w:rPr>
                <w:sz w:val="1"/>
                <w:szCs w:val="1"/>
                <w:color w:val="auto"/>
              </w:rPr>
            </w:pPr>
          </w:p>
        </w:tc>
      </w:tr>
      <w:tr>
        <w:trPr>
          <w:trHeight w:val="171"/>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convertible note agreement</w:t>
            </w: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Conversion of convertible notes into common stock</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8,147,938</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41,391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41,392</w:t>
            </w:r>
          </w:p>
        </w:tc>
        <w:tc>
          <w:tcPr>
            <w:tcW w:w="0" w:type="dxa"/>
            <w:vAlign w:val="bottom"/>
          </w:tcPr>
          <w:p>
            <w:pPr>
              <w:spacing w:after="0"/>
              <w:rPr>
                <w:sz w:val="1"/>
                <w:szCs w:val="1"/>
                <w:color w:val="auto"/>
              </w:rPr>
            </w:pPr>
          </w:p>
        </w:tc>
      </w:tr>
      <w:tr>
        <w:trPr>
          <w:trHeight w:val="148"/>
        </w:trPr>
        <w:tc>
          <w:tcPr>
            <w:tcW w:w="41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Warrants issued with Credit Agreement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2,076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2,076</w:t>
            </w:r>
          </w:p>
        </w:tc>
        <w:tc>
          <w:tcPr>
            <w:tcW w:w="0" w:type="dxa"/>
            <w:vAlign w:val="bottom"/>
          </w:tcPr>
          <w:p>
            <w:pPr>
              <w:spacing w:after="0"/>
              <w:rPr>
                <w:sz w:val="1"/>
                <w:szCs w:val="1"/>
                <w:color w:val="auto"/>
              </w:rPr>
            </w:pPr>
          </w:p>
        </w:tc>
      </w:tr>
      <w:tr>
        <w:trPr>
          <w:trHeight w:val="149"/>
        </w:trPr>
        <w:tc>
          <w:tcPr>
            <w:tcW w:w="41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Reclassification of liability classified warrants to equity</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830</w:t>
            </w:r>
          </w:p>
        </w:tc>
        <w:tc>
          <w:tcPr>
            <w:tcW w:w="0" w:type="dxa"/>
            <w:vAlign w:val="bottom"/>
          </w:tcPr>
          <w:p>
            <w:pPr>
              <w:spacing w:after="0"/>
              <w:rPr>
                <w:sz w:val="1"/>
                <w:szCs w:val="1"/>
                <w:color w:val="auto"/>
              </w:rPr>
            </w:pPr>
          </w:p>
        </w:tc>
      </w:tr>
      <w:tr>
        <w:trPr>
          <w:trHeight w:val="148"/>
        </w:trPr>
        <w:tc>
          <w:tcPr>
            <w:tcW w:w="41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Contribution by shareholder in conjunction with Credit Agreement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2,779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2,779</w:t>
            </w:r>
          </w:p>
        </w:tc>
        <w:tc>
          <w:tcPr>
            <w:tcW w:w="0" w:type="dxa"/>
            <w:vAlign w:val="bottom"/>
          </w:tcPr>
          <w:p>
            <w:pPr>
              <w:spacing w:after="0"/>
              <w:rPr>
                <w:sz w:val="1"/>
                <w:szCs w:val="1"/>
                <w:color w:val="auto"/>
              </w:rPr>
            </w:pPr>
          </w:p>
        </w:tc>
      </w:tr>
      <w:tr>
        <w:trPr>
          <w:trHeight w:val="149"/>
        </w:trPr>
        <w:tc>
          <w:tcPr>
            <w:tcW w:w="41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Earnout shares stock-based compensation</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3,478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3,478</w:t>
            </w:r>
          </w:p>
        </w:tc>
        <w:tc>
          <w:tcPr>
            <w:tcW w:w="0" w:type="dxa"/>
            <w:vAlign w:val="bottom"/>
          </w:tcPr>
          <w:p>
            <w:pPr>
              <w:spacing w:after="0"/>
              <w:rPr>
                <w:sz w:val="1"/>
                <w:szCs w:val="1"/>
                <w:color w:val="auto"/>
              </w:rPr>
            </w:pPr>
          </w:p>
        </w:tc>
      </w:tr>
      <w:tr>
        <w:trPr>
          <w:trHeight w:val="148"/>
        </w:trPr>
        <w:tc>
          <w:tcPr>
            <w:tcW w:w="41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Merger and PIPE Financing</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13,879,828</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35,737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35,738</w:t>
            </w:r>
          </w:p>
        </w:tc>
        <w:tc>
          <w:tcPr>
            <w:tcW w:w="0" w:type="dxa"/>
            <w:vAlign w:val="bottom"/>
          </w:tcPr>
          <w:p>
            <w:pPr>
              <w:spacing w:after="0"/>
              <w:rPr>
                <w:sz w:val="1"/>
                <w:szCs w:val="1"/>
                <w:color w:val="auto"/>
              </w:rPr>
            </w:pPr>
          </w:p>
        </w:tc>
      </w:tr>
      <w:tr>
        <w:trPr>
          <w:trHeight w:val="148"/>
        </w:trPr>
        <w:tc>
          <w:tcPr>
            <w:tcW w:w="41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6,710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6,710</w:t>
            </w:r>
          </w:p>
        </w:tc>
        <w:tc>
          <w:tcPr>
            <w:tcW w:w="0" w:type="dxa"/>
            <w:vAlign w:val="bottom"/>
          </w:tcPr>
          <w:p>
            <w:pPr>
              <w:spacing w:after="0"/>
              <w:rPr>
                <w:sz w:val="1"/>
                <w:szCs w:val="1"/>
                <w:color w:val="auto"/>
              </w:rPr>
            </w:pPr>
          </w:p>
        </w:tc>
      </w:tr>
      <w:tr>
        <w:trPr>
          <w:trHeight w:val="149"/>
        </w:trPr>
        <w:tc>
          <w:tcPr>
            <w:tcW w:w="41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2,080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2,080</w:t>
            </w:r>
          </w:p>
        </w:tc>
        <w:tc>
          <w:tcPr>
            <w:tcW w:w="0" w:type="dxa"/>
            <w:vAlign w:val="bottom"/>
          </w:tcPr>
          <w:p>
            <w:pPr>
              <w:spacing w:after="0"/>
              <w:rPr>
                <w:sz w:val="1"/>
                <w:szCs w:val="1"/>
                <w:color w:val="auto"/>
              </w:rPr>
            </w:pPr>
          </w:p>
        </w:tc>
      </w:tr>
      <w:tr>
        <w:trPr>
          <w:trHeight w:val="142"/>
        </w:trPr>
        <w:tc>
          <w:tcPr>
            <w:tcW w:w="41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March 31, 2023</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51,921,941</w:t>
            </w:r>
          </w:p>
        </w:tc>
        <w:tc>
          <w:tcPr>
            <w:tcW w:w="16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176,466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(198,703)</w:t>
            </w: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(22,232)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80"/>
          </w:cols>
          <w:pgMar w:left="980" w:top="513" w:right="9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126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3"/>
                <w:szCs w:val="13"/>
                <w:color w:val="auto"/>
              </w:rPr>
            </w:pP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4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840" w:type="dxa"/>
            <w:vAlign w:val="bottom"/>
          </w:tcPr>
          <w:p>
            <w:pPr>
              <w:spacing w:after="0"/>
              <w:rPr>
                <w:sz w:val="15"/>
                <w:szCs w:val="15"/>
                <w:color w:val="auto"/>
              </w:rPr>
            </w:pPr>
          </w:p>
        </w:tc>
        <w:tc>
          <w:tcPr>
            <w:tcW w:w="1260" w:type="dxa"/>
            <w:vAlign w:val="bottom"/>
            <w:tcBorders>
              <w:bottom w:val="single" w:sz="8" w:color="auto"/>
            </w:tcBorders>
            <w:gridSpan w:val="3"/>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82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5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2"/>
                <w:szCs w:val="12"/>
                <w:color w:val="auto"/>
              </w:rPr>
            </w:pPr>
          </w:p>
        </w:tc>
        <w:tc>
          <w:tcPr>
            <w:tcW w:w="48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48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2023</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70,335,628</w:t>
            </w:r>
          </w:p>
        </w:tc>
        <w:tc>
          <w:tcPr>
            <w:tcW w:w="14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206,109</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(247,945)</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(41,829)</w:t>
            </w:r>
          </w:p>
        </w:tc>
        <w:tc>
          <w:tcPr>
            <w:tcW w:w="0" w:type="dxa"/>
            <w:vAlign w:val="bottom"/>
          </w:tcPr>
          <w:p>
            <w:pPr>
              <w:spacing w:after="0"/>
              <w:rPr>
                <w:sz w:val="1"/>
                <w:szCs w:val="1"/>
                <w:color w:val="auto"/>
              </w:rPr>
            </w:pPr>
          </w:p>
        </w:tc>
      </w:tr>
      <w:tr>
        <w:trPr>
          <w:trHeight w:val="148"/>
        </w:trPr>
        <w:tc>
          <w:tcPr>
            <w:tcW w:w="48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2,355,276</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48"/>
        </w:trPr>
        <w:tc>
          <w:tcPr>
            <w:tcW w:w="48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Issuance of common stock upon vesting of restricted stock units</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151,990</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8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Issuance of common stock, net of issuance costs of $709</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13,333,000</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2,625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2,626</w:t>
            </w:r>
          </w:p>
        </w:tc>
        <w:tc>
          <w:tcPr>
            <w:tcW w:w="0" w:type="dxa"/>
            <w:vAlign w:val="bottom"/>
          </w:tcPr>
          <w:p>
            <w:pPr>
              <w:spacing w:after="0"/>
              <w:rPr>
                <w:sz w:val="1"/>
                <w:szCs w:val="1"/>
                <w:color w:val="auto"/>
              </w:rPr>
            </w:pPr>
          </w:p>
        </w:tc>
      </w:tr>
      <w:tr>
        <w:trPr>
          <w:trHeight w:val="149"/>
        </w:trPr>
        <w:tc>
          <w:tcPr>
            <w:tcW w:w="48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Issuance of common stock upon trigger of anti-dilution adjustments</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21,000,000</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484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Share repurchase and forfeited anti-dilution adjustment in connection with $3.0</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(2,250)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0" w:type="dxa"/>
            <w:vAlign w:val="bottom"/>
          </w:tcPr>
          <w:p>
            <w:pPr>
              <w:spacing w:after="0"/>
              <w:rPr>
                <w:sz w:val="1"/>
                <w:szCs w:val="1"/>
                <w:color w:val="auto"/>
              </w:rPr>
            </w:pPr>
          </w:p>
        </w:tc>
      </w:tr>
      <w:tr>
        <w:trPr>
          <w:trHeight w:val="171"/>
        </w:trPr>
        <w:tc>
          <w:tcPr>
            <w:tcW w:w="4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million exchange for January 2024 Note</w:t>
            </w: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8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Earnout shares stock-based compensation</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1,260</w:t>
            </w:r>
          </w:p>
        </w:tc>
        <w:tc>
          <w:tcPr>
            <w:tcW w:w="0" w:type="dxa"/>
            <w:vAlign w:val="bottom"/>
          </w:tcPr>
          <w:p>
            <w:pPr>
              <w:spacing w:after="0"/>
              <w:rPr>
                <w:sz w:val="1"/>
                <w:szCs w:val="1"/>
                <w:color w:val="auto"/>
              </w:rPr>
            </w:pPr>
          </w:p>
        </w:tc>
      </w:tr>
      <w:tr>
        <w:trPr>
          <w:trHeight w:val="148"/>
        </w:trPr>
        <w:tc>
          <w:tcPr>
            <w:tcW w:w="48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825</w:t>
            </w:r>
          </w:p>
        </w:tc>
        <w:tc>
          <w:tcPr>
            <w:tcW w:w="0" w:type="dxa"/>
            <w:vAlign w:val="bottom"/>
          </w:tcPr>
          <w:p>
            <w:pPr>
              <w:spacing w:after="0"/>
              <w:rPr>
                <w:sz w:val="1"/>
                <w:szCs w:val="1"/>
                <w:color w:val="auto"/>
              </w:rPr>
            </w:pPr>
          </w:p>
        </w:tc>
      </w:tr>
      <w:tr>
        <w:trPr>
          <w:trHeight w:val="149"/>
        </w:trPr>
        <w:tc>
          <w:tcPr>
            <w:tcW w:w="48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(18,095)</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(18,095)</w:t>
            </w:r>
          </w:p>
        </w:tc>
        <w:tc>
          <w:tcPr>
            <w:tcW w:w="0" w:type="dxa"/>
            <w:vAlign w:val="bottom"/>
          </w:tcPr>
          <w:p>
            <w:pPr>
              <w:spacing w:after="0"/>
              <w:rPr>
                <w:sz w:val="1"/>
                <w:szCs w:val="1"/>
                <w:color w:val="auto"/>
              </w:rPr>
            </w:pPr>
          </w:p>
        </w:tc>
      </w:tr>
      <w:tr>
        <w:trPr>
          <w:trHeight w:val="142"/>
        </w:trPr>
        <w:tc>
          <w:tcPr>
            <w:tcW w:w="48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March 31, 2024</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107,175,894</w:t>
            </w: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(750)</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208,612</w:t>
            </w:r>
          </w:p>
        </w:tc>
        <w:tc>
          <w:tcPr>
            <w:tcW w:w="16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(266,040)</w:t>
            </w: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(58,168)</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1620" w:type="dxa"/>
            <w:vAlign w:val="bottom"/>
            <w:gridSpan w:val="4"/>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8"/>
        </w:trPr>
        <w:tc>
          <w:tcPr>
            <w:tcW w:w="5440" w:type="dxa"/>
            <w:vAlign w:val="bottom"/>
          </w:tcPr>
          <w:p>
            <w:pPr>
              <w:spacing w:after="0"/>
              <w:rPr>
                <w:sz w:val="15"/>
                <w:szCs w:val="15"/>
                <w:color w:val="auto"/>
              </w:rPr>
            </w:pPr>
          </w:p>
        </w:tc>
        <w:tc>
          <w:tcPr>
            <w:tcW w:w="1620" w:type="dxa"/>
            <w:vAlign w:val="bottom"/>
            <w:tcBorders>
              <w:bottom w:val="single" w:sz="8" w:color="auto"/>
            </w:tcBorders>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54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54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2022</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51,231,608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170,794</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(183,023)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(12,224)</w:t>
            </w:r>
          </w:p>
        </w:tc>
        <w:tc>
          <w:tcPr>
            <w:tcW w:w="0" w:type="dxa"/>
            <w:vAlign w:val="bottom"/>
          </w:tcPr>
          <w:p>
            <w:pPr>
              <w:spacing w:after="0"/>
              <w:rPr>
                <w:sz w:val="1"/>
                <w:szCs w:val="1"/>
                <w:color w:val="auto"/>
              </w:rPr>
            </w:pPr>
          </w:p>
        </w:tc>
      </w:tr>
      <w:tr>
        <w:trPr>
          <w:trHeight w:val="148"/>
        </w:trPr>
        <w:tc>
          <w:tcPr>
            <w:tcW w:w="54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370,692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220</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149"/>
        </w:trPr>
        <w:tc>
          <w:tcPr>
            <w:tcW w:w="54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Issuance of common stock upon vesting of restricted stock units</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309,641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4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Issuance of common stock</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8"/>
        </w:trPr>
        <w:tc>
          <w:tcPr>
            <w:tcW w:w="54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Fair value of common stock warrants issued to customer</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499</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499</w:t>
            </w:r>
          </w:p>
        </w:tc>
        <w:tc>
          <w:tcPr>
            <w:tcW w:w="0" w:type="dxa"/>
            <w:vAlign w:val="bottom"/>
          </w:tcPr>
          <w:p>
            <w:pPr>
              <w:spacing w:after="0"/>
              <w:rPr>
                <w:sz w:val="1"/>
                <w:szCs w:val="1"/>
                <w:color w:val="auto"/>
              </w:rPr>
            </w:pPr>
          </w:p>
        </w:tc>
      </w:tr>
      <w:tr>
        <w:trPr>
          <w:trHeight w:val="148"/>
        </w:trPr>
        <w:tc>
          <w:tcPr>
            <w:tcW w:w="54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Earnout shares stock-based compensation</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1,604</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1,604</w:t>
            </w:r>
          </w:p>
        </w:tc>
        <w:tc>
          <w:tcPr>
            <w:tcW w:w="0" w:type="dxa"/>
            <w:vAlign w:val="bottom"/>
          </w:tcPr>
          <w:p>
            <w:pPr>
              <w:spacing w:after="0"/>
              <w:rPr>
                <w:sz w:val="1"/>
                <w:szCs w:val="1"/>
                <w:color w:val="auto"/>
              </w:rPr>
            </w:pPr>
          </w:p>
        </w:tc>
      </w:tr>
      <w:tr>
        <w:trPr>
          <w:trHeight w:val="149"/>
        </w:trPr>
        <w:tc>
          <w:tcPr>
            <w:tcW w:w="54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3,249</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3,249</w:t>
            </w:r>
          </w:p>
        </w:tc>
        <w:tc>
          <w:tcPr>
            <w:tcW w:w="0" w:type="dxa"/>
            <w:vAlign w:val="bottom"/>
          </w:tcPr>
          <w:p>
            <w:pPr>
              <w:spacing w:after="0"/>
              <w:rPr>
                <w:sz w:val="1"/>
                <w:szCs w:val="1"/>
                <w:color w:val="auto"/>
              </w:rPr>
            </w:pPr>
          </w:p>
        </w:tc>
      </w:tr>
      <w:tr>
        <w:trPr>
          <w:trHeight w:val="148"/>
        </w:trPr>
        <w:tc>
          <w:tcPr>
            <w:tcW w:w="54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(15,680)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(15,680)</w:t>
            </w:r>
          </w:p>
        </w:tc>
        <w:tc>
          <w:tcPr>
            <w:tcW w:w="0" w:type="dxa"/>
            <w:vAlign w:val="bottom"/>
          </w:tcPr>
          <w:p>
            <w:pPr>
              <w:spacing w:after="0"/>
              <w:rPr>
                <w:sz w:val="1"/>
                <w:szCs w:val="1"/>
                <w:color w:val="auto"/>
              </w:rPr>
            </w:pPr>
          </w:p>
        </w:tc>
      </w:tr>
      <w:tr>
        <w:trPr>
          <w:trHeight w:val="142"/>
        </w:trPr>
        <w:tc>
          <w:tcPr>
            <w:tcW w:w="54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March 31, 2023</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51,921,941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176,466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(198,703)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(22,232)</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80"/>
          </w:cols>
          <w:pgMar w:left="980" w:top="513" w:right="9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83"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3"/>
          <w:szCs w:val="13"/>
          <w:b w:val="1"/>
          <w:bCs w:val="1"/>
          <w:color w:val="auto"/>
        </w:rPr>
        <w:t>Nine months ended</w:t>
      </w:r>
    </w:p>
    <w:p>
      <w:pPr>
        <w:ind w:left="7780"/>
        <w:spacing w:after="0" w:line="225" w:lineRule="auto"/>
        <w:rPr>
          <w:sz w:val="20"/>
          <w:szCs w:val="20"/>
          <w:color w:val="auto"/>
        </w:rPr>
      </w:pPr>
      <w:r>
        <w:rPr>
          <w:rFonts w:ascii="Times New Roman" w:cs="Times New Roman" w:eastAsia="Times New Roman" w:hAnsi="Times New Roman"/>
          <w:sz w:val="13"/>
          <w:szCs w:val="13"/>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63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4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517"/>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3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1040" w:type="dxa"/>
            <w:vAlign w:val="bottom"/>
            <w:gridSpan w:val="2"/>
            <w:shd w:val="clear" w:color="auto" w:fill="CCEEFF"/>
          </w:tcPr>
          <w:p>
            <w:pPr>
              <w:jc w:val="right"/>
              <w:ind w:right="7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(30,777)</w:t>
            </w:r>
          </w:p>
        </w:tc>
        <w:tc>
          <w:tcPr>
            <w:tcW w:w="620" w:type="dxa"/>
            <w:vAlign w:val="bottom"/>
            <w:gridSpan w:val="2"/>
            <w:shd w:val="clear" w:color="auto" w:fill="CCEEFF"/>
          </w:tcPr>
          <w:p>
            <w:pPr>
              <w:jc w:val="right"/>
              <w:ind w:right="20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2,080</w:t>
            </w: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Adjustments to reconcile net income (loss) to net cash used in operating activities:</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2,431</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1,262</w:t>
            </w: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Impairment of intangible assets</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4,056</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gridSpan w:val="2"/>
          </w:tcPr>
          <w:p>
            <w:pPr>
              <w:jc w:val="right"/>
              <w:ind w:right="3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Impairment of inventory</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425</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3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4,683</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5,794</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Earnout share stock-based compensation</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3,934</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3,478</w:t>
            </w: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Contra-revenue associated with warrant agreement</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462</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1,073</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Noncash expense attributable to fair value liabilities assumed in Merger</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w:t>
            </w: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Change in fair value of liability classified warrants, net of anti-dilution warrants issued</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(25,467)</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(12,555)</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Change in fair value of embedded warrants and convertible promissory notes</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(1,470)</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(48,271)</w:t>
            </w: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Debt issuance costs associated with convertible promissory notes</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388</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gridSpan w:val="2"/>
          </w:tcPr>
          <w:p>
            <w:pPr>
              <w:jc w:val="right"/>
              <w:ind w:right="3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Amortization of debt discount and debt issuance costs</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4,046</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2,433</w:t>
            </w: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Loss on extinguishment of debt and financing obligations</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8,095</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Paid-in-kind interest expense</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5,675</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4,604</w:t>
            </w: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Share and warrant cost on termination of convertible note agreement</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2,412</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Forgiveness of PPP Loan</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(2,000)</w:t>
            </w: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Change in fair value of unvested sponsor shares liability</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(1,391)</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(1,392)</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Noncash lease expense</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256</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264</w:t>
            </w: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Loss on disposal of property and equipment</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Accounts receivable, net</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586</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(689)</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Inventories</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474</w:t>
            </w: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Deferred costs</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825</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7,769</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Prepaid expenses and other current assets</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125</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(742)</w:t>
            </w: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Accounts payable</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202</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1,480</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Accrued liabilities</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(443)</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(2,137)</w:t>
            </w: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Deferred revenue</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(608)</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(8,954)</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Other long-term liabilities</w:t>
            </w:r>
          </w:p>
        </w:tc>
        <w:tc>
          <w:tcPr>
            <w:tcW w:w="140" w:type="dxa"/>
            <w:vAlign w:val="bottom"/>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(137)</w:t>
            </w:r>
          </w:p>
        </w:tc>
        <w:tc>
          <w:tcPr>
            <w:tcW w:w="30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(247)</w:t>
            </w: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360" w:type="dxa"/>
            <w:vAlign w:val="bottom"/>
            <w:tcBorders>
              <w:bottom w:val="single" w:sz="8" w:color="CCEEFF"/>
            </w:tcBorders>
          </w:tcPr>
          <w:p>
            <w:pPr>
              <w:ind w:left="320"/>
              <w:spacing w:after="0" w:line="129" w:lineRule="exact"/>
              <w:rPr>
                <w:sz w:val="20"/>
                <w:szCs w:val="20"/>
                <w:color w:val="auto"/>
              </w:rPr>
            </w:pPr>
            <w:r>
              <w:rPr>
                <w:rFonts w:ascii="Times New Roman" w:cs="Times New Roman" w:eastAsia="Times New Roman" w:hAnsi="Times New Roman"/>
                <w:sz w:val="13"/>
                <w:szCs w:val="13"/>
                <w:b w:val="1"/>
                <w:bCs w:val="1"/>
                <w:color w:val="auto"/>
              </w:rPr>
              <w:t>Net cash used in operating activities</w:t>
            </w:r>
          </w:p>
        </w:tc>
        <w:tc>
          <w:tcPr>
            <w:tcW w:w="14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(32,177)</w:t>
            </w:r>
          </w:p>
        </w:tc>
        <w:tc>
          <w:tcPr>
            <w:tcW w:w="3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(35,719)</w:t>
            </w:r>
          </w:p>
        </w:tc>
        <w:tc>
          <w:tcPr>
            <w:tcW w:w="3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6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3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Purchase of property and equipment</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(396)</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(229)</w:t>
            </w: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Payments relating to capitalized software</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(3,034)</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(3,584)</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Investment in non-affiliate</w:t>
            </w:r>
          </w:p>
        </w:tc>
        <w:tc>
          <w:tcPr>
            <w:tcW w:w="140" w:type="dxa"/>
            <w:vAlign w:val="bottom"/>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(2,000)</w:t>
            </w: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60" w:type="dxa"/>
            <w:vAlign w:val="bottom"/>
            <w:tcBorders>
              <w:bottom w:val="single" w:sz="8" w:color="CCEEFF"/>
            </w:tcBorders>
          </w:tcPr>
          <w:p>
            <w:pPr>
              <w:ind w:left="320"/>
              <w:spacing w:after="0" w:line="129" w:lineRule="exact"/>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14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(3,430)</w:t>
            </w:r>
          </w:p>
        </w:tc>
        <w:tc>
          <w:tcPr>
            <w:tcW w:w="3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(5,813)</w:t>
            </w:r>
          </w:p>
        </w:tc>
        <w:tc>
          <w:tcPr>
            <w:tcW w:w="3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3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Proceeds from exercise of common stock options</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282</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280</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Proceeds from issuance of term loans and promissory notes</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6,400</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60,250</w:t>
            </w: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Payment of debt issuance costs</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(435)</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(1,294)</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Repayment of term loans</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(10,000)</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(32,980)</w:t>
            </w: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Payment of penalties and other costs on extinguishment of debt</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(6,144)</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Proceeds from issuance of premium financing</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884</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3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Repayment of premium financing</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(663)</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gridSpan w:val="2"/>
          </w:tcPr>
          <w:p>
            <w:pPr>
              <w:jc w:val="right"/>
              <w:ind w:right="3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Proceeds from the issuance of convertible notes</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6,960</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3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Principal payments of financing obligations</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(527)</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(3,669)</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Proceeds from the issuance of common stock</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11,798</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1,100</w:t>
            </w: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Contributions from Merger and PIPE financing, net of transaction costs and other payments</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49,840</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Payments of deferred transaction costs</w:t>
            </w:r>
          </w:p>
        </w:tc>
        <w:tc>
          <w:tcPr>
            <w:tcW w:w="140" w:type="dxa"/>
            <w:vAlign w:val="bottom"/>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(1,890)</w:t>
            </w: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360" w:type="dxa"/>
            <w:vAlign w:val="bottom"/>
            <w:tcBorders>
              <w:bottom w:val="single" w:sz="8" w:color="CCEEFF"/>
            </w:tcBorders>
          </w:tcPr>
          <w:p>
            <w:pPr>
              <w:ind w:left="320"/>
              <w:spacing w:after="0" w:line="129" w:lineRule="exact"/>
              <w:rPr>
                <w:sz w:val="20"/>
                <w:szCs w:val="20"/>
                <w:color w:val="auto"/>
              </w:rPr>
            </w:pPr>
            <w:r>
              <w:rPr>
                <w:rFonts w:ascii="Times New Roman" w:cs="Times New Roman" w:eastAsia="Times New Roman" w:hAnsi="Times New Roman"/>
                <w:sz w:val="13"/>
                <w:szCs w:val="13"/>
                <w:b w:val="1"/>
                <w:bCs w:val="1"/>
                <w:color w:val="auto"/>
              </w:rPr>
              <w:t>Net cash provided by financing activities</w:t>
            </w:r>
          </w:p>
        </w:tc>
        <w:tc>
          <w:tcPr>
            <w:tcW w:w="14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14,699</w:t>
            </w:r>
          </w:p>
        </w:tc>
        <w:tc>
          <w:tcPr>
            <w:tcW w:w="3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65,493</w:t>
            </w:r>
          </w:p>
        </w:tc>
        <w:tc>
          <w:tcPr>
            <w:tcW w:w="3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increase (decrease) in cash, cash equivalents and restricted cash</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(20,908)</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23,961</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Cash, cash equivalents and restricted cash at beginning of period</w:t>
            </w:r>
          </w:p>
        </w:tc>
        <w:tc>
          <w:tcPr>
            <w:tcW w:w="140" w:type="dxa"/>
            <w:vAlign w:val="bottom"/>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25,143</w:t>
            </w:r>
          </w:p>
        </w:tc>
        <w:tc>
          <w:tcPr>
            <w:tcW w:w="30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3,017</w:t>
            </w: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38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color w:val="auto"/>
              </w:rPr>
              <w:t>Cash, cash equivalents and restricted cash at end of period</w:t>
            </w:r>
          </w:p>
        </w:tc>
        <w:tc>
          <w:tcPr>
            <w:tcW w:w="140" w:type="dxa"/>
            <w:vAlign w:val="bottom"/>
          </w:tcPr>
          <w:p>
            <w:pPr>
              <w:spacing w:after="0"/>
              <w:rPr>
                <w:sz w:val="14"/>
                <w:szCs w:val="14"/>
                <w:color w:val="auto"/>
              </w:rPr>
            </w:pPr>
          </w:p>
        </w:tc>
        <w:tc>
          <w:tcPr>
            <w:tcW w:w="900" w:type="dxa"/>
            <w:vAlign w:val="bottom"/>
            <w:tcBorders>
              <w:bottom w:val="single" w:sz="8" w:color="auto"/>
            </w:tcBorders>
          </w:tcPr>
          <w:p>
            <w:pPr>
              <w:jc w:val="right"/>
              <w:ind w:right="75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4,235</w:t>
            </w:r>
          </w:p>
        </w:tc>
        <w:tc>
          <w:tcPr>
            <w:tcW w:w="300" w:type="dxa"/>
            <w:vAlign w:val="bottom"/>
          </w:tcPr>
          <w:p>
            <w:pPr>
              <w:spacing w:after="0"/>
              <w:rPr>
                <w:sz w:val="14"/>
                <w:szCs w:val="14"/>
                <w:color w:val="auto"/>
              </w:rPr>
            </w:pPr>
          </w:p>
        </w:tc>
        <w:tc>
          <w:tcPr>
            <w:tcW w:w="3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26,978</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3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3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Supplemental Disclosure of Non-Cash Investing and Financing Activities</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Capitalization of stock-based compensation expense to capitalized software</w:t>
            </w:r>
          </w:p>
        </w:tc>
        <w:tc>
          <w:tcPr>
            <w:tcW w:w="1040" w:type="dxa"/>
            <w:vAlign w:val="bottom"/>
            <w:gridSpan w:val="2"/>
            <w:shd w:val="clear" w:color="auto" w:fill="CCEEFF"/>
          </w:tcPr>
          <w:p>
            <w:pPr>
              <w:jc w:val="right"/>
              <w:ind w:right="7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323</w:t>
            </w:r>
          </w:p>
        </w:tc>
        <w:tc>
          <w:tcPr>
            <w:tcW w:w="620" w:type="dxa"/>
            <w:vAlign w:val="bottom"/>
            <w:gridSpan w:val="2"/>
            <w:shd w:val="clear" w:color="auto" w:fill="CCEEFF"/>
          </w:tcPr>
          <w:p>
            <w:pPr>
              <w:jc w:val="right"/>
              <w:ind w:right="20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916</w:t>
            </w: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Capital contribution from shareholder in conjunction with Credit Agreement</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2,779</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Issuance of warrants (Refer to Note 3)</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148</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1,352</w:t>
            </w: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8"/>
              </w:rPr>
              <w:t>Issuance of warrants in conjunction with reduction of accrued interest and future interest associated with Credit Agreement</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6,643</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2,705</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Deemed dividend associated with anti-dilution adjustment</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10,649</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3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Issuance of warrants in conjunction with Lago Term Loan</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843</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Transaction costs recorded in accounts payable and accrued liabilities</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300</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3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Repurchase of common stock and forfeiture of anti-dilution shares in exchange for convertible notes</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750</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gridSpan w:val="2"/>
          </w:tcPr>
          <w:p>
            <w:pPr>
              <w:jc w:val="right"/>
              <w:ind w:right="3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Convertible note conversion to common stock</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41,392</w:t>
            </w: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Reclassification of warrants from liabilities to equity</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830</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Recognition of liability classified warrants upon Merger</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9,388</w:t>
            </w: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3"/>
                <w:szCs w:val="13"/>
                <w:color w:val="auto"/>
              </w:rPr>
              <w:t>Recognition of Unvested Sponsor Shares liability</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1,588</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Forgiveness of PPP Loan</w:t>
            </w:r>
          </w:p>
        </w:tc>
        <w:tc>
          <w:tcPr>
            <w:tcW w:w="322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(2,000)</w:t>
            </w:r>
          </w:p>
        </w:tc>
      </w:tr>
      <w:tr>
        <w:trPr>
          <w:trHeight w:val="164"/>
        </w:trPr>
        <w:tc>
          <w:tcPr>
            <w:tcW w:w="5340" w:type="dxa"/>
            <w:vAlign w:val="bottom"/>
          </w:tcPr>
          <w:p>
            <w:pPr>
              <w:spacing w:after="0"/>
              <w:rPr>
                <w:sz w:val="20"/>
                <w:szCs w:val="20"/>
                <w:color w:val="auto"/>
              </w:rPr>
            </w:pPr>
            <w:r>
              <w:rPr>
                <w:rFonts w:ascii="Times New Roman" w:cs="Times New Roman" w:eastAsia="Times New Roman" w:hAnsi="Times New Roman"/>
                <w:sz w:val="13"/>
                <w:szCs w:val="13"/>
                <w:color w:val="auto"/>
              </w:rPr>
              <w:t>Right of use asset in exchange for operating lease liability</w:t>
            </w:r>
          </w:p>
        </w:tc>
        <w:tc>
          <w:tcPr>
            <w:tcW w:w="3220" w:type="dxa"/>
            <w:vAlign w:val="bottom"/>
          </w:tcPr>
          <w:p>
            <w:pPr>
              <w:ind w:left="242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rPr>
              <w:t>308</w:t>
            </w:r>
          </w:p>
        </w:tc>
      </w:tr>
    </w:tbl>
    <w:p>
      <w:pPr>
        <w:spacing w:after="0" w:line="16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tables are in thousands, unless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Business and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Presto Automation Inc. and its subsidiaries (together, “Presto” or the “Company”) are headquartered in San Carlos, California. Prior to the Merger (as defined below), the Company operated as E La Carte, Inc. (“Legacy Presto”). E La Carte, Inc. was incorporated in the State of Delaware in October 2008. In 2018, E La Carte, Inc. together with its subsidiary adopted “Presto” as its trade name or doing business as name. The Company maintains foreign subsidiaries in Canada and a newly created subsidiary as of July 2023 in India.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with Ventoux CCM Acquisition Corp.</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On September 21, 2022, Ventoux CCM Acquisition Corp. (“Ventoux” or “VTAQ”) and its subsidiaries, then a special purpose acquisition corporation, acquired Legacy Presto via a series of mergers, whereby Legacy Presto became a limited liability company and a wholly owned subsidiary of Ventoux (the “Merger”). Upon completion of the Merger, Ventoux was renamed Presto Automation Inc. Prior to the Merger, Ventoux Acquisition Holdings LLC and Chardan International Investments, LLC were the co-sponsors of Ventoux (together the “Sponsors”) and, with the closing of the Merger, have remained significant shareholders in the Company. Refer to Note 2 for further details.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Cyborg Ops</w:t>
      </w:r>
    </w:p>
    <w:p>
      <w:pPr>
        <w:spacing w:after="0" w:line="229"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On May 23, 2022, the Company entered into an Asset Purchase Agreement (“Asset Purchase Agreement”) with CyborgOps, Inc., a provider of artificial intelligence-based products and services for merchants’ phone answering and ordering systems, to purchase substantially all of its assets and assume certain liabilities. As a consequence of the closing of the Merger, bonus and deferred consideration amounts owed to certain founding members of CyborgOps became due and payable resulting in an expense of $1.9 million, of which $1.8 million and $0.1 million has been recorded within research and development and sales and marketing expenses, respectively, in the condensed consolidated statement of operations and comprehensive income (loss) for the three and nine months ended March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has elected to use this extended transition period for complying with new or revised accounting standards that have different effective dates for public and private companies until the earlier of the date that the Company (i) is no longer an emerging growth company or (ii) affirmatively and irrevocably opts out of the extended transition period provided in the JOBS Act. As a result, the Company’s condensed consolidated financial statements may not be comparable to financial statements of issuers who are required to comply with the effective dates for new or revised accounting standards based on public company effective dates.</w:t>
      </w:r>
    </w:p>
    <w:p>
      <w:pPr>
        <w:spacing w:after="0" w:line="18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Company will remain an emerging growth company until the earliest of (i) the last day of the fiscal year in which the Company’s total annual gross revenue is at least $1.1 billion, (ii) the last day of the fiscal year following the fifth anniversary of the completion of Ventoux’s initial public offering, which occurred on December 30, 2020, (iii) the date on which the Company issued more than $1.0 billion in non-convertible debt securities during the prior three-year period, or (iv) the date on which the Company becomes a large accelerated filer.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in accordance with United States Generally Accepted Accounting Principles (“U.S. GAAP”) for interim financial reporting and the rules and regulations of the Securities and Exchange Commission (“SEC”). References to ASC and ASU included herein refer to the Accounting Standards Codification and Accounting Standards Update established by the Financial Accounting Standards Board (“FASB”) as the source of authoritative U.S. GAAP. All intercompany balances and transactions have been eliminated in consolidation.</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management’s opinion, the unaudited interim condensed consolidated financial statements have been prepared on the same basis as the annual consolidated financial statements. They include all adjustments, consisting of only normal recurring adjustments, necessary for the fair statement of the Company’s financial position as of March 31, 2024, and its results of operations for the three and nine months ended March 31, 2024 and 2023 and the cash flows for the nine months ended March 31, 2024 and 2023. The results for the three and nine months ended March 31, 2024 and 2023, are not necessarily indicative of the results expected for the year or any other periods. These interim financial statements should be read in conjunction with the Presto’s financial statements and related notes for the fiscal year ended June 30, 2023 included in Part II, Item 8 of the Annual Report on Form 10-K filed on October 10, 2023, which includes additional information on the Company’s critical accounting estimates and policies, and the methods and assumptions used to develop the Company’s estimates. The unaudited condensed consolidated balance sheet as of June 30, 2023, has been derived from the Company’s audited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these condensed consolidated financial statements in conformity with U.S. GAAP requires management to make estimates and assumptions that affect the reported amounts of certain assets, liabilities, revenues, expenses, and disclosures. Accordingly, actual amounts could differ from those estimates, and those differences could be material.</w:t>
      </w:r>
    </w:p>
    <w:p>
      <w:pPr>
        <w:spacing w:after="0" w:line="176"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The most significant estimates are related to the fair value of certain financial instruments, which includes warrant liabilities. Other uses of estimates include, but are not limited to, the collectability of accounts receivable, the useful lives of property and equipment and intangible assets, inventory valuation, fair value of financial instruments, valuation of deferred tax assets and liabilities, valuation assumptions utilized in calculating the estimated value of stock-based compensation, valuation of warrants, valuation of goodwill and intangible assets acquired and impairment of long-lived assets. The Company has assessed the impact and is not aware of any specific events or circumstances that required an update to the Company’s estimates and assumptions or materially affected the carrying value of the Company’s assets or liabilities as of the date of issuance of this report. These estimates may change as new events occur and additional information is obtained.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and Uncertainties</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is subject to a number of risks, including a limited operating history, dependence on key individuals, the need to expand the number of its customers, long sales cycles, competition from alternative products and larger companies, the need for additional financing to fund operations, and the need to reduce the number of human agents required for Presto Voice.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of Failure to Satisfy a Continued Listing Rule</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December 28, 2023, the Company received a notice from Nasdaq stating that the Company is not in compliance with the requirement to maintain a minimum closing bid price of $1.00 per share, as set forth in Nasdaq Listing Rule 5450(a)(1) (the “Bid Price Requirement”), because the closing bid price of the Company’s common stock was below $1.00 per share for 30 consecutive business days. The notice does not impact the listing of the common stock on the Nasdaq Global Market at this time. The Company has a period of 180 calendar days, or until June 25, 2024, to regain compliance with the Bid Price Requirement. During this period, the common stock will continue to trade on the Nasdaq Global Market. If at any time before June 25, 2024 the bid price of the common stock closes at or above $1.00 per share for a minimum of ten consecutive trading days, Nasdaq will provide written notification that the Company has achieved compliance with the Bid Price Requirement and the matter will be closed. In the event the Company does not regain compliance by June 25, 2024, the Company may be eligible for an additional 180 calendar day period to regain compliance. To qualify, the Company would be required to meet the continued listing requirement for market value of publicly held shares and all other initial listing standards for the Nasdaq Capital Market, except for the Bid Price Requirement, and transfer its listing to the Nasdaq Capital Market. The Company would also be required to provide written notice to Nasdaq of its intent to cure the deficiency during this second compliance period by effecting a reverse stock split, if necessary.</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On February 6, 2024, the Company received a notice from Nasdaq stating that the Company is not in compliance with the requirement to maintain a minimum Market Value of Listed Securities (“MVLS”) of $50 million, as set forth in Nasdaq Listing Rule 5450(b)(2)(A) (the “MVLS Requirement”), because the MVLS of the Company was below $50 million for the 30 consecutive business days prior to February 6, 2024. Nasdaq further indicated that, as of February 6, 2024, the Company did not comply with certain requirements under the alternative standards set forth in Nasdaq Listing Rule 5450(b)(3)(A) for continued listing on the Nasdaq Global Market. The notice does not currently impact the listing of the common stock on the Nasdaq Global Market at this time. The Company has a period of 180 calendar days, or until August 5, 2024, to regain compliance with the MLVS Requirement. During this period, the common stock will continue to trade on the Nasdaq Global Market. If at any time before August 5, 2024 the MLVS closes at $50 million or more for a minimum of ten consecutive business days, Nasdaq will provide written notification that the Company has achieved compliance with the MLVS Requirement and the matter will be closed. In the event the Company does not regain compliance by August 5, 2024, the Company will receive written notification that its securities are subject to delisting. At that time, the Company may appeal the delisting determination to a hearings panel. The notice provides that the Company may be eligible to transfer the listing of its securities to the Nasdaq Capital Market (provided that it then satisfies the requirements for continued listing on that market).</w:t>
      </w:r>
    </w:p>
    <w:p>
      <w:pPr>
        <w:spacing w:after="0" w:line="187"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On February 23, 2024, the Company received a notice from Nasdaq stating that the Company is not in compliance with the requirement to maintain a minimum Market Value of Publicly Held Securities (“MVPHS”) of $15 million, as set forth in Nasdaq Listing Rule 5450(b)(2)(C) (the “MVPHS Requirement”), because the MVPHS of the Company was below $15 million for the 35 consecutive business days prior to the date of the notice. The notice does not currently impact the listing of the common stock on the Nasdaq Global Market at this time. The Company has a period of 180 calendar days, or until August 21, 2024, to regain compliance with the MVPHS Requirement. If at any time before August 21, 2024 the MVPHS closes at $15 million or more for a minimum of ten consecutive business days, Nasdaq will provide written notification that the Company has achieved compliance with the MVPHS Requirement, and the matter will be closed. In the event the Company does not regain compliance by August 21, 2024, the Company will receive written notification that its securities are subject to delisting. At that time, the Company may appeal the delisting determination to a hearings panel. The notice provides that the Company may be eligible to transfer the listing of its securities to the Nasdaq Capital Market (provided that it then satisfies the requirements for continued listing on that market).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the Company’s principal source of liquidity was cash and cash equivalents of $4.2 million, which is held for working capital purposes.</w:t>
      </w:r>
    </w:p>
    <w:p>
      <w:pPr>
        <w:spacing w:after="0" w:line="16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On September 21, 2022, in connection with the consummation of the Merger, the Company entered into a Credit Agreement (the “Credit Agreement”) with the subsidiary guarantors party thereto, Metropolitan Partners Group Administration, LLC, as administrative, payment and collateral agent (the “Agent”), the lenders (“Lenders”) and other parties party thereto, pursuant to which the Lenders extended term loans having an aggregate original principal amount of $55.0 million (the “Term Loans”). See Note 7 for a description of the Credit Agreement.</w:t>
      </w:r>
    </w:p>
    <w:p>
      <w:pPr>
        <w:spacing w:after="0" w:line="18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Since inception, the Company has financed its operations primarily through financing transactions such as the issuance of convertible promissory notes and loans, and sales of convertible preferred stock and common stock. The Company has incurred recurring operating losses since its inception, including operating losses of $15.3 million and $48.5 million for the three and nine months ended March 31 2024, respectively. As of March 31, 2024, the Company had an accumulated deficit of $266.0 million and the Company expects to generate operating and net losses for the near term. Cash from operations is also affected by various risks and uncertainties, including, but not limited to, the timing of cash collections from customers and other risks.</w:t>
      </w:r>
    </w:p>
    <w:p>
      <w:pPr>
        <w:spacing w:after="0" w:line="18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currently face severe liquidity challenges. While the Company raised net cash proceeds of $2.4 million from the issuance of new debt in the closing of the Third Amendment to the Credit Agreement, received $11.8 million net proceeds from the sale of common stock in private placements and registered direct offerings, raised $7.0 million through the issuance of subordinated convertible notes and a $4.0 million promissory note during the nine months ended March 31, 2024, the Company used cash from operating activities of $32.2 million and incurred a net loss of $30.8 million during the same period. In addition, on January 11, 2024, following notice of breaches of covenants contained in the Credit Agreement, the Lenders delivered an activation notice to the Company’s bank in which $10.0 million of restricted cash was deposited as collateral for the Term Loans and caused the bank to wire that amount to an account designated by the Lenders. The funds were applied to reduce the outstanding balance of the Term Loans</w:t>
      </w:r>
      <w:r>
        <w:rPr>
          <w:rFonts w:ascii="Times New Roman" w:cs="Times New Roman" w:eastAsia="Times New Roman" w:hAnsi="Times New Roman"/>
          <w:sz w:val="21"/>
          <w:szCs w:val="21"/>
          <w:color w:val="auto"/>
        </w:rPr>
        <w:t>.</w:t>
      </w:r>
    </w:p>
    <w:p>
      <w:pPr>
        <w:sectPr>
          <w:pgSz w:w="11900" w:h="16838" w:orient="portrait"/>
          <w:cols w:equalWidth="0" w:num="1">
            <w:col w:w="9900"/>
          </w:cols>
          <w:pgMar w:left="980" w:top="513" w:right="101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17"/>
          <w:szCs w:val="17"/>
          <w:color w:val="auto"/>
        </w:rPr>
        <w:t>As a result, additional capital infusions will be necessary in order to fund currently anticipated expenditures and to meet the Company’s obligations as they come due. In addition, the Company has entered into a forbearance agreement with the Agent and the Lenders with respect to defaults under the Credit Agreement, pursuant to which the forbearance period expires on May 15, 2024. The Company’s future capital requirements will depend on many other factors, including the revenue growth rate, the success of future product development, and the timing and extent of spending to support further sales and marketing and research and development efforts.</w:t>
      </w:r>
    </w:p>
    <w:p>
      <w:pPr>
        <w:spacing w:after="0" w:line="168" w:lineRule="exact"/>
        <w:rPr>
          <w:sz w:val="20"/>
          <w:szCs w:val="20"/>
          <w:color w:val="auto"/>
        </w:rPr>
      </w:pPr>
    </w:p>
    <w:p>
      <w:pPr>
        <w:ind w:right="40" w:firstLine="648"/>
        <w:spacing w:after="0" w:line="272" w:lineRule="auto"/>
        <w:rPr>
          <w:sz w:val="20"/>
          <w:szCs w:val="20"/>
          <w:color w:val="auto"/>
        </w:rPr>
      </w:pPr>
      <w:r>
        <w:rPr>
          <w:rFonts w:ascii="Times New Roman" w:cs="Times New Roman" w:eastAsia="Times New Roman" w:hAnsi="Times New Roman"/>
          <w:sz w:val="17"/>
          <w:szCs w:val="17"/>
          <w:color w:val="auto"/>
        </w:rPr>
        <w:t>Substantial doubt exists about the Company’s ability to continue as a going concern within one year after the date that the financial statements are available to be issued. The Company continues efforts to mitigate the conditions or events that raise this substantial doubt, however, as some components of these plans are outside of management’s control, the Company cannot offer any assurances they will be effectively implemented. The Company cannot offer any assurance that any additional financing will be available on acceptable terms or at all. If the Company is unable to raise additional capital it would likely lead to an event of default under the Credit Agreement and the potential exercise of remedies by the Agent and Lender, which would materially and adversely impact its business, results of operations and financial condition. The Company’s condensed consolidated financial statements have been prepared on a going concern basis, which contemplates the realization of assets and satisfaction of liabilities in the normal course of business.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Risks, Significant Customers and Investments</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are exposed to concentrations of credit risk and consist primarily of cash, cash equivalents, and accounts receivable. The Company maintains its cash and cash equivalents with high-quality financial institutions with investment-grade ratings. In the event of a failure of any financial institutions where the Company maintains deposits, it may lose timely access to its funds and incur losses to the extent its deposits exceed amounts insured by the Federal Deposit Insurance Corporation (“FDIC”), as described below.</w:t>
      </w:r>
    </w:p>
    <w:p>
      <w:pPr>
        <w:spacing w:after="0" w:line="18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restaurant brands (including, as applicable, the franchisees of such restaurants aggregated as a single customer for reporting purposes) accounted for more than 10% of revenues: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360" w:type="dxa"/>
            <w:vAlign w:val="bottom"/>
            <w:gridSpan w:val="4"/>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80" w:type="dxa"/>
            <w:vAlign w:val="bottom"/>
            <w:gridSpan w:val="4"/>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r>
      <w:tr>
        <w:trPr>
          <w:trHeight w:val="173"/>
        </w:trPr>
        <w:tc>
          <w:tcPr>
            <w:tcW w:w="2480" w:type="dxa"/>
            <w:vAlign w:val="bottom"/>
            <w:tcBorders>
              <w:bottom w:val="single" w:sz="8" w:color="CCEEFF"/>
            </w:tcBorders>
          </w:tcPr>
          <w:p>
            <w:pPr>
              <w:spacing w:after="0"/>
              <w:rPr>
                <w:sz w:val="15"/>
                <w:szCs w:val="15"/>
                <w:color w:val="auto"/>
              </w:rPr>
            </w:pPr>
          </w:p>
        </w:tc>
        <w:tc>
          <w:tcPr>
            <w:tcW w:w="30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r>
      <w:tr>
        <w:trPr>
          <w:trHeight w:val="210"/>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16 %</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20 %</w:t>
            </w:r>
          </w:p>
        </w:tc>
        <w:tc>
          <w:tcPr>
            <w:tcW w:w="12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18 %</w:t>
            </w:r>
          </w:p>
        </w:tc>
        <w:tc>
          <w:tcPr>
            <w:tcW w:w="1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22 %</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E</w:t>
            </w: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11 %</w:t>
            </w:r>
          </w:p>
        </w:tc>
        <w:tc>
          <w:tcPr>
            <w:tcW w:w="12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9"/>
        </w:trPr>
        <w:tc>
          <w:tcPr>
            <w:tcW w:w="2480" w:type="dxa"/>
            <w:vAlign w:val="bottom"/>
            <w:tcBorders>
              <w:top w:val="single" w:sz="8" w:color="CCEEFF"/>
            </w:tcBorders>
            <w:shd w:val="clear" w:color="auto" w:fill="CCEEFF"/>
          </w:tcPr>
          <w:p>
            <w:pPr>
              <w:spacing w:after="0"/>
              <w:rPr>
                <w:sz w:val="18"/>
                <w:szCs w:val="18"/>
                <w:color w:val="auto"/>
              </w:rPr>
            </w:pPr>
          </w:p>
        </w:tc>
        <w:tc>
          <w:tcPr>
            <w:tcW w:w="30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400" w:type="dxa"/>
            <w:vAlign w:val="bottom"/>
            <w:tcBorders>
              <w:top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3"/>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108"/>
        </w:trPr>
        <w:tc>
          <w:tcPr>
            <w:tcW w:w="2480" w:type="dxa"/>
            <w:vAlign w:val="bottom"/>
            <w:tcBorders>
              <w:bottom w:val="single" w:sz="8" w:color="auto"/>
            </w:tcBorders>
          </w:tcPr>
          <w:p>
            <w:pPr>
              <w:spacing w:after="0"/>
              <w:rPr>
                <w:sz w:val="9"/>
                <w:szCs w:val="9"/>
                <w:color w:val="auto"/>
              </w:rPr>
            </w:pPr>
          </w:p>
        </w:tc>
        <w:tc>
          <w:tcPr>
            <w:tcW w:w="30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72"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represents less than 10% of revenue for the period.</w:t>
      </w:r>
    </w:p>
    <w:p>
      <w:pPr>
        <w:spacing w:after="0" w:line="200" w:lineRule="exact"/>
        <w:rPr>
          <w:sz w:val="20"/>
          <w:szCs w:val="20"/>
          <w:color w:val="auto"/>
        </w:rPr>
      </w:pP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restaurant brands accounted for more than 10% of accounts receivable: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130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06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99"/>
              </w:rPr>
              <w:t>As of June 30,</w:t>
            </w:r>
          </w:p>
        </w:tc>
      </w:tr>
      <w:tr>
        <w:trPr>
          <w:trHeight w:val="173"/>
        </w:trPr>
        <w:tc>
          <w:tcPr>
            <w:tcW w:w="2480" w:type="dxa"/>
            <w:vAlign w:val="bottom"/>
            <w:tcBorders>
              <w:bottom w:val="single" w:sz="8" w:color="CCEEFF"/>
            </w:tcBorders>
          </w:tcPr>
          <w:p>
            <w:pPr>
              <w:spacing w:after="0"/>
              <w:rPr>
                <w:sz w:val="15"/>
                <w:szCs w:val="15"/>
                <w:color w:val="auto"/>
              </w:rPr>
            </w:pPr>
          </w:p>
        </w:tc>
        <w:tc>
          <w:tcPr>
            <w:tcW w:w="50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r>
      <w:tr>
        <w:trPr>
          <w:trHeight w:val="210"/>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21 %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16"/>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w:t>
            </w:r>
          </w:p>
        </w:tc>
        <w:tc>
          <w:tcPr>
            <w:tcW w:w="1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25 %</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E</w:t>
            </w: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29 %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9"/>
        </w:trPr>
        <w:tc>
          <w:tcPr>
            <w:tcW w:w="2480" w:type="dxa"/>
            <w:vAlign w:val="bottom"/>
            <w:tcBorders>
              <w:top w:val="single" w:sz="8" w:color="CCEEFF"/>
            </w:tcBorders>
            <w:shd w:val="clear" w:color="auto" w:fill="CCEEFF"/>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108"/>
        </w:trPr>
        <w:tc>
          <w:tcPr>
            <w:tcW w:w="2480" w:type="dxa"/>
            <w:vAlign w:val="bottom"/>
            <w:tcBorders>
              <w:bottom w:val="single" w:sz="8" w:color="auto"/>
            </w:tcBorders>
          </w:tcPr>
          <w:p>
            <w:pPr>
              <w:spacing w:after="0"/>
              <w:rPr>
                <w:sz w:val="9"/>
                <w:szCs w:val="9"/>
                <w:color w:val="auto"/>
              </w:rPr>
            </w:pPr>
          </w:p>
        </w:tc>
        <w:tc>
          <w:tcPr>
            <w:tcW w:w="50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72"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represents less than 10% of accounts receivable for the period.</w:t>
      </w:r>
    </w:p>
    <w:p>
      <w:pPr>
        <w:spacing w:after="0" w:line="208"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On October 30, 2023, Customer C provided notice of its intent to not renew its contract at the end of the expiration date of December 31, 2023. The customer also sought a limited transition extension period through June 30, 2024. In addition, on December 1, 2023, the Company received notification of Customer A’s intent to not renew its contract at the end of the expiration date on June 30, 2024. On February 1, 2024, the Company received notification of Customer B’s intent to not renew its contract that expired on February 29, 2024. As a result of these notices, only Customers A’s and C’s contracts are being serviced through June 30, 2024 while Customer B’s contract was terminated on February 29, 2024.</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Company is exposed to vendor concentration risk as certain of its equipment is from one supplier. The Company’s operating results could be adversely affected in the event that the vendor increases its prices or experiences disruptions in its supply of goods or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Touch Business Term Sheet</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On January 17, 2024, the Company entered into a non-binding memorandum of understanding (“MoU”) with respect to the formation of a new company (the “Joint Venture”) for the purposes of the creation of and joint investment (the “Transaction”) in the business-to-business tablet touchscreen and tabletop ordering and restaurant services platform business currently owned by the Company (the “Touch Business”). Should the Transaction close, the Company will cease its own operations of the Touch Business. It is envisaged that the Company will enter into a transition services agreement with the Joint Venture for a limited period with respect to certain services.</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MoU specifies that the Company may own 40% of the Joint Venture. Other investors, including Krishna Gupta and Remus Capital Series B II, L.P. (“Remus Capital”), a related party affiliated with Krishna Gupta, as well as Joint Venture management, may hold the remaining ownership in the Joint Venture. Remus Capital is a greater than 5% shareholder of the Company and has appointed board representation pursuant to contractual nominating rights with the Company. The Joint Venture will need additional capital to fund its operations and the Company will have a right of first refusal to participate in future capital raises by the Joint Venture.</w:t>
      </w:r>
    </w:p>
    <w:p>
      <w:pPr>
        <w:spacing w:after="0" w:line="183"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Since the Touch Business is in the process of being wound down, the parties are in discussions to determine whether the MOU will be amended to effect the sale of the assets of that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Presto Touch Update</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Company is winding down its Presto Touch solution to allow for dedicated focus and efforts on its Presto Voice solution. The Company expects to have fully transitioned out in the coming months and remains open to strategic alternatives related to this solution including a sale, partial sale, or abandonment of the Presto Touch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Savings Initiative</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November 15, 2023, the Company took additional steps in its ongoing efforts to reduce costs, improve profitability, and streamline operations by implementing a reduction in force plan of approximately 17% of the Company’s personnel globally. The current execution of this cost reduction plan resulted in approximately $0.5 million in one-time charges during the nine months ended March 31, 2024.</w:t>
      </w:r>
    </w:p>
    <w:p>
      <w:pPr>
        <w:spacing w:after="0" w:line="18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On March 14, 2024, in furtherance of the previously-announced plan to implement a strategic wind-down plan with respect to the Company’s Presto Touch solution, the Company’s board of directors approved and the Company commenced a reduction in force affecting 24 corporate roles, or 18% of the Company’s workforce. Total costs for the reduction in force resulted in $0.4 million of one-time charges during the three and nine months ended March 31,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Institutions</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principally of cash and cash equivalents on deposit with financial institutions, the balances of which frequently exceed federally insured limits. On March 10, 2023, Silicon Valley Bank was closed by the California Department of Financial Protection and Innovation, which appointed the FDIC as receiver. If any of the financial institutions with whom the Company does business were to be placed into receivership, the Company may be unable to access the funds it has on deposit with such institutions. If the Company is unable to access its funds as needed, its financial position and ability to operate its business could be adversely affected. The Company had $3.7 million in deposits in excess of the FDIC limits at March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financial information is available that is evaluated regularly by the chief operating decision maker (“CODM”) in deciding how to allocate resources and in assessing</w:t>
      </w:r>
    </w:p>
    <w:p>
      <w:pPr>
        <w:sectPr>
          <w:pgSz w:w="11900" w:h="16838" w:orient="portrait"/>
          <w:cols w:equalWidth="0" w:num="1">
            <w:col w:w="9900"/>
          </w:cols>
          <w:pgMar w:left="980" w:top="513" w:right="101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performance. The Company’s Co-CODMs comprised a team of the Interim Chief Executive Officer, the President and the Chief Operating Officer until August 1, 2023. On that date a new Chief Executive Officer (“CEO”) was appointed, who became the sole CODM. The Company’s CEO resigned on February 6, 2024 and the Company appointed a new interim CEO on February 18, 2024, who became the sole CODM. The Co-CODMs and sole CODM have reviewed financial information on a consolidated basis for purposes of allocating resources and evaluating financial performance. As such, the Company’s operations constitute a single operating segment and one reportable segment.</w:t>
      </w:r>
    </w:p>
    <w:p>
      <w:pPr>
        <w:spacing w:after="0" w:line="18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Company has operations in the United States, Canada and India. The Company earns substantially all of its revenue in the United States and all of its long-lived assets are held in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Non-Affiliate</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Investments in non-affiliates include equity security investments in third party entities without a readily determinable fair value in which the Company’s influence is deemed non-significant. Investments in non-affiliates are recorded using the measurement alternative for investments without readily determinable fair values, whereby the investment is measured at cost less any impairment recorded or observable price changes. Any impairments or observable price changes are reported in other income, net in the condensed consolidated statements of operations and comprehensive income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leases real estate facilities under non-cancelable operating leases with remaining lease terms of six months to three years. The Company determines if an arrangement contains a lease at inception based on whether there is an identified property or equipment and whether the Company controls the use of the identified asset throughout the period of use.</w:t>
      </w:r>
    </w:p>
    <w:p>
      <w:pPr>
        <w:spacing w:after="0" w:line="174"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its leases in accordance with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The operating lease liabilities are measured and recognized at the lease inception date based on the present value of lease payments over the lease term discounted based on the more readily determinable of (i) the rate implicit in the lease or (ii) the Company’s incremental borrowing rate (which is the estimated rate the Company would be required to pay for a collateralized borrowing equal to the total lease payments over the term of the lease). Because the Company’s operating lease does not provide an implicit rate, the Company estimates its incremental borrowing rate based on the information available at lease commencement date for borrowings with a similar term.</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Company’s operating lease ROU asset is measured based on the corresponding operating lease liability adjusted for</w:t>
      </w:r>
    </w:p>
    <w:p>
      <w:pPr>
        <w:spacing w:after="0" w:line="27" w:lineRule="exact"/>
        <w:rPr>
          <w:sz w:val="20"/>
          <w:szCs w:val="20"/>
          <w:color w:val="auto"/>
        </w:rPr>
      </w:pPr>
    </w:p>
    <w:p>
      <w:pPr>
        <w:ind w:right="60" w:firstLine="8"/>
        <w:spacing w:after="0" w:line="251" w:lineRule="auto"/>
        <w:tabs>
          <w:tab w:leader="none" w:pos="2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to the lessor at or before the commencement date, (ii) initial direct costs incurred, and (iii) tenant incentives under the lease. The Company does not assume renewals or early terminations unless it is reasonably certain to exercise these options at commencement. The Company does not allocate consideration between lease and non-lease components. The Company’s lease agreements contain variable costs such as common area maintenance, operating expenses, or other costs. Variable lease payments are recognized in the period in which the obligation for those payments are incurred. In addition, the Company does not recognize ROU assets or lease liabilities for leases with a term of twelve months or less of all asset classes; lease expense from these leases is recognized on a straight-line basis over the lease term. The ROU asset as of March 31, 2024 was $0.2 million. Lease activity was immaterial to the condensed consolidation financial statements for the three and nine months ended March 31, 2024 and 2023.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7"/>
          <w:szCs w:val="17"/>
          <w:color w:val="auto"/>
        </w:rPr>
        <w:t>The Company accounts for its revenue in accordance with ASC 606 Revenue from Contracts with Customers. Revenue is recognized when promised goods or services are transferred to the customer in an amount that reflects the consideration to which the Company expects to be entitled in exchange for those goods or services, net of any taxes collected from customers (e.g., sales and other indirect taxes), which are subsequently remitted to government authorities. During the three and nine months ended March 31, 2024 and 2023, the Company derived its revenues from two revenue streams: (1) sales of the Presto Touch and Presto Voice solutions and leases of the Presto Touch solution, which includes hardware, hardware accessories, software and customer support and maintenance (“Platform revenue”), and (2) Premium Content (gaming) and other revenue, which includes professional services (“Transaction revenue”).</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Platform Revenue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Platform revenue stream is generated from fees charged to customers to access the Company’s Presto Touch and Presto Voice solutions, which are recognized ratably over the life of the contract. The majority of the Company’s consideration from the</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contract value is due monthly over the term of the contract. Revenue from the Presto Touch solution related to continuous access to the Company’s software-as-a-service (“SaaS”) platform is satisfied ratably over the contract period as the service is provided. The master service agreements with customers are generally for a term ranging from 12 to 36 months. Amounts invoiced in excess of revenue recognized are recorded as deferred revenue. During the three and nine months ended March 31, 2024, the Company’s Voice solutions for drive-thru restaurants contributed $0.8 million and $1.8 million, respectively, which accounts for 17% and 13% of the total revenue generated during the respective periods.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an agreement with Hi Auto Ltd. (“Hi Auto”), the Company remits a revenue share associated with Presto Voice at Checkers locations. As the Company has determined that it serves as an agent in the relationship because it does not control the Presto Voice hardware, software and other services and is not primarily responsible for fulfilling the obligations to the customer, the Company recognizes this revenue net of the revenue share amount paid to Hi Auto. The revenue share amount ranged from 63% to 65% of the gross billings by both parties to the restaurant operators for the three and nine months ended March 31, 2024 and ranged from 64% to 68% for the three and nine months ended March 31, 2023. Revenue for the three and nine months ended March 31, 2024 and 2023 from Checkers also reflects, as a reduction to the transaction price, the fair value of the warrant issued to Checkers (refer to Note 3). The Company also pays Hi Auto a fee that is accounted for as cost of revenue which was $0.3 million and $0.9 million for the three and nine months ended March 31, 2024, respectively, and $0.3 million and $0.8 million for the three and nine months ended March 31, 2023, respectively.</w:t>
      </w:r>
    </w:p>
    <w:p>
      <w:pPr>
        <w:spacing w:after="0" w:line="19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On January 29, 2024, the Company and Hi Auto amended their agreement to modify customer billing arrangements for certain locations and allow for each of Hi Auto and the Company to compete for the Checkers relationship, beginning on May 1, 2024. Hi Auto and the Company agreed to continue their obligations under the existing agreement until the last remaining contract linked to the existing agreement ends on June 30, 2024.</w:t>
      </w:r>
    </w:p>
    <w:p>
      <w:pPr>
        <w:spacing w:after="0" w:line="1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maintains an agreement with a legacy customer whereby it leases Presto Touch to that customer. Revenue associated with the lease is recognized on a straight-line basis as Platform revenue over the lease term in the condensed consolidated statements of operations and comprehensive income (loss).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Transaction Revenue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Transaction revenue consists of a single performance obligation recognized at a point in time when the content is delivered and used. Transaction revenue is recognized on a gross basis as the Company is the principal in the relationship as it is the primary obligor responsible for fulfillment, controls the gaming license and its accessibility and has influence in establishing the price charged to the guest. The restaurant acts as a sales agent between the Company and the guest to upsell premium gaming content purchases during the dining experience. A portion of Transaction revenue collections is owed to the restaurant operator and is recorded in Transaction cost of revenue.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determines revenue recognition through the following steps:</w:t>
      </w:r>
    </w:p>
    <w:p>
      <w:pPr>
        <w:spacing w:after="0" w:line="225" w:lineRule="exact"/>
        <w:rPr>
          <w:sz w:val="20"/>
          <w:szCs w:val="20"/>
          <w:color w:val="auto"/>
        </w:rPr>
      </w:pPr>
    </w:p>
    <w:p>
      <w:pPr>
        <w:jc w:val="both"/>
        <w:ind w:left="1000" w:hanging="317"/>
        <w:spacing w:after="0" w:line="254"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 — In connection with the Presto Touch and Presto Voice solutions, the Company enters into a master sales agreement (“MSA”) with the customer which is signed by both parties. The rights and obligations are outlined in the MSA and payment terms are clearly defined. The Company then enters into a license agreement, typically with each franchisee, which outlines the specified goods and services to be provided. The Company may also enter into separate gaming agreements with guests, whereby the guest agrees to pay for use of the premium content. Each MSA, in conjunction with a license agreement, and each gaming agreement, has commercial substance, whereby the Company is to provide solutions and services in exchange for payment, and collectability is probable.</w:t>
      </w:r>
    </w:p>
    <w:p>
      <w:pPr>
        <w:spacing w:after="0" w:line="191" w:lineRule="exact"/>
        <w:rPr>
          <w:rFonts w:ascii="Times New Roman" w:cs="Times New Roman" w:eastAsia="Times New Roman" w:hAnsi="Times New Roman"/>
          <w:sz w:val="18"/>
          <w:szCs w:val="18"/>
          <w:color w:val="auto"/>
        </w:rPr>
      </w:pPr>
    </w:p>
    <w:p>
      <w:pPr>
        <w:ind w:left="1000" w:right="100" w:hanging="317"/>
        <w:spacing w:after="0" w:line="272" w:lineRule="auto"/>
        <w:tabs>
          <w:tab w:leader="none" w:pos="10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performance obligations in the contract — The Company’s contracts with customers include promises to transfer multiple goods and services. For all arrangements with multiple services, the Company evaluates whether the individual services qualify as distinct performance obligations. In the Company’s assessment of whether a service is a distinct performance obligation, the Company determines whether the customer can benefit from the service on its own or with other readily available resources and whether the service is separately identifiable from other services in the contract. This evaluation requires the Company to assess the nature of each individual service offering and how the services are provided in the context of the contract, including whether the services are significantly integrated, highly interrelated, or significantly modify each other, which may require judgment based on the facts and circumstances of the contract.</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The Company identified the following performance obligations: (1) for the MSAs and license agreements, sales or leases of hardware, access to the SaaS platform and maintenance is one combined performance obligation (“Presto Touch”) or (‘Presto Voice”) and (2) for gaming agreements, the provision of premium content, or gaming is a separate standalone performance obligation. Professional services were insignificant during the three and nine months ended March 31, 2024 and 2023.</w:t>
      </w:r>
    </w:p>
    <w:p>
      <w:pPr>
        <w:spacing w:after="0" w:line="183"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Presto Touch and Presto Voice are each considered, separately, single performance obligations because each respective element of the Presto Touch and Presto Voice solution is interdependent and cannot function independently. The software and hardware for the Presto Touch and Presto Voice represent, respectively, one combined Presto Touch output and one combined Presto Voice output; the customer cannot benefit from the use of one element without the other.</w:t>
      </w:r>
    </w:p>
    <w:p>
      <w:pPr>
        <w:spacing w:after="0" w:line="180"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When the Company enters into gaming agreements, the Company’s Presto Touch solution includes the capability of providing entertainment services, provided by the Company via internet. The games are only accessible over the internet and upon the guest making the decision to pay for the content, the guest receives the right to access the game on the Presto Touch solution. Gaming fees are usage based through the guest’s use of the device and stipulated in a separate contract with the guest. Any fees that are incurred are collected by the restaurant as part of the normal payment for the dining check from the guest and remitted back to the Company, net of commissions paid to the restaurant as the sales agent. Premium content revenue, or gaming revenue, is therefore one performance obligation.</w:t>
      </w:r>
    </w:p>
    <w:p>
      <w:pPr>
        <w:spacing w:after="0" w:line="189" w:lineRule="exact"/>
        <w:rPr>
          <w:sz w:val="20"/>
          <w:szCs w:val="20"/>
          <w:color w:val="auto"/>
        </w:rPr>
      </w:pPr>
    </w:p>
    <w:p>
      <w:pPr>
        <w:ind w:left="1000" w:right="80" w:hanging="317"/>
        <w:spacing w:after="0" w:line="25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 — The Company’s MSAs stipulate the terms and conditions of providing the Presto Touch or Presto Voice solution and separate license agreements dictate the transaction price which are typically outlined as a price per store location or price per number of Presto Touch devices used. The transaction price is generally a fixed fee, due monthly over the term of the contract. The transaction price for Transaction revenue is a fixed fee charged per game. The Company occasionally provides consideration payable to a customer, which is recorded as a capitalized asset upon payment and included as part of deferred costs and amortized as contra-revenue over the expected customer life.</w:t>
      </w:r>
    </w:p>
    <w:p>
      <w:pPr>
        <w:spacing w:after="0" w:line="187"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 As the Presto Touch and Presto Voice solution are each considered one combined performance obligation, no reallocation of the contract price is required. The Company’s premium content contract is comprised of one performance obligation and does not require reallocation of the contract price.</w:t>
      </w:r>
    </w:p>
    <w:p>
      <w:pPr>
        <w:spacing w:after="0" w:line="179"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a performance obligation — As the customer simultaneously receives and consumes the benefits provided by the Company through continuous access to its SaaS platform, revenue from the Presto Touch and Presto Voice is satisfied ratably over the contract period as the service is provided, commencing when the subscription service is made available to the customer. Transaction revenue does not meet the criteria for ratable recognition and is recognized at a point in time when the gaming service is provided.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22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The Company computes net income (loss) per share, or earnings per share (“EPS”), following ASC Topic 260, Earnings per Share. The Company calculates basic net income (loss) per share by dividing net income (loss) attributable to common stockholders by the weighted-average number of ordinary shares outstanding during the period. Diluted EPS represents the dilutive effect on a per-share basis from the potential exercise of options and or warrants; the potentially dilutive effect of options or warrants is computed using the treasury stock method. Securities that that have a potentially anti-dilutive effect (i.e., those that increase income per share or decrease loss per share) are excluded from the diluted EPS calculation.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 Topic 326: Credit Losses Measurement of Credit Losses on Financial Instruments (Topic 326) which requires an entity to utilize a new impairment model known as the current expected credit loss (“CECL”) model to estimate its lifetime “expected credit loss” and record an allowance that, when deducted from the amortized cost basis of the financial asset, presents the net amount expected to be collected on the financial asset. The CECL model is expected to result in more timely recognition of credit losses. This guidance also requires new disclosures for financial assets measured at amortized cost, loans, and available-for-sale debt securities. Entities will apply the standard’s provisions as a cumulative effect adjustment to retained earnings as of the beginning of the first reporting period in which the guidance is adopted. The FASB subsequently issued ASU 2018-19, ASU 2019-04, and ASU 2019-10, which clarified the implementation guidance and effective date of Topic 326.</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adopted ASU No. 2016-13 on July 1, 2023 using the modified retrospective approach. The adoption did not have a material impact on the Company's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22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August 2020, the FASB issued ASU 2020-06, </w:t>
      </w:r>
      <w:r>
        <w:rPr>
          <w:rFonts w:ascii="Times New Roman" w:cs="Times New Roman" w:eastAsia="Times New Roman" w:hAnsi="Times New Roman"/>
          <w:sz w:val="18"/>
          <w:szCs w:val="18"/>
          <w:i w:val="1"/>
          <w:iCs w:val="1"/>
          <w:color w:val="auto"/>
        </w:rPr>
        <w:t>Debt — Debt with Conversion and Other Options (Subtopic 470-20)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Derivatives and Hedging — Contracts in Entity’s Own Equity</w:t>
      </w:r>
      <w:r>
        <w:rPr>
          <w:rFonts w:ascii="Times New Roman" w:cs="Times New Roman" w:eastAsia="Times New Roman" w:hAnsi="Times New Roman"/>
          <w:sz w:val="18"/>
          <w:szCs w:val="18"/>
          <w:color w:val="auto"/>
        </w:rPr>
        <w:t>, which simplifies the accounting for convertible debt and convertible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by removing the requirements to separately present certain conversion features in equity. The standard also simplifies guidance in Topic 815-40 by removing certain criteria that must be satisfied in order to classify a contract as equity and revises the guidance on calculating earnings per share, requiring the use of the if-converted method for all convertible instruments. The standard is effective for the Company beginning in fiscal year 2025. The Company is currently evaluating the impact of the adoption of this standard on the Company’s condensed consolidated financial statements.</w:t>
      </w:r>
    </w:p>
    <w:p>
      <w:pPr>
        <w:spacing w:after="0" w:line="18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 Improvements to Reportable 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This ASU requires incremental disclosures related to a Company’s reportable segments that will provide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disaggregated expense information. The standard is effective for the Company beginning in fiscal year 2025. The Company is currently evaluating the impact of the adoption of this standard on the Company’s condensed consolidated financial statements.</w:t>
      </w:r>
    </w:p>
    <w:p>
      <w:pPr>
        <w:spacing w:after="0" w:line="18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 Improvements to Income Tax Disclosures.</w:t>
      </w:r>
      <w:r>
        <w:rPr>
          <w:rFonts w:ascii="Times New Roman" w:cs="Times New Roman" w:eastAsia="Times New Roman" w:hAnsi="Times New Roman"/>
          <w:sz w:val="18"/>
          <w:szCs w:val="18"/>
          <w:color w:val="auto"/>
        </w:rPr>
        <w:t xml:space="preserve"> The standard revises the income tax disclosure requirements to be more transparent. The standard is effective for the Company beginning in fiscal year 2026. The Company is currently evaluating the impact of the adoption of this standard on the Company’s condensed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Merger</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On September 21, 2022, Ventoux and its subsidiaries, then a special purpose acquisition corporation, acquired Legacy Presto via a series of mergers, whereby Legacy Presto became a limited liability company and a wholly owned subsidiary of Ventoux. Upon completion of the Merger, Ventoux CCM Acquisition Corp. was renamed Presto Automation Inc. The Sponsors, with the close of the Merger, remained significant shareholders in the Company.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Trust Proceeds and PIPE investment</w:t>
      </w:r>
    </w:p>
    <w:p>
      <w:pPr>
        <w:spacing w:after="0" w:line="227"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Following the closing of Ventoux’s initial public offering on December 30, 2020, $151.5 million was placed in a trust account, (the “Trust”), for which various redemptions of amounts in the Trust were made up until the date of the Merger. On the closing date of the Merger, $9.5 million of unredeemed funds were released to Ventoux from the Trust.</w:t>
      </w:r>
    </w:p>
    <w:p>
      <w:pPr>
        <w:spacing w:after="0" w:line="176" w:lineRule="exact"/>
        <w:rPr>
          <w:sz w:val="20"/>
          <w:szCs w:val="20"/>
          <w:color w:val="auto"/>
        </w:rPr>
      </w:pPr>
    </w:p>
    <w:p>
      <w:pPr>
        <w:ind w:right="60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execution of the Merger, Ventoux entered into separate subscription agreements with a number of investors, pursuant to which the subscribers agreed to purchase, and Ventoux agreed to sell to the subscribers, an aggregate of</w:t>
      </w:r>
    </w:p>
    <w:p>
      <w:pPr>
        <w:ind w:right="20"/>
        <w:spacing w:after="0" w:line="260" w:lineRule="auto"/>
        <w:rPr>
          <w:sz w:val="20"/>
          <w:szCs w:val="20"/>
          <w:color w:val="auto"/>
        </w:rPr>
      </w:pPr>
      <w:r>
        <w:rPr>
          <w:rFonts w:ascii="Times New Roman" w:cs="Times New Roman" w:eastAsia="Times New Roman" w:hAnsi="Times New Roman"/>
          <w:sz w:val="18"/>
          <w:szCs w:val="18"/>
          <w:color w:val="auto"/>
        </w:rPr>
        <w:t>7,133,687 shares of common stock (the “PIPE Shares”), for an aggregate purchase price of $55.4 million, in a private placement pursuant to the subscription agreements (the “PIPE”). The PIPE closed simultaneously with the consummation of the Merger.</w:t>
      </w:r>
    </w:p>
    <w:p>
      <w:pPr>
        <w:spacing w:after="0" w:line="181"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Upon consummation of the Merger, Presto received approximately $49.8 million from the Trust and the PIPE, net of transaction costs and other payments as set forth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Borders>
              <w:bottom w:val="single" w:sz="8" w:color="CCEEFF"/>
            </w:tcBorders>
          </w:tcPr>
          <w:p>
            <w:pPr>
              <w:spacing w:after="0"/>
              <w:rPr>
                <w:sz w:val="15"/>
                <w:szCs w:val="15"/>
                <w:color w:val="auto"/>
              </w:rPr>
            </w:pPr>
          </w:p>
        </w:tc>
        <w:tc>
          <w:tcPr>
            <w:tcW w:w="6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Net Cash</w:t>
            </w:r>
          </w:p>
        </w:tc>
      </w:tr>
      <w:tr>
        <w:trPr>
          <w:trHeight w:val="209"/>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Cash—Ventoux Trust and working capital cash</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9,584</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Cash—PIPE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55,400</w:t>
            </w:r>
          </w:p>
        </w:tc>
      </w:tr>
      <w:tr>
        <w:trPr>
          <w:trHeight w:val="216"/>
        </w:trPr>
        <w:tc>
          <w:tcPr>
            <w:tcW w:w="87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Less: transaction costs and other payments</w:t>
            </w:r>
            <w:r>
              <w:rPr>
                <w:rFonts w:ascii="Times New Roman" w:cs="Times New Roman" w:eastAsia="Times New Roman" w:hAnsi="Times New Roman"/>
                <w:sz w:val="25"/>
                <w:szCs w:val="25"/>
                <w:color w:val="auto"/>
                <w:vertAlign w:val="superscript"/>
              </w:rPr>
              <w:t>(1)</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(15,144)</w:t>
            </w:r>
          </w:p>
        </w:tc>
      </w:tr>
      <w:tr>
        <w:trPr>
          <w:trHeight w:val="210"/>
        </w:trPr>
        <w:tc>
          <w:tcPr>
            <w:tcW w:w="8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49,840</w:t>
            </w:r>
          </w:p>
        </w:tc>
      </w:tr>
      <w:tr>
        <w:trPr>
          <w:trHeight w:val="20"/>
        </w:trPr>
        <w:tc>
          <w:tcPr>
            <w:tcW w:w="24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62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r>
    </w:tbl>
    <w:p>
      <w:pPr>
        <w:spacing w:after="0" w:line="76" w:lineRule="exact"/>
        <w:rPr>
          <w:sz w:val="20"/>
          <w:szCs w:val="20"/>
          <w:color w:val="auto"/>
        </w:rPr>
      </w:pPr>
    </w:p>
    <w:p>
      <w:pPr>
        <w:jc w:val="both"/>
        <w:ind w:left="340" w:right="200" w:hanging="332"/>
        <w:spacing w:after="0" w:line="272" w:lineRule="auto"/>
        <w:tabs>
          <w:tab w:leader="none" w:pos="3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reflects (1) the repayment of $1.9 million of Ventoux related party loans utilizing proceeds from Trust, (2) the payment of $7.8 million in Ventoux transaction costs related to the Merger, (3) the payment of $4.9 million in Legacy Presto transaction costs related to the Merger and (4) the payment of certain other costs not directly related to the Merger in the amount of $0.5 million.</w:t>
      </w:r>
    </w:p>
    <w:p>
      <w:pPr>
        <w:spacing w:after="0" w:line="1" w:lineRule="exact"/>
        <w:rPr>
          <w:rFonts w:ascii="Times New Roman" w:cs="Times New Roman" w:eastAsia="Times New Roman" w:hAnsi="Times New Roman"/>
          <w:sz w:val="17"/>
          <w:szCs w:val="17"/>
          <w:color w:val="auto"/>
        </w:rPr>
      </w:pPr>
    </w:p>
    <w:p>
      <w:pPr>
        <w:ind w:left="340" w:right="1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Legacy Presto also incurred $2.1 million in transaction costs which were paid via the issuance of 260,000 Company shares. Further in conjunction with the Merger, Legacy Presto incurred $3.2 million in transaction costs which were either paid</w:t>
      </w:r>
    </w:p>
    <w:p>
      <w:pPr>
        <w:sectPr>
          <w:pgSz w:w="11900" w:h="16838" w:orient="portrait"/>
          <w:cols w:equalWidth="0" w:num="1">
            <w:col w:w="9920"/>
          </w:cols>
          <w:pgMar w:left="980" w:top="513" w:right="99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prior to or after the Merger. As of March 31, 2023, all of the transaction costs incurred by Legacy Presto have been fully paid.</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Accordingly, in total Legacy Presto incurred transaction costs amounting to $10.4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Legacy Presto Convertible Promissory Notes and Equity and the Exchange</w:t>
      </w:r>
    </w:p>
    <w:p>
      <w:pPr>
        <w:spacing w:after="0" w:line="22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Immediately prior to the closing of the Merger, all convertible promissory notes were converted into Legacy Presto common stock, all shares of outstanding redeemable convertible preferred stock of Legacy Presto were automatically converted into shares of Legacy Presto common stock, and all outstanding warrants for Legacy Presto shares were either exercised or exchanged into warrants of common stock of Presto. Upon the consummation of the Merger, each share of Legacy Presto common stock issued and outstanding was canceled and converted into the right to receive 0.8099 shares (the “Exchange Ratio”) of common stock of Ventoux. Further the outstanding equity awards (including warrant, stock option and RSU holders) of Legacy Presto were canceled and converted using the Exchange Ratio with the holders receiving equivalent outstanding equity awards (including warrant, stock option and RSU holders) in the Company.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Earnout Arrangement with holders of Legacy Presto Common Stock and Outstanding Equity Awards</w:t>
      </w:r>
    </w:p>
    <w:p>
      <w:pPr>
        <w:spacing w:after="0" w:line="227"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Concurrent with the closing of the Merger, holders of Legacy Presto common stock and outstanding equity awards (including warrant, stock option and RSU holders) had the right to receive up to an aggregate amount of 15,000,000 shares of Company common stock (or equivalent equity award) that would be issued as follows:</w:t>
      </w:r>
    </w:p>
    <w:p>
      <w:pPr>
        <w:spacing w:after="0" w:line="176" w:lineRule="exact"/>
        <w:rPr>
          <w:sz w:val="20"/>
          <w:szCs w:val="20"/>
          <w:color w:val="auto"/>
        </w:rPr>
      </w:pPr>
    </w:p>
    <w:p>
      <w:pPr>
        <w:ind w:left="1340" w:right="60" w:hanging="333"/>
        <w:spacing w:after="0" w:line="256" w:lineRule="auto"/>
        <w:tabs>
          <w:tab w:leader="none" w:pos="1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7,500,000 shares, if, during the period from and after the closing of the Merger until the third anniversary of the closing of the Merger, the Volume Weighted Average Price (“VWAP” as defined in the Agreement and Plan of Merger among Ventoux CCM Acquisition Corp., as Acquiror, Ventoux Merger Sub I Inc. as First Merger Sub., Ventoux Merger Sub II LLC as Second Merger Sub and E La Carte, Inc. as the Company, dated November 10, 2021 of Presto common stock is greater than or equal to $12.50 for any 20 trading days within a period of 30 consecutive trading days, and</w:t>
      </w:r>
    </w:p>
    <w:p>
      <w:pPr>
        <w:spacing w:after="0" w:line="187" w:lineRule="exact"/>
        <w:rPr>
          <w:rFonts w:ascii="Times New Roman" w:cs="Times New Roman" w:eastAsia="Times New Roman" w:hAnsi="Times New Roman"/>
          <w:sz w:val="18"/>
          <w:szCs w:val="18"/>
          <w:color w:val="auto"/>
        </w:rPr>
      </w:pPr>
    </w:p>
    <w:p>
      <w:pPr>
        <w:ind w:left="1340" w:right="60" w:hanging="333"/>
        <w:spacing w:after="0" w:line="261" w:lineRule="auto"/>
        <w:tabs>
          <w:tab w:leader="none" w:pos="1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7,500,000 shares, if, during the period from and after the closing of the Merger until the fifth anniversary of the closing of the Merger, the VWAP of Presto common stock is greater than or equal to $15.00 for</w:t>
      </w:r>
    </w:p>
    <w:p>
      <w:pPr>
        <w:ind w:left="1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20 trading days within a period of 30 consecutive trading days.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earnout shares are equity classified and the fair value was determined at grant date to be $3.17 per share. Of</w:t>
      </w:r>
    </w:p>
    <w:p>
      <w:pPr>
        <w:spacing w:after="0" w:line="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 15,000,000 earn-out shares, 4,771,116 earnout shares were given to common stock, option and RSU holders that were held by current employees and directors and are accounted for under ASC 718. Refer to Note 11 for compensation details.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Unvested Sponsor Share Arrangement with Sponsors</w:t>
      </w:r>
    </w:p>
    <w:p>
      <w:pPr>
        <w:spacing w:after="0" w:line="22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At the Closing, 444,500 sponsor shares held by the Sponsors (the “Unvested Sponsor Shares”) became subject to the following vesting and forfeiture provisions:</w:t>
      </w:r>
    </w:p>
    <w:p>
      <w:pPr>
        <w:spacing w:after="0" w:line="162" w:lineRule="exact"/>
        <w:rPr>
          <w:sz w:val="20"/>
          <w:szCs w:val="20"/>
          <w:color w:val="auto"/>
        </w:rPr>
      </w:pPr>
    </w:p>
    <w:p>
      <w:pPr>
        <w:ind w:left="1000" w:right="220" w:hanging="317"/>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25% of such Unvested Sponsor Shares owned by the Sponsors vest at such time as a $12.00 Stock Price Level is achieved on or before the date that is five years after the Closing Date,</w:t>
      </w:r>
    </w:p>
    <w:p>
      <w:pPr>
        <w:spacing w:after="0" w:line="161" w:lineRule="exact"/>
        <w:rPr>
          <w:rFonts w:ascii="Times New Roman" w:cs="Times New Roman" w:eastAsia="Times New Roman" w:hAnsi="Times New Roman"/>
          <w:sz w:val="18"/>
          <w:szCs w:val="18"/>
          <w:color w:val="auto"/>
        </w:rPr>
      </w:pPr>
    </w:p>
    <w:p>
      <w:pPr>
        <w:ind w:left="1000" w:right="120" w:hanging="317"/>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next 25% of such Unvested Sponsor Shares owned by the Sponsors vests at such time as a $15.00 Stock Price Level is achieved on or before the date that is five years after the Closing Date.,</w:t>
      </w:r>
    </w:p>
    <w:p>
      <w:pPr>
        <w:spacing w:after="0" w:line="161" w:lineRule="exact"/>
        <w:rPr>
          <w:rFonts w:ascii="Times New Roman" w:cs="Times New Roman" w:eastAsia="Times New Roman" w:hAnsi="Times New Roman"/>
          <w:sz w:val="18"/>
          <w:szCs w:val="18"/>
          <w:color w:val="auto"/>
        </w:rPr>
      </w:pPr>
    </w:p>
    <w:p>
      <w:pPr>
        <w:ind w:left="1000" w:right="200" w:hanging="317"/>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next 25% of such Unvested Sponsor Shares owned by the Sponsors vest at such time as a $20.00 Stock Price Level is achieved on or before the date that is five years after the Closing Date and</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25% of such Unvested Sponsor Shares owned by the Sponsors shall vest at such time as a $25.00 Stock Price Level is achieved on or before the date that is five years after the Closing Date.</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 “Stock Price Level” is considered achieved when the VWAP of the common stock is greater than or equal to the applicable threshold for any 40 consecutive trading days within a 60 trading day period. If the applicable Stock Price Level is not achieved on or prior to the date that is five years after the Closing Date, the applicable Unvested Sponsor Shares shall not vest and shall be automatically forfeited and cancelled for no consideration. In the event of a change of control, any Unvested Sponsor Shares shall</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automatically vest. As of March 31, 2024, all of the Unvested Sponsor Shares remain unvested as the vesting conditions have not been achieved.</w:t>
      </w:r>
    </w:p>
    <w:p>
      <w:pPr>
        <w:spacing w:after="0" w:line="162"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Company has concluded that the Unvested Sponsor Shares are accounted for as equity-linked instruments under ASC 815-40 and are not indexed to the entity’s own stock and accordingly, such financial instruments are classified as liabilities. With the closing of the Merger, the Company recorded $1.6 million within other long-term liabilities. During the three and nine months ended March 31, 2024, the Company recorded no remeasurement and a gain of $1.4 million, respectively, and a gain of $0.2 million and $1.4 million for the three and nine months ended March 31, 2023, respectively, which are included in change in fair value of warrants and convertible promissory notes in the condensed consolidated statement of operations and comprehensive income (loss).</w:t>
      </w:r>
    </w:p>
    <w:p>
      <w:pPr>
        <w:spacing w:after="0" w:line="18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Merger is accounted for as a reverse recapitalization in accordance with U.S. GAAP. Under the guidance in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Ventoux was treated as the “acquired” company for financial reporting purposes. This determination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based on Presto having a majority of the voting power of the post-combination company, Presto’s senior management comprising substantially all of the senior management of the post-combination company, the relative size of Presto compared to Ventoux, and Presto’s operations comprising the ongoing operations of the post-combination company. Accordingly, for accounting purposes, the Merger was treated as the equivalent of Legacy Presto issuing stock for the net assets of Ventoux, accompanied by a recapitalization. Accordingly, all historical financial information presented in the unaudited condensed consolidated financial statements represents the accounts of Presto and its wholly owned subsidiaries as if Legacy Presto is the predecessor to the Company. The shares and net income per common share, prior to the Merger, have been retroactively restated as shares reflecting the Exchange Ratio established in the Merger (0.8099 shares of Company common stock for every one share of Legacy Presto common stock).</w:t>
      </w:r>
    </w:p>
    <w:p>
      <w:pPr>
        <w:spacing w:after="0" w:line="194" w:lineRule="exact"/>
        <w:rPr>
          <w:sz w:val="20"/>
          <w:szCs w:val="20"/>
          <w:color w:val="auto"/>
        </w:rPr>
      </w:pPr>
    </w:p>
    <w:p>
      <w:pPr>
        <w:ind w:right="560" w:firstLine="648"/>
        <w:spacing w:after="0" w:line="312" w:lineRule="auto"/>
        <w:rPr>
          <w:sz w:val="20"/>
          <w:szCs w:val="20"/>
          <w:color w:val="auto"/>
        </w:rPr>
      </w:pPr>
      <w:r>
        <w:rPr>
          <w:rFonts w:ascii="Times New Roman" w:cs="Times New Roman" w:eastAsia="Times New Roman" w:hAnsi="Times New Roman"/>
          <w:sz w:val="17"/>
          <w:szCs w:val="17"/>
          <w:color w:val="auto"/>
        </w:rPr>
        <w:t>Total net liabilities of Ventoux assumed by the Company was $9.8 million, which is inclusive of a liability for the private warrants of $9.4 million but excludes the $55.4 million in PIPE proceeds raised by Ventoux immediately prior to the Merger.</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Company receives payments from customers based on a billing schedule as established in its customer contracts. Accounts receivable is recorded when the Company contractually has the right to consideration. In some arrangements, a right to consideration for its performance under the customer contract may occur before invoicing to the customer, resulting in contract assets. The amount of contract assets included within accounts receivable before allowances for credit losses, in the condensed consolidated balance sheets was $0.4 million and $0.7 million as of March 31, 2024 and June 30, 2023, respectively. The beginning balance of accounts receivable was $1.8 million and $1.5 million as of July 1, 2023 and 2022, respectively. The amount of contract assets including deferred costs in the condensed consolidated balance sheets is $1.2 million, $2.4 million and $11.3 million as of March 31, 2024, June 30, 2023 and July 1, 2022, respectively.</w:t>
      </w:r>
    </w:p>
    <w:p>
      <w:pPr>
        <w:spacing w:after="0" w:line="192"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Contract liabilities consist of deferred revenue. Deferred revenue represents amounts that have been invoiced in advance of revenue recognition, and the balance is recognized as revenue when transfer of control to customers has occurred or services have been provided. The current portion of deferred revenue balances are recognized during the following twelve-month period.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in deferred revenue: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0" w:type="dxa"/>
            <w:vAlign w:val="bottom"/>
          </w:tcPr>
          <w:p>
            <w:pPr>
              <w:spacing w:after="0"/>
              <w:rPr>
                <w:sz w:val="1"/>
                <w:szCs w:val="1"/>
                <w:color w:val="auto"/>
              </w:rPr>
            </w:pPr>
          </w:p>
        </w:tc>
      </w:tr>
      <w:tr>
        <w:trPr>
          <w:trHeight w:val="173"/>
        </w:trPr>
        <w:tc>
          <w:tcPr>
            <w:tcW w:w="3520" w:type="dxa"/>
            <w:vAlign w:val="bottom"/>
            <w:tcBorders>
              <w:bottom w:val="single" w:sz="8" w:color="CCEEFF"/>
            </w:tcBorders>
          </w:tcPr>
          <w:p>
            <w:pPr>
              <w:spacing w:after="0"/>
              <w:rPr>
                <w:sz w:val="15"/>
                <w:szCs w:val="15"/>
                <w:color w:val="auto"/>
              </w:rPr>
            </w:pPr>
          </w:p>
        </w:tc>
        <w:tc>
          <w:tcPr>
            <w:tcW w:w="5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09"/>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2023</w:t>
            </w:r>
          </w:p>
        </w:tc>
        <w:tc>
          <w:tcPr>
            <w:tcW w:w="5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5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0" w:type="dxa"/>
            <w:vAlign w:val="bottom"/>
          </w:tcPr>
          <w:p>
            <w:pPr>
              <w:spacing w:after="0"/>
              <w:rPr>
                <w:sz w:val="1"/>
                <w:szCs w:val="1"/>
                <w:color w:val="auto"/>
              </w:rPr>
            </w:pPr>
          </w:p>
        </w:tc>
      </w:tr>
      <w:tr>
        <w:trPr>
          <w:trHeight w:val="210"/>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51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5180" w:type="dxa"/>
            <w:vAlign w:val="bottom"/>
            <w:vMerge w:val="restart"/>
          </w:tcPr>
          <w:p>
            <w:pPr>
              <w:jc w:val="right"/>
              <w:ind w:right="355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520" w:type="dxa"/>
            <w:vAlign w:val="bottom"/>
          </w:tcPr>
          <w:p>
            <w:pPr>
              <w:spacing w:after="0"/>
              <w:rPr>
                <w:sz w:val="24"/>
                <w:szCs w:val="24"/>
                <w:color w:val="auto"/>
              </w:rPr>
            </w:pPr>
          </w:p>
        </w:tc>
        <w:tc>
          <w:tcPr>
            <w:tcW w:w="51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52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Deferred</w:t>
            </w:r>
          </w:p>
        </w:tc>
      </w:tr>
      <w:tr>
        <w:trPr>
          <w:trHeight w:val="173"/>
        </w:trPr>
        <w:tc>
          <w:tcPr>
            <w:tcW w:w="87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Revenue</w:t>
            </w:r>
          </w:p>
        </w:tc>
      </w:tr>
      <w:tr>
        <w:trPr>
          <w:trHeight w:val="210"/>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2022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10,769</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(12,432)</w:t>
            </w:r>
          </w:p>
        </w:tc>
      </w:tr>
      <w:tr>
        <w:trPr>
          <w:trHeight w:val="209"/>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June 30, 2023</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w:t>
            </w:r>
          </w:p>
        </w:tc>
      </w:tr>
      <w:tr>
        <w:trPr>
          <w:trHeight w:val="20"/>
        </w:trPr>
        <w:tc>
          <w:tcPr>
            <w:tcW w:w="8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560" w:firstLine="693"/>
        <w:spacing w:after="0" w:line="266" w:lineRule="auto"/>
        <w:rPr>
          <w:sz w:val="20"/>
          <w:szCs w:val="20"/>
          <w:color w:val="auto"/>
        </w:rPr>
      </w:pPr>
      <w:r>
        <w:rPr>
          <w:rFonts w:ascii="Times New Roman" w:cs="Times New Roman" w:eastAsia="Times New Roman" w:hAnsi="Times New Roman"/>
          <w:sz w:val="18"/>
          <w:szCs w:val="18"/>
          <w:color w:val="auto"/>
        </w:rPr>
        <w:t>As of March 31, 2024, approximately $3.8 million of revenue is expected to be recognized from remaining performance obligations for customer contracts. The Company expects to recognize revenue on approximately $3.2 million of these remaining performance obligations over the next 12 months with the remaining balance recognized thereafter.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Revenue</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commissions paid to restaurants under the Company’s gaming revenue share agreements ranged between 86% - 100% and 86% - 97% of premium content revenue by customer logo for the three and nine months ended March 31, 2024, respectively, and 84% - 90% and 83% - 90% for the three and nine months ended March 31, 2023,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No single country other than the United States represented 10% or more of the Company’s revenue during three and nine months ended March 31, 2024 and 2023.</w:t>
      </w:r>
    </w:p>
    <w:p>
      <w:pPr>
        <w:spacing w:after="0" w:line="16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March 31, 2024, $0.5 million and $1.6 million, of revenue was from leasing arrangements, respectively, while for the three and nine months ended March 31, 2023, $0.6 million and $1.5 million of revenue was from leasing arrangements,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Issued to a Customer</w:t>
      </w:r>
    </w:p>
    <w:p>
      <w:pPr>
        <w:spacing w:after="0" w:line="22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On October 29, 2021, the Company entered into an arrangement with a customer whereby it issued a warrant to purchase 404,961 shares of common stock. Refer to Note 10 for further details. The fair value of the warrant is treated as a reduction to the transaction price of the customer contract and is recorded as contra-revenue. Contra-revenue recognized related to the warrant was $0.2 million and $0.5 million for the three and nine months ended March 31, 2024, respectively, and $0.5 million and $1.1 million for the three and nine months ended March 31, 2023,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Voice Customer Update</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Some of the Presto Voice customers continue to include Carl’s Jr. and Hardee’s, as well as Wienerschnitzel. During the nine months ended March 31, 2024, one of the Company’s Presto Voice customers, Del Taco, decided not to continue with the Presto Voice solution. This customer did not make up a material amount of historical revenues for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summary of all financial instruments measured at fair value: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Financial assets:</w:t>
            </w:r>
          </w:p>
        </w:tc>
        <w:tc>
          <w:tcPr>
            <w:tcW w:w="1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equivalents:</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financial assets</w:t>
            </w:r>
          </w:p>
        </w:tc>
        <w:tc>
          <w:tcPr>
            <w:tcW w:w="17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1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Unvested Sponsor Shares Liability</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Convertible notes</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Warrant liabilities</w:t>
            </w:r>
          </w:p>
        </w:tc>
        <w:tc>
          <w:tcPr>
            <w:tcW w:w="1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7,043</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17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15,541</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As of June 30, 2023</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equivalents:</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financial assets</w:t>
            </w:r>
          </w:p>
        </w:tc>
        <w:tc>
          <w:tcPr>
            <w:tcW w:w="17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13,884</w:t>
            </w:r>
          </w:p>
        </w:tc>
        <w:tc>
          <w:tcPr>
            <w:tcW w:w="1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Unvested Sponsor Shares liability</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Warrant liabilities</w:t>
            </w:r>
          </w:p>
        </w:tc>
        <w:tc>
          <w:tcPr>
            <w:tcW w:w="17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25,867</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17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27,266</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Assumptions Related to Unvested Sponsor Share Liability</w:t>
      </w:r>
    </w:p>
    <w:p>
      <w:pPr>
        <w:spacing w:after="0" w:line="22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fair value of the Unvested Sponsor Shares liability was determined by the Company using a Monte Carlo valuation model, which requires significant estimates including the expected volatility of the Company’s common stock based on the historical volatility of comparable publicly traded companies and the risk-free rate. These estimates are “Level 3” inputs due to the lack of relevant observable market data.</w:t>
      </w:r>
    </w:p>
    <w:p>
      <w:pPr>
        <w:spacing w:after="0" w:line="180" w:lineRule="exact"/>
        <w:rPr>
          <w:sz w:val="20"/>
          <w:szCs w:val="20"/>
          <w:color w:val="auto"/>
        </w:rPr>
      </w:pPr>
    </w:p>
    <w:p>
      <w:pPr>
        <w:ind w:right="880" w:firstLine="648"/>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the Unvested Sponsor Share liability using the following weighted average assumptions: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56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150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As of June 30, 2023</w:t>
            </w:r>
          </w:p>
        </w:tc>
      </w:tr>
      <w:tr>
        <w:trPr>
          <w:trHeight w:val="209"/>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5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4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1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3.9 %</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864"/>
        </w:trPr>
        <w:tc>
          <w:tcPr>
            <w:tcW w:w="3320" w:type="dxa"/>
            <w:vAlign w:val="bottom"/>
          </w:tcPr>
          <w:p>
            <w:pPr>
              <w:spacing w:after="0"/>
              <w:rPr>
                <w:sz w:val="24"/>
                <w:szCs w:val="24"/>
                <w:color w:val="auto"/>
              </w:rPr>
            </w:pPr>
          </w:p>
        </w:tc>
        <w:tc>
          <w:tcPr>
            <w:tcW w:w="3540" w:type="dxa"/>
            <w:vAlign w:val="bottom"/>
          </w:tcPr>
          <w:p>
            <w:pPr>
              <w:jc w:val="right"/>
              <w:ind w:right="1710"/>
              <w:spacing w:after="0"/>
              <w:rPr>
                <w:sz w:val="20"/>
                <w:szCs w:val="20"/>
                <w:color w:val="auto"/>
              </w:rPr>
            </w:pPr>
            <w:r>
              <w:rPr>
                <w:rFonts w:ascii="Times New Roman" w:cs="Times New Roman" w:eastAsia="Times New Roman" w:hAnsi="Times New Roman"/>
                <w:sz w:val="18"/>
                <w:szCs w:val="18"/>
                <w:color w:val="auto"/>
              </w:rPr>
              <w:t>18</w:t>
            </w: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547"/>
        </w:trPr>
        <w:tc>
          <w:tcPr>
            <w:tcW w:w="33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Assumptions Related to Warrant Liabilities</w:t>
      </w:r>
    </w:p>
    <w:p>
      <w:pPr>
        <w:spacing w:after="0" w:line="227"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fair value of the warrants is determined based on “Level 3” inputs, due to the lack of relevant observable market data over fair value inputs (volatility, stock price, risk-free rate, expected term, and dividend yield), used in the Black-Scholes-Merton model. The following table indicates the weighted-average assumptions made in estimating the fair value: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As of</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8"/>
        </w:trPr>
        <w:tc>
          <w:tcPr>
            <w:tcW w:w="46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3"/>
        </w:trPr>
        <w:tc>
          <w:tcPr>
            <w:tcW w:w="4620" w:type="dxa"/>
            <w:vAlign w:val="bottom"/>
            <w:tcBorders>
              <w:bottom w:val="single" w:sz="8" w:color="CCEEFF"/>
            </w:tcBorders>
          </w:tcPr>
          <w:p>
            <w:pPr>
              <w:spacing w:after="0"/>
              <w:rPr>
                <w:sz w:val="15"/>
                <w:szCs w:val="15"/>
                <w:color w:val="auto"/>
              </w:rPr>
            </w:pPr>
          </w:p>
        </w:tc>
        <w:tc>
          <w:tcPr>
            <w:tcW w:w="28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58.81</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fair value of the liabilities for the Third Amendment Conversion Warrants (defined below) and the Fifth Amendment Warrants (defined below) with anti-dilution protection is determined based on “Level 3” inputs, due to the lack of relevant observable market data over fair value inputs (volatility, stock price, risk-free rate, expected term, and dividend yield) as well as estimated probability of financing scenarios, used in the Monte Carlo model. The following table indicates the weighted-average assumptions made in estimating the fair value: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8"/>
        </w:trPr>
        <w:tc>
          <w:tcPr>
            <w:tcW w:w="6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9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616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Borders>
              <w:bottom w:val="single" w:sz="8" w:color="CCEEFF"/>
            </w:tcBorders>
          </w:tcPr>
          <w:p>
            <w:pPr>
              <w:spacing w:after="0"/>
              <w:rPr>
                <w:sz w:val="15"/>
                <w:szCs w:val="15"/>
                <w:color w:val="auto"/>
              </w:rPr>
            </w:pPr>
          </w:p>
        </w:tc>
      </w:tr>
      <w:tr>
        <w:trPr>
          <w:trHeight w:val="209"/>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67.32 %</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Probability of a transaction that triggers an anti-dilution adjustment</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Assumptions and Other Information Related to Convertible Notes</w:t>
      </w:r>
    </w:p>
    <w:p>
      <w:pPr>
        <w:spacing w:after="0" w:line="22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As of March 31, 2024, the Company had newly issued convertible notes outstanding, for which the fair value option was elected. The Company elected the fair value option methodology to account for its convertible notes because the Company believes it more accurately reflects the value of the debt and embedded features in the financial statements. Interest on the convertible notes is accounted for within the change in fair value of warrants and convertible note on the condensed consolidated statement of operations and comprehensive income (loss). The fair value of the convertible notes is determined based on “Level 3” inputs, due to a lack of market data. The principal amount of the convertible notes and paid in-kind interest is measured at fair value using the Monte Carlo valuation model and uses estimates for various financing scenarios. The following table indicates the weighted-average assumptions made in estimating the fair value:</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8"/>
        </w:trPr>
        <w:tc>
          <w:tcPr>
            <w:tcW w:w="48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9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4800" w:type="dxa"/>
            <w:vAlign w:val="bottom"/>
            <w:tcBorders>
              <w:bottom w:val="single" w:sz="8" w:color="CCEEFF"/>
            </w:tcBorders>
          </w:tcPr>
          <w:p>
            <w:pPr>
              <w:spacing w:after="0"/>
              <w:rPr>
                <w:sz w:val="15"/>
                <w:szCs w:val="15"/>
                <w:color w:val="auto"/>
              </w:rPr>
            </w:pPr>
          </w:p>
        </w:tc>
        <w:tc>
          <w:tcPr>
            <w:tcW w:w="26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Borders>
              <w:bottom w:val="single" w:sz="8" w:color="CCEEFF"/>
            </w:tcBorders>
          </w:tcPr>
          <w:p>
            <w:pPr>
              <w:spacing w:after="0"/>
              <w:rPr>
                <w:sz w:val="15"/>
                <w:szCs w:val="15"/>
                <w:color w:val="auto"/>
              </w:rPr>
            </w:pPr>
          </w:p>
        </w:tc>
      </w:tr>
      <w:tr>
        <w:trPr>
          <w:trHeight w:val="209"/>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64.80 %</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price</w:t>
            </w:r>
          </w:p>
        </w:tc>
        <w:tc>
          <w:tcPr>
            <w:tcW w:w="2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Probability of a transaction that triggers anti-dilution adjustments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48.70 %</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648"/>
        </w:trPr>
        <w:tc>
          <w:tcPr>
            <w:tcW w:w="4800" w:type="dxa"/>
            <w:vAlign w:val="bottom"/>
          </w:tcPr>
          <w:p>
            <w:pPr>
              <w:spacing w:after="0"/>
              <w:rPr>
                <w:sz w:val="24"/>
                <w:szCs w:val="24"/>
                <w:color w:val="auto"/>
              </w:rPr>
            </w:pPr>
          </w:p>
        </w:tc>
        <w:tc>
          <w:tcPr>
            <w:tcW w:w="2660" w:type="dxa"/>
            <w:vAlign w:val="bottom"/>
          </w:tcPr>
          <w:p>
            <w:pPr>
              <w:jc w:val="right"/>
              <w:ind w:right="231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60"/>
        </w:trPr>
        <w:tc>
          <w:tcPr>
            <w:tcW w:w="48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As part of the convertible notes valuation as of March 31, 2024, the Company determined that the change in the valuation associated with credit risk associated with the convertible notes was immaterial.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Information Related to Previously Converted Convertible Promissory Notes and Embedded Warrants</w:t>
      </w:r>
    </w:p>
    <w:p>
      <w:pPr>
        <w:spacing w:after="0" w:line="25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prior periods, the Company elected the fair value option methodology to account for its previously issued convertible promissory notes and embedded warrants because the Company believes it more accurately reflects the value of the debt in the financial statements. Changes in the fair value of the convertible promissory notes and embedded warrants were included in change in fair value of warrants and convertible promissory notes in the consolidated statement of operations and comprehensive income (loss). The convertible promissory notes and embedded warrants for which the Company elected the fair value option methodology were converted into common stock prior to June 30, 2023. The Company had no outstanding convertible promissory notes and embedded warrants as of June 30, 2023.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 Rollforward</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 summary of changes in the fair value of the Company’s Level 3 liabilities: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Sponsor</w:t>
            </w: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Promissory</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73"/>
        </w:trPr>
        <w:tc>
          <w:tcPr>
            <w:tcW w:w="67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convertible notes</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warrants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(25,467)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0" w:type="dxa"/>
            <w:vAlign w:val="bottom"/>
          </w:tcPr>
          <w:p>
            <w:pPr>
              <w:spacing w:after="0"/>
              <w:rPr>
                <w:sz w:val="1"/>
                <w:szCs w:val="1"/>
                <w:color w:val="auto"/>
              </w:rPr>
            </w:pPr>
          </w:p>
        </w:tc>
      </w:tr>
      <w:tr>
        <w:trPr>
          <w:trHeight w:val="210"/>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2024</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8,490</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40" w:firstLine="648"/>
        <w:spacing w:after="0" w:line="263" w:lineRule="auto"/>
        <w:rPr>
          <w:sz w:val="20"/>
          <w:szCs w:val="20"/>
          <w:color w:val="auto"/>
        </w:rPr>
      </w:pPr>
      <w:r>
        <w:rPr>
          <w:rFonts w:ascii="Times New Roman" w:cs="Times New Roman" w:eastAsia="Times New Roman" w:hAnsi="Times New Roman"/>
          <w:sz w:val="18"/>
          <w:szCs w:val="18"/>
          <w:color w:val="auto"/>
        </w:rPr>
        <w:t>The change in fair value above as of March 31, 2024 for the Third Amendment Conversion Warrants (defined below) and the Fifth Amendment Warrants (defined below) includes the net effect of the additional warrant shares issued under the anti-dilution provisions triggered in the three and nine months ended March 31, 2024.</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Promissory</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Notes and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140" w:type="dxa"/>
            <w:vAlign w:val="bottom"/>
          </w:tcPr>
          <w:p>
            <w:pPr>
              <w:spacing w:after="0"/>
              <w:rPr>
                <w:sz w:val="12"/>
                <w:szCs w:val="12"/>
                <w:color w:val="auto"/>
              </w:rPr>
            </w:pPr>
          </w:p>
        </w:tc>
        <w:tc>
          <w:tcPr>
            <w:tcW w:w="80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Sponsor</w:t>
            </w: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Embedded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73"/>
        </w:trPr>
        <w:tc>
          <w:tcPr>
            <w:tcW w:w="6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40" w:type="dxa"/>
            <w:vAlign w:val="bottom"/>
          </w:tcPr>
          <w:p>
            <w:pPr>
              <w:spacing w:after="0"/>
              <w:rPr>
                <w:sz w:val="15"/>
                <w:szCs w:val="15"/>
                <w:color w:val="auto"/>
              </w:rPr>
            </w:pPr>
          </w:p>
        </w:tc>
        <w:tc>
          <w:tcPr>
            <w:tcW w:w="8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2022</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89,663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of liability classified warrants to equity</w:t>
            </w: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warrants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Recognition of warrants and unvested sponsor share liabilities assumed upon the Merger</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(12,555)</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warrant liabilities and convertible promissory notes</w:t>
            </w: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(41,392)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2023</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For the Company’s investments without readily determinable fair values, the investment is adjusted if any impairments or observable price changes are identified, which is considered fair value.</w:t>
      </w:r>
    </w:p>
    <w:p>
      <w:pPr>
        <w:spacing w:after="0" w:line="162"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Company measures certain non-financial assets and liabilities, including property and equipment, intangible assets, and inventory, at fair value on a non-recurring basis. Fair value measurements of non-financial assets and non-financial liabilities are used primarily in the impairment analyses of property and equipment, intangible assets and inventory. Refer to Note 5 for details on the Company’s impairment analysis.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Condensed Consolidated Balance Sheet Components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8"/>
        </w:trPr>
        <w:tc>
          <w:tcPr>
            <w:tcW w:w="7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75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0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r>
      <w:tr>
        <w:trPr>
          <w:trHeight w:val="209"/>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inventories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r>
      <w:tr>
        <w:trPr>
          <w:trHeight w:val="20"/>
        </w:trPr>
        <w:tc>
          <w:tcPr>
            <w:tcW w:w="7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Company has determined that certain inventory related to Presto Touch solution was not recoverable based on expected demand and market conditions. As a result, the Company recorded an inventory impairment charge of $0.4 million for the nine months ended March 31, 2024, in cost of revenue on the condensed consolidated statement of operations and comprehensive income (loss). The Company did not record an impairment charge during the three months ended March 31, 2024 or in the three and nine months ended March 31,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Non-Affiliates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December 2022, the Company entered into a simple agreement for future equity (“SAFE”) with a non-affiliated entity, with the Company making a $2.0 million investment in the entity. The non-affiliated entity is a closely-held, early-stage technology company, focused on the research and development of voice-related AI products, which to date has been financed through equity and other SAFE investments. The Company’s investment was made to provide further financing to the non-affiliated entity’s research and development efforts. The investment does not provide for the voluntary right to redeem or automatic redemption on a stated date, nor does the Company have the right to voluntarily convert. Rather, under a defined next financing, liquidity event, or dissolution conditions of the non-affiliated entity, the investment will either be converted into a future series of preferred stock of the issuer or may be redeemed for cash.</w:t>
      </w:r>
    </w:p>
    <w:p>
      <w:pPr>
        <w:spacing w:after="0" w:line="192"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The Company has determined that the Company’s investment in the non-affiliate is an equity security, whereby such investment does not give the Company a controlling financial interest or significant influence over the investee. Further, the Company has determined that the Company’s investment in the non-affiliated entity represents an interest in a variable interest entity (“VIE”), for which the Company has determined it is not the primary beneficiary of such non-affiliated entity. Based on the Company’s knowledge and interaction with the non-affiliated entity, in the Company’s judgment, the activities that most significantly impact the non-affiliated entity’s economic performance are those related to the governance and management decisions regarding operations risk. The Company has determined that it does not have the power to direct such activities, because it has no participation on the board of directors of the VIE or through other ways to influence such activities. Accordingly, the Company has accounted for the investment as a financial instrument without a readily determinable fair value. Such investment is recorded using the measurement alternative for investments without readily determinable fair values, whereby the investment is measured at cost less any impairment recorded or adjustments for observable price changes. During the three and nine months ended March 31, 2024 and 2023, no impairments or observable price changes were identified or recorded. The Company considers the cost of the investment to be the maximum exposure to loss as a result of its involvement with the non-affiliated entity. The Company has no plans at this time for further investment or other form of financial support.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8"/>
        </w:trPr>
        <w:tc>
          <w:tcPr>
            <w:tcW w:w="49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4920" w:type="dxa"/>
            <w:vAlign w:val="bottom"/>
            <w:tcBorders>
              <w:bottom w:val="single" w:sz="8" w:color="CCEEFF"/>
            </w:tcBorders>
          </w:tcPr>
          <w:p>
            <w:pPr>
              <w:spacing w:after="0"/>
              <w:rPr>
                <w:sz w:val="15"/>
                <w:szCs w:val="15"/>
                <w:color w:val="auto"/>
              </w:rPr>
            </w:pPr>
          </w:p>
        </w:tc>
        <w:tc>
          <w:tcPr>
            <w:tcW w:w="26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09"/>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Tablets</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5,774</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Voice equipment</w:t>
            </w:r>
          </w:p>
        </w:tc>
        <w:tc>
          <w:tcPr>
            <w:tcW w:w="2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6,412</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w:t>
            </w:r>
          </w:p>
        </w:tc>
      </w:tr>
      <w:tr>
        <w:trPr>
          <w:trHeight w:val="20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w:t>
            </w:r>
          </w:p>
        </w:tc>
      </w:tr>
      <w:tr>
        <w:trPr>
          <w:trHeight w:val="20"/>
        </w:trPr>
        <w:tc>
          <w:tcPr>
            <w:tcW w:w="49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was $0.1 million and $0.7 million for the three and nine months ended March 31, 2024, respectively, and $0.4 million and $1.0 million for the three and nine months ended March 31, 2023,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net consisted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67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9,754</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Domain name</w:t>
            </w:r>
          </w:p>
        </w:tc>
        <w:tc>
          <w:tcPr>
            <w:tcW w:w="8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09"/>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assets, gross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11,205</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8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10"/>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assets, net</w:t>
            </w:r>
          </w:p>
        </w:tc>
        <w:tc>
          <w:tcPr>
            <w:tcW w:w="8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10,528</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Intangible assets have weighted-average amortization periods as follows:</w:t>
            </w:r>
          </w:p>
        </w:tc>
        <w:tc>
          <w:tcPr>
            <w:tcW w:w="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4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Domain Name</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Amortization expense of intangible assets was $0.5 million and $1.7 million for the three and nine months ended March 31, 2024, respectively, and $0.1 million and $0.3 million for the three and nine months ended March 31, 2023, respectively. During the nine months ended March 31, 2024, the Company changed its strategy in connection with the attempted deployment of its vision capitalized software upon which it was determined that the carrying amount of the software may not be recoverable. The Company concluded that the product had no future net undiscounted cash flows due to the focus on Presto Voice and the obsolescence of the vision technology. Therefore, the Company recorded an impairment charge of $2.8 million in the nine months ended March 31, 2024. The Company did not record an impairment charge in the three months ended March 31, 2024.</w:t>
      </w:r>
    </w:p>
    <w:p>
      <w:pPr>
        <w:spacing w:after="0" w:line="18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addition, the Company recorded an impairment charge of $0.4 million in the nine months ended March 31, 2024, related to the next generation of its Presto Touch capitalized software as the shift in strategy to focus on Presto Voice and wind-down Presto Touch led to the conclusion that the carrying value of this technology was not recoverable. The Company did not record an impairment charge in the three months ended March 31, 2024.</w:t>
      </w:r>
    </w:p>
    <w:p>
      <w:pPr>
        <w:spacing w:after="0" w:line="18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Both of these abandoned technologies had not previously been placed into service. Total impairment charge in the nine months ended March 31, 2024 was $3.2 million recorded in research and development expenses on the condensed consolidated statement of operations and comprehensive income (loss).</w:t>
      </w:r>
    </w:p>
    <w:p>
      <w:pPr>
        <w:spacing w:after="0" w:line="17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 addition, due to a change in strategy on the Presto Voice solution as a result of a change in the Company’s management team during the nine months ended March 31, 2024, the Company fully impaired obsolete developed technology related to the CyborgOps acquisition as there are no future cash flows expected from the technology. The impairment charge of $0.9 million has been recorded for the nine months ended March 31, 2024 in depreciation, amortization and impairment expense within cost of revenue on the condensed consolidated statement of operations and comprehensive income (loss).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did not record an impairment charge in the three and nine months ended March 31, 2023.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future amortization expense for intangible assets is estimated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2024</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6"/>
        </w:trPr>
        <w:tc>
          <w:tcPr>
            <w:tcW w:w="6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8,126</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9"/>
        </w:trPr>
        <w:tc>
          <w:tcPr>
            <w:tcW w:w="6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690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09"/>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1,893</w:t>
            </w:r>
          </w:p>
        </w:tc>
        <w:tc>
          <w:tcPr>
            <w:tcW w:w="1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Accrued vacation</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Accrued repair cost (Refer to Note 8)</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sales tax</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6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4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09"/>
        </w:trPr>
        <w:tc>
          <w:tcPr>
            <w:tcW w:w="6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4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4,167</w:t>
            </w:r>
          </w:p>
        </w:tc>
        <w:tc>
          <w:tcPr>
            <w:tcW w:w="12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Long-term Liabilities</w:t>
            </w: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long-term liabilities consisted of the following:</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9"/>
        </w:trPr>
        <w:tc>
          <w:tcPr>
            <w:tcW w:w="6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690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Sponsor Shares Liability</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0" w:type="dxa"/>
            <w:vAlign w:val="bottom"/>
          </w:tcPr>
          <w:p>
            <w:pPr>
              <w:spacing w:after="0"/>
              <w:rPr>
                <w:sz w:val="1"/>
                <w:szCs w:val="1"/>
                <w:color w:val="auto"/>
              </w:rPr>
            </w:pPr>
          </w:p>
        </w:tc>
      </w:tr>
      <w:tr>
        <w:trPr>
          <w:trHeight w:val="216"/>
        </w:trPr>
        <w:tc>
          <w:tcPr>
            <w:tcW w:w="6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4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9"/>
        </w:trPr>
        <w:tc>
          <w:tcPr>
            <w:tcW w:w="6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4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Financing Obligations</w:t>
            </w: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9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Company’s financing obligations, net of discounts, consist of the following:</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0" w:type="dxa"/>
            <w:vAlign w:val="bottom"/>
          </w:tcPr>
          <w:p>
            <w:pPr>
              <w:spacing w:after="0"/>
              <w:rPr>
                <w:sz w:val="1"/>
                <w:szCs w:val="1"/>
                <w:color w:val="auto"/>
              </w:rPr>
            </w:pPr>
          </w:p>
        </w:tc>
      </w:tr>
      <w:tr>
        <w:trPr>
          <w:trHeight w:val="173"/>
        </w:trPr>
        <w:tc>
          <w:tcPr>
            <w:tcW w:w="690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 financing facility</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Equipment financing facility</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10"/>
        </w:trPr>
        <w:tc>
          <w:tcPr>
            <w:tcW w:w="69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financing obligations</w:t>
            </w:r>
          </w:p>
        </w:tc>
        <w:tc>
          <w:tcPr>
            <w:tcW w:w="4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0" w:type="dxa"/>
            <w:vAlign w:val="bottom"/>
          </w:tcPr>
          <w:p>
            <w:pPr>
              <w:spacing w:after="0"/>
              <w:rPr>
                <w:sz w:val="1"/>
                <w:szCs w:val="1"/>
                <w:color w:val="auto"/>
              </w:rPr>
            </w:pPr>
          </w:p>
        </w:tc>
      </w:tr>
      <w:tr>
        <w:trPr>
          <w:trHeight w:val="216"/>
        </w:trPr>
        <w:tc>
          <w:tcPr>
            <w:tcW w:w="6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financing obligations, current</w:t>
            </w:r>
          </w:p>
        </w:tc>
        <w:tc>
          <w:tcPr>
            <w:tcW w:w="4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0" w:type="dxa"/>
            <w:vAlign w:val="bottom"/>
          </w:tcPr>
          <w:p>
            <w:pPr>
              <w:spacing w:after="0"/>
              <w:rPr>
                <w:sz w:val="1"/>
                <w:szCs w:val="1"/>
                <w:color w:val="auto"/>
              </w:rPr>
            </w:pPr>
          </w:p>
        </w:tc>
      </w:tr>
      <w:tr>
        <w:trPr>
          <w:trHeight w:val="210"/>
        </w:trPr>
        <w:tc>
          <w:tcPr>
            <w:tcW w:w="6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financing obligations, noncurrent</w:t>
            </w:r>
          </w:p>
        </w:tc>
        <w:tc>
          <w:tcPr>
            <w:tcW w:w="4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Receivable Financing Facility</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Company’s receivable financing facility requires monthly payments of principal and interest totaling an aggregate principal and interest of $0.4 million, $1.8 million and $1.8 million for the remainder of fiscal year 2024, fiscal year 2025 and fiscal year 2026, respectively. Since the Company cannot be certain it will be in compliance with all covenants in the next twelve months if additional financing is not secured, the Company has classified the balance of $3.5 million as current on the condensed consolidated balance sheet as of March 31, 2024.</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6" w:lineRule="exact"/>
        <w:rPr>
          <w:sz w:val="20"/>
          <w:szCs w:val="20"/>
          <w:color w:val="auto"/>
        </w:rPr>
      </w:pPr>
    </w:p>
    <w:p>
      <w:pPr>
        <w:ind w:right="160" w:firstLine="648"/>
        <w:spacing w:after="0" w:line="262" w:lineRule="auto"/>
        <w:rPr>
          <w:sz w:val="20"/>
          <w:szCs w:val="20"/>
          <w:color w:val="auto"/>
        </w:rPr>
      </w:pPr>
      <w:r>
        <w:rPr>
          <w:rFonts w:ascii="Times New Roman" w:cs="Times New Roman" w:eastAsia="Times New Roman" w:hAnsi="Times New Roman"/>
          <w:sz w:val="18"/>
          <w:szCs w:val="18"/>
          <w:color w:val="auto"/>
        </w:rPr>
        <w:t>On December 15, 2023, and subsequently, on February 15, 2024 the Company entered into amendments to the receivable financing facility, which changed the amount and timing of certain repayments, increased the repayment amount, and extended the maturity date. The amendment on February 15, 2024 added certain events of default, which includes the occurrence of an event of default under the Credit Agreement. The amendments are each considered a troubled debt restructuring under the guidance of ASC 470 with no gain or loss recorded at the time of the amendment. The Company did not incur any additional expenses.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Equipment Financing Facility</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has equipment financing facilities with third party financing partners to secure payments of certain Presto Touch tablet purchases. Such arrangements generally had terms ranging from three – five years and interest rates ranging from 8%-14%. The Company then leased the tablets to one of its customers through operating leases that had 4-year terms. The Company has classified all of its obligations under these arrangements as short-term within financing obligations, current as of June 30, 2023. This facility no longer has an outstanding balance as of March 31, 2024.</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outstanding debt, net of debt discounts, consists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3"/>
                <w:szCs w:val="13"/>
                <w:color w:val="auto"/>
              </w:rPr>
            </w:pP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As of June 30,</w:t>
            </w:r>
          </w:p>
        </w:tc>
      </w:tr>
      <w:tr>
        <w:trPr>
          <w:trHeight w:val="173"/>
        </w:trPr>
        <w:tc>
          <w:tcPr>
            <w:tcW w:w="7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 Note</w:t>
            </w: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2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Credit Agreement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50,639</w:t>
            </w: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2024 Convertible Notes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March 2024 Convertible Note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 Financing</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3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58,761</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50,639</w:t>
            </w:r>
          </w:p>
        </w:tc>
      </w:tr>
      <w:tr>
        <w:trPr>
          <w:trHeight w:val="21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debt, current</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(50,639)</w:t>
            </w:r>
          </w:p>
        </w:tc>
      </w:tr>
      <w:tr>
        <w:trPr>
          <w:trHeight w:val="210"/>
        </w:trPr>
        <w:tc>
          <w:tcPr>
            <w:tcW w:w="7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debt, noncurrent</w:t>
            </w: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 Credit Agreement</w:t>
      </w:r>
    </w:p>
    <w:p>
      <w:pPr>
        <w:spacing w:after="0" w:line="22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On September 21, 2022, in connection with the consummation of the Merger, the Company entered into the Credit Agreement with the subsidiary guarantors party thereto, the Agent, the Lenders and other parties party thereto, pursuant to which the Lenders extended the Term Loans having an aggregate original principal amount of $55.0 million. The Term Loans were borrowed in full on September 21, 2022. In conjunction with the initial Credit Agreement, the Company issued 1,500,000 warrants to purchase common stock to the Lenders. Such warrants were determined to be equity classified and the Company recorded the value associated with such warrants of $2.1 million within additional paid in capital, with an offsetting debt discount being recorded.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Amendment to Credit Agreement</w:t>
      </w:r>
    </w:p>
    <w:p>
      <w:pPr>
        <w:spacing w:after="0" w:line="229" w:lineRule="exact"/>
        <w:rPr>
          <w:sz w:val="20"/>
          <w:szCs w:val="20"/>
          <w:color w:val="auto"/>
        </w:rPr>
      </w:pPr>
    </w:p>
    <w:p>
      <w:pPr>
        <w:jc w:val="both"/>
        <w:ind w:firstLine="693"/>
        <w:spacing w:after="0" w:line="253" w:lineRule="auto"/>
        <w:rPr>
          <w:sz w:val="20"/>
          <w:szCs w:val="20"/>
          <w:color w:val="auto"/>
        </w:rPr>
      </w:pPr>
      <w:r>
        <w:rPr>
          <w:rFonts w:ascii="Times New Roman" w:cs="Times New Roman" w:eastAsia="Times New Roman" w:hAnsi="Times New Roman"/>
          <w:sz w:val="18"/>
          <w:szCs w:val="18"/>
          <w:color w:val="auto"/>
        </w:rPr>
        <w:t>On October 10, 2023, the Company entered into a Third Amendment to the Credit Agreement (the “Third Amendment”) with Metropolitan, the administrative, payment and collateral agent for Lenders, pursuant to which the parties amended certain covenants of the existing Credit Agreement, the Lenders agreed to waive existing events of default, advance an additional $3.0 million of Term Loans to the Company, and exchange an aggregate of approximately $6.0 million of accrued and previously capitalized interest for warrants to purchase 3,000,000 shares of common stock at an exercise price of $0.01 per share (the “Third Amendment Conversion Warrants”) (refer to Note 10). The effectiveness of the Third Amendment was conditioned, in part upon, (1) evidence of a gross amount of additional equity investments of $3.0 million from Presto CA, LLC (“CA”), (2) the Company hiring a chief financial officer reasonably satisfactory to Metropolitan, and (3) evidence that the Company has engaged the services of an investment bank reasonably acceptable to Metropolitan on terms reasonably acceptable to Metropolitan to provide capital markets advisory services in connection with upcoming capital raises. All conditions precedent were satisfied and the Third Amendment closed on October 17, 2023.</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the effectiveness of the Third Amendment, the Company obtained waivers of all previous financial covenant breaches. Further, the Third Amendment also eliminates all financial covenants with the exception of two which are a minimum cash collateral balance of $10.0 million and the “cash burn” covenant. The definition of the “cash burn” covenant was revised to allow for the exclusion of certain expenses from the calculation, including those related to severance and certain outside professional fees. New agreed upon</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“cash burn” covenant levels were also agreed upon. Subject to certain excluded payments, the decrease in operating cash may not exceed an agreed amount for each rolling three-month period, subject to certain customary operating fluctuations and adjustments.</w:t>
      </w:r>
    </w:p>
    <w:p>
      <w:pPr>
        <w:spacing w:after="0" w:line="16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Third Amendment also provides that, with respect to interest accruing for the interest periods ending September 30, 2023 through January 31, 2024, the Company may elect that 100% of the accrued but unpaid interest under the Term Loans may be capitalized as principal, or “PIK Interest” on a monthly basis. After January 31, 2024, the Company may request that 100% of the accrued but unpaid interest under the Term Loans be capitalized as PIK Interest on a monthly basis, subject to the prior approval by the Agent. Absent such a request or in the absence of approval by the Agent, such interest is required to be paid in cash on a monthly basis. Amounts outstanding under the Credit Agreement will incur interest at the rate of 15% per annum. The Term Loans mature on March 21, 2025.</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October 10, 2023, in connection with the Third Amendment, the Company entered into the Third Amended and Restated Fee Letter (the “Third Amendment Fee Letter”) with Metropolitan, pursuant to which the Company paid an amendment fee equal to $0.1 million and granted warrants to purchase 25,000 shares of common stock, with an exercise price of $0.01 per share (the “Third Amendment Fee Warrants”) and, together with the Third Amendment Conversion Warrants, the “Third Amendment Warrants.” See Note 10 for further details. The PIK Interest forgiven of $6.0 million exceeded the Third Amendment Warrants fair value of $5.2 million which resulted in a reduction of the debt discount of $0.8 million which will be amortized along with the unamortized debt discount using the effective interest rate over the life of the loan.</w:t>
      </w:r>
    </w:p>
    <w:p>
      <w:pPr>
        <w:spacing w:after="0" w:line="18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The Company must comply with certain financial covenants as set forth in the Credit Agreement, including a minimum cash covenant. The Credit Agreement also contains customary affirmative and restrictive covenants, including covenants regarding the incurrence of additional indebtedness or liens, investments, transactions with affiliates, delivery of financial statements, payment of taxes, maintenance of insurance, dispositions of property, mergers or acquisitions, among other customary covenants. The Company is also restricted from paying dividends or making other distributions or payments on its capital stock, subject to limited exceptions. The Credit Agreement also includes customary representations and warranties, events of default and termination provisions, upon which the Term Loans may be accelerated and the interest rate applicable to any outstanding payment obligations will increase by 5%.</w:t>
      </w:r>
    </w:p>
    <w:p>
      <w:pPr>
        <w:spacing w:after="0" w:line="18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Further, since the Company cannot be certain it will be in compliance with all covenants in the next twelve months if additional financing is not secured, the Company has classified the balance of the Credit Agreement, as amended, as current on the condensed consolidated balance sheet as of March 31, 2024 and June 30, 2023.</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received a notice of default from the Lender on January 4, 2024 notifying the Company of the occurrence of an event of default resulting from the Company not providing a sufficient plan to the Lender for the wind-down of the Presto Touch solution by the required due date of December 31, 2023. The Company also received a default notice for non-payment of the quarterly monitoring fee of $0.1 million.</w:t>
      </w:r>
    </w:p>
    <w:p>
      <w:pPr>
        <w:spacing w:after="0" w:line="180" w:lineRule="exact"/>
        <w:rPr>
          <w:sz w:val="20"/>
          <w:szCs w:val="20"/>
          <w:color w:val="auto"/>
        </w:rPr>
      </w:pPr>
    </w:p>
    <w:p>
      <w:pPr>
        <w:jc w:val="both"/>
        <w:ind w:right="420" w:firstLine="648"/>
        <w:spacing w:after="0" w:line="266" w:lineRule="auto"/>
        <w:rPr>
          <w:sz w:val="20"/>
          <w:szCs w:val="20"/>
          <w:color w:val="auto"/>
        </w:rPr>
      </w:pPr>
      <w:r>
        <w:rPr>
          <w:rFonts w:ascii="Times New Roman" w:cs="Times New Roman" w:eastAsia="Times New Roman" w:hAnsi="Times New Roman"/>
          <w:sz w:val="18"/>
          <w:szCs w:val="18"/>
          <w:color w:val="auto"/>
        </w:rPr>
        <w:t>On January 11, 2024, following the notice of default received from the Lender on January 4, 2024, as described above, the Company’s Lenders delivered an activation notice to the Company’s bank resulting in the wiring of $10.0 million of the Company’s restricted cash to the Lenders. The funds were applied to reduce the outstanding loan balance.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Forbearance and Fourth Amendment to Credit Agreement</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On January 22, 2024, the Company entered into a Forbearance Agreement and Fourth Amendment to Credit Agreement (the “January Forbearance Agreement”) with the Agent, the Lenders and certain significant stockholders of the Company. The January Forbearance Agreement provided that the Lenders would not exercise remedies for a specified period of time pursuant to the events of default in the notice of default from the Lender on January 4, 2024, as well as the anticipated future event of default due to the Company failing to appoint a new Chief Financial Officer reasonably acceptable to the Agent within 90 days of the prior Chief Financial Officer’s resignation, subject to the agreements and conditions set out below.</w:t>
      </w:r>
    </w:p>
    <w:p>
      <w:pPr>
        <w:spacing w:after="0" w:line="187"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The January Forbearance Agreement provided that, contingent on the Company raising gross cash proceeds raised of $6.0 million by January 29, 2024 in a capital raise defined as the sale of new equity interests of the Company or the issue of a convertible subordinated note with specified terms and conditions and that is reasonably satisfactory to the Lender (the “Capital Raise”), the forbearance date would be extended to February 29, 2024.</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January Forbearance Agreement was contingent on the Company having appointed an independent member of the Board whose independence was acceptable to the Agent in its sole discretion. This was satisfied with the appointment of Matthew MacDonald as a member of the Board on January 28, 2024.</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February 17, 2024, the Company received notice from the Agent and the Lenders of two events of default under the Credit Agreement: (1) that the Company did not replace its CEO with a chief restructuring officer or person with significant restructuring, turnaround and insolvency experience reasonably acceptable to the Agent within the time period required following the resignation of the prior CEO; and (2) that the Company failed to deliver certain financial reports to the Agent on a weekly basis as required by the Credit Agreement. As a result, the Agent and the Lenders notified the Company that the January Forbearance Agreement had terminated on February 17,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Fifth Amendment to Credit Agreement</w:t>
      </w:r>
    </w:p>
    <w:p>
      <w:pPr>
        <w:spacing w:after="0" w:line="229" w:lineRule="exact"/>
        <w:rPr>
          <w:sz w:val="20"/>
          <w:szCs w:val="20"/>
          <w:color w:val="auto"/>
        </w:rPr>
      </w:pPr>
    </w:p>
    <w:p>
      <w:pPr>
        <w:ind w:right="220" w:firstLine="693"/>
        <w:spacing w:after="0" w:line="266" w:lineRule="auto"/>
        <w:rPr>
          <w:sz w:val="20"/>
          <w:szCs w:val="20"/>
          <w:color w:val="auto"/>
        </w:rPr>
      </w:pPr>
      <w:r>
        <w:rPr>
          <w:rFonts w:ascii="Times New Roman" w:cs="Times New Roman" w:eastAsia="Times New Roman" w:hAnsi="Times New Roman"/>
          <w:sz w:val="18"/>
          <w:szCs w:val="18"/>
          <w:color w:val="auto"/>
        </w:rPr>
        <w:t>On January 30, 2024, the Company entered into the Fifth Amendment to Credit Agreement and Acknowledgment (the “Fifth Amendment”) with the Agent, the Lenders and certain significant stockholders of the Company. The material terms of the Fifth Amendment are as follows:</w:t>
      </w:r>
    </w:p>
    <w:p>
      <w:pPr>
        <w:spacing w:after="0" w:line="176" w:lineRule="exact"/>
        <w:rPr>
          <w:sz w:val="20"/>
          <w:szCs w:val="20"/>
          <w:color w:val="auto"/>
        </w:rPr>
      </w:pPr>
    </w:p>
    <w:p>
      <w:pPr>
        <w:ind w:left="1340" w:right="60" w:hanging="333"/>
        <w:spacing w:after="0" w:line="257" w:lineRule="auto"/>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confirmed that the January 2024 Offering (as defined below) satisfied the requirements of the January Forbearance Agreement in order for the Lenders to grant continued forbearance with respect to events of default under the Credit Agreement.</w:t>
      </w:r>
    </w:p>
    <w:p>
      <w:pPr>
        <w:spacing w:after="0" w:line="1" w:lineRule="exact"/>
        <w:rPr>
          <w:rFonts w:ascii="Times New Roman" w:cs="Times New Roman" w:eastAsia="Times New Roman" w:hAnsi="Times New Roman"/>
          <w:sz w:val="18"/>
          <w:szCs w:val="18"/>
          <w:color w:val="auto"/>
        </w:rPr>
      </w:pPr>
    </w:p>
    <w:p>
      <w:pPr>
        <w:ind w:left="1340" w:right="360" w:hanging="333"/>
        <w:spacing w:after="0" w:line="250" w:lineRule="auto"/>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until which initial forbearance is granted was extended from the original date of February 29, 2024 in the January Forbearance Agreement until March 8, 2024.</w:t>
      </w:r>
    </w:p>
    <w:p>
      <w:pPr>
        <w:ind w:left="1340" w:right="20" w:hanging="333"/>
        <w:spacing w:after="0" w:line="250" w:lineRule="auto"/>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agreed that on or prior to March 6, 2024, it would hold a shareholder meeting, among other things, to (i) approve the issuance of certain shares issuable in connection with any securities subject to the 19.99% cap imposed by Nasdaq rules, including, without limitation, the Third Amendment Conversion Warrants, the Fifth Amendment Warrants and the January 2024 Convertible Notes, and (ii) amend its certificate of incorporation to increase the authorized shares of Common Stock to not less than 100,000,000,000 shares. The failure of such meeting of the shareholders of the Company to occur on or before March 6, 2024 would constitute an immediate event of default under the Credit Agreement.</w:t>
      </w:r>
    </w:p>
    <w:p>
      <w:pPr>
        <w:spacing w:after="0" w:line="2" w:lineRule="exact"/>
        <w:rPr>
          <w:rFonts w:ascii="Times New Roman" w:cs="Times New Roman" w:eastAsia="Times New Roman" w:hAnsi="Times New Roman"/>
          <w:sz w:val="18"/>
          <w:szCs w:val="18"/>
          <w:color w:val="auto"/>
        </w:rPr>
      </w:pPr>
    </w:p>
    <w:p>
      <w:pPr>
        <w:jc w:val="both"/>
        <w:ind w:left="1340" w:right="540" w:hanging="333"/>
        <w:spacing w:after="0" w:line="277" w:lineRule="auto"/>
        <w:tabs>
          <w:tab w:leader="none" w:pos="13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anticipated that its cash payments in February will result in a reduction in its operating cash that breaches the permitted “Net Adjusted Decrease in Operating Cash” covenant under the Credit Agreement. This anticipated event of default under the Credit Agreement is made subject to the January Forbearance Agreement.</w:t>
      </w:r>
    </w:p>
    <w:p>
      <w:pPr>
        <w:spacing w:after="0" w:line="16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effectiveness of the Fifth Amendment, the Company issued to the Agent warrants to purchase 5,323,298 shares of Common Stock (the “Fifth Amendment Warrants”) reflecting a value equal to the amount of interest that would accrue on the outstanding loan under the Credit Agreement through December 31, 2024 at a rate of 4% per annum to account for the reduction in interest rate under the Credit Agreement from 12% to 8% upon the closing of the January 2024 Offering (as defined below). Refer to Note 10 for additional information regarding the Fifth Amendment Warrants.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Sixth Amendment to the Credit Agreement</w:t>
      </w:r>
    </w:p>
    <w:p>
      <w:pPr>
        <w:spacing w:after="0" w:line="229"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On March 1, 2024, the Company entered into a Forbearance Agreement and Sixth Amendment to Credit Agreement (the “March Forbearance Agreement”) with the Agent, the Lenders and certain significant stockholders of the Company. The March Forbearance Agreement provides that the Lenders would not exercise remedies pursuant to the events of default in the notices from the Lenders dated January 4, 2024, January 8, 2024 and January 11, 2024 (the “March Forbearance”) until April 14, 2024 if the Company raised gross cash proceeds of $3.5 million or more in a capital raise by March 4, 2024 or until March 16, 2024 if the Company raised gross cash proceeds in an amount greater than or equal to $2 million but less than $3.5 million in a capital raise by March 4, 2024 (in either case, the “Forbearance Termination Date”).</w:t>
      </w:r>
    </w:p>
    <w:p>
      <w:pPr>
        <w:spacing w:after="0" w:line="18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March Forbearance would terminate upon the following dates: (a) the Forbearance Termination Date; (b) the date on which the Company or any other party to the Credit Agreement (each, a “Loan Party”) commences, or threatens in writing to commence, any litigation against the Agent or any Lender; (c) the date on which any Loan Party takes any action inconsistent with the Agent’s or any Lender’s interests in the Collateral (as defined in the Credit Agreement); (d) the commencement of any insolvency proceeding by or against any Loan Party; (e) any amendment to the Loan Parties’ certificate of incorporation, bylaws or other operating documents, or the Company entering into any stockholders agreement or other operating document, which in any way amends or alters (A) the composition of the Company’s board of directors including providing any stockholder or other person with</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any right to designate a director, (B) the relative voting rights of members of the board of directors or stockholders, or (C) the terms of the Loan Parties’ governance; (f) Paul Hastings LLP ceases, for any reason, to act as corporate counsel to the Loan Parties; (g) on the date that is three (3) days after March 1, 2024, if by that date the Loan Parties have not retained an interim or permanent resource to support capital markets activity reasonably acceptable to Agent in its sole discretion or (h) the occurrence or existence of any default or event of default under the Forbearance Agreement or under any loan document, or any event or circumstance which, with notice or the passage of time, shall become an event of default, other than the Forbearance Defaults.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Seventh Amendment to the Credit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21, 2024, the Company entered into a Seventh Amendment (the “Seventh Amendment”) to the Credit Agreement with the Agent for the Lenders. Pursuant to the Seventh Amendment, the Lenders agreed not to exercise remedies with respect to a number of events of default prior to April 15, 2024 to the extent $2.0 million is advanced to the Company pursuant to the CA Note (defined below) on March 21, 2024 and prior to May 15, 2024 to the extent an additional $2.0 million is advanced to the Company pursuant to the CA Note (defined below) on March 30, 2024 (in either case, the “New Forbearance Termination Date”). The Seventh Amendment further provides that (1) the minimum unrestricted cash amount under the Credit Agreement will be zero from March 21, 2024 until the day prior to the New Forbearance Termination Date and will become $10 million on the New Forbearance Termination Date, and (2) an event of default by the Company under the CA Note will constitute an event of default under the Credit Agreement as well.</w:t>
      </w:r>
    </w:p>
    <w:p>
      <w:pPr>
        <w:spacing w:after="0" w:line="188" w:lineRule="exact"/>
        <w:rPr>
          <w:sz w:val="20"/>
          <w:szCs w:val="20"/>
          <w:color w:val="auto"/>
        </w:rPr>
      </w:pPr>
    </w:p>
    <w:p>
      <w:pPr>
        <w:ind w:right="20" w:firstLine="810"/>
        <w:spacing w:after="0" w:line="255" w:lineRule="auto"/>
        <w:rPr>
          <w:sz w:val="20"/>
          <w:szCs w:val="20"/>
          <w:color w:val="auto"/>
        </w:rPr>
      </w:pPr>
      <w:r>
        <w:rPr>
          <w:rFonts w:ascii="Times New Roman" w:cs="Times New Roman" w:eastAsia="Times New Roman" w:hAnsi="Times New Roman"/>
          <w:sz w:val="18"/>
          <w:szCs w:val="18"/>
          <w:color w:val="auto"/>
        </w:rPr>
        <w:t>The Company recorded PIK Interest expense which is reflected as an increase to the outstanding debt balance in the amounts of $1.4 million and $5.6 million during the three and nine months ended March 31, 2024, respectively, and $2.2 million and $4.6 million, respectively, during the three and nine months ended March 31, 2023. Further, the Company recorded interest expense associated with the amortization of debt discounts of $1.6 million and $4.0 million, respectively, during the three and nine months ended March 31, 2024, and $0.6 million and $1.2 million, respectively, during the three and nine months ended March 31, 2023. Accordingly, at March 31, 2024, the Credit Agreement, current balance of $46.1 million reflects $48.0 million of principal and $5.1 million of PIK Interest accrual, reduced by $7.0 million of unamortized debt issuance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Subordinated Convertible Notes</w:t>
      </w:r>
    </w:p>
    <w:p>
      <w:pPr>
        <w:spacing w:after="0" w:line="22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January 29, 2024, the Company entered into securities purchase agreements for the issuance and sale of subordinated convertible notes with several investors for an aggregate cash proceeds of $6.0 million principal amount. In addition, a $3.0 million principal amount of subordinated notes was issued (together with the $6.0 million principal amount, the “January 2024 Convertible Notes” or the “January 2024 Offering”) in exchange for the Company repurchasing 3,000,000 shares of the Company’s common stock that the investor had purchased in the November 2023 Offering at a price of $1.00 per share in addition to forfeiting the right to receive 9,000,000 additional shares of common stock that would be issuable as a result of triggering the anti-dilution adjustment in the November Purchase Agreement. The January 2024 Convertible Notes mature on March 30, 2026.</w:t>
      </w:r>
    </w:p>
    <w:p>
      <w:pPr>
        <w:spacing w:after="0" w:line="18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January 2024 Convertible Notes accrue PIK Interest monthly at a rate of 7.5% per annum. The interest rate shall increase to 12% in the case of an event of default. The January 2024 Convertible Notes are convertible into 36,000,000 shares of common stock at the option of each holder at $0.25 per share (the “Conversion Price”), subject to anti-dilution provisions contained in the January 2024 Convertible Notes. The January 2024 Convertible Notes convert mandatorily into common stock at the then prevailing conversion price immediately prior to (a) a qualifying restructuring transaction, or (b) a qualifying change of control transaction with a financial investor. From issuance through September 30, 2024, the Conversion Price will be reduced if the Company issues any common stock or securities convertible into or exchangeable for common stock at a price that is less than the Conversion Price. The Company elected the fair value option to account for the January 2024 Convertible Notes and the resulting impact of the change in the fair value of the January 2024 Convertible Notes is recorded on the condensed consolidated statement of operations in the change in fair value of warrants and convertible promissory notes for the three and nine months ended March 31, 2024.</w:t>
      </w:r>
    </w:p>
    <w:p>
      <w:pPr>
        <w:spacing w:after="0" w:line="194"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17"/>
          <w:szCs w:val="17"/>
          <w:color w:val="auto"/>
        </w:rPr>
        <w:t>On March 1, 2024 the Company issued to Remus Capital a subordinated convertible note in the principal amount of $1.0 million (the “March 2024 Convertible Note”) in consideration for a cash investment of $960,000 from Remus Capital. The March 2024 Convertible Note accrues interest monthly by increasing principal at a rate of 7.5% per annum. The interest rate shall increase to 12% in the case of an event of default. The March 2024 Convertible Note is convertible into 3,840,000 shares of common stock at the option of the holder at the conversion price of $0.25 per share and matures on March 30, 2026. The March 2024 Convertible Note will convert mandatorily into common stock at the then prevailing conversion price immediately prior to (a) a qualifying restructuring transaction, or</w:t>
      </w:r>
    </w:p>
    <w:p>
      <w:pPr>
        <w:spacing w:after="0" w:line="5" w:lineRule="exact"/>
        <w:rPr>
          <w:sz w:val="20"/>
          <w:szCs w:val="20"/>
          <w:color w:val="auto"/>
        </w:rPr>
      </w:pPr>
    </w:p>
    <w:p>
      <w:pPr>
        <w:ind w:right="120" w:firstLine="8"/>
        <w:spacing w:after="0" w:line="260"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qualifying change of control transaction with a financial investor. The Company has elected the fair value option to account for the March 2024 Convertible Note and the resulting change in the fair value of the March 2024 Convertible Note is</w:t>
      </w:r>
    </w:p>
    <w:p>
      <w:pPr>
        <w:sectPr>
          <w:pgSz w:w="11900" w:h="16838" w:orient="portrait"/>
          <w:cols w:equalWidth="0" w:num="1">
            <w:col w:w="9920"/>
          </w:cols>
          <w:pgMar w:left="980" w:top="513" w:right="99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recorded on the condensed consolidated statement of operations in the change in fair value of warrants and convertible promissory notes for the three and nine months ended March 31, 2024.</w:t>
      </w:r>
    </w:p>
    <w:p>
      <w:pPr>
        <w:spacing w:after="0" w:line="162"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Since the Company cannot be certain it will be in compliance with all covenants of the Credit Agreement in the next twelve months if additional financing is not secured, and an event of default on the January 2024 Convertible Notes and the March 2024 Convertible Note includes an event of default on any debt above $0.5 million, the Company has classified the balance of the January 2024 Convertible Notes and the March 2024 Convertible Note as current on the condensed consolidated balance sheet as of March 31, 2024.</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January 2024 Convertible Notes and the March 2024 Convertible Note are subordinated to the prior payment in cash in full of the Credit Agreement (“Senior Indebtedness”), and no principal or interest may be paid in cash on the January 2024 Convertible Notes or the March 2024 Convertible Note prior to the repayment in cash in full of the Senior Indebtedness.</w:t>
      </w:r>
    </w:p>
    <w:p>
      <w:pPr>
        <w:spacing w:after="0" w:line="17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All or a portion of the January 2024 Convertible Notes and the March 2024 Convertible Note can be redeemed at the option of the holder upon an event of default at a price equal to the greater of (i) the sum of the conversion amount which is the portion of principal, plus accrued PIK interest and (ii) the product of (X) the conversion amount divided by $0.25, subject to adjustment, multiplied by the greatest closing sale price of the Company’s common stock on any trading day during the period commencing on the date immediately preceding such event of default and ending on the date the Company makes the entire payment. This clause is subject to the payment in full of the Senior Indebtedness as noted above.</w:t>
      </w:r>
    </w:p>
    <w:p>
      <w:pPr>
        <w:spacing w:after="0" w:line="187" w:lineRule="exact"/>
        <w:rPr>
          <w:sz w:val="20"/>
          <w:szCs w:val="20"/>
          <w:color w:val="auto"/>
        </w:rPr>
      </w:pPr>
    </w:p>
    <w:p>
      <w:pPr>
        <w:ind w:right="120" w:firstLine="648"/>
        <w:spacing w:after="0" w:line="281" w:lineRule="auto"/>
        <w:rPr>
          <w:sz w:val="20"/>
          <w:szCs w:val="20"/>
          <w:color w:val="auto"/>
        </w:rPr>
      </w:pPr>
      <w:r>
        <w:rPr>
          <w:rFonts w:ascii="Times New Roman" w:cs="Times New Roman" w:eastAsia="Times New Roman" w:hAnsi="Times New Roman"/>
          <w:sz w:val="17"/>
          <w:szCs w:val="17"/>
          <w:color w:val="auto"/>
        </w:rPr>
        <w:t>Upon a bankruptcy event of default, the Company must immediately pay to the holders an amount in cash representing all outstanding principal, accrued interest, and other charges. A bankruptcy event of default is defined as: the Company commences any case, proceeding or other action under the Bankruptcy Code or similar debtor relief laws or there is a case, proceeding or other action of similar nature commenced against the Company. This clause is subject to the payment in full of the Senior Indebtedness as noted above.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 Note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21, 2024, the Company issued to CA a secured promissory note in the principal amount of $4.0 million (the “CA Note”), pursuant to which CA agreed to make two loans totaling an aggregate of $4.0 million to the Company. The first loan was made on March 21, 2024 in the amount of $2.0 million and the second loan was made on March 30, 2024 in the amount of $2.0 million. The CA Note shall be repaid no later than May 15, 2024. Interest on the CA Note accrues by increasing principal at a rate of 12.0% per annum. On the maturity date, the Company will pay the interest then due by adding such outstanding interest to the aggregate principal amount of the loans.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CA Note is secured by a first priority lien on substantially all of the Company’s assets, pursuant to that certain security agreement, dated as of March 21, 2024, by and between the Company and CA.</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CA Note is subject to a subordination agreement (the “Subordination Agreement”) among the Agent and the Lenders, CA, and the Company. Under the Subordination Agreement, (1) the Agent and the Lenders agree to subordinate their liens on the collateral to the liens of CA securing the CA Note, (2) CA agrees that, prior to repayment of amounts payable to the Lenders, it will not take any enforcement action with respect to the CA Note without the consent of the Agent, (3) the Agent will retain the sole right to engage in enforcement actions and otherwise manage the collateral, and (4) the Agent and/or the Lenders, at any time, may purchase the outstanding loans, at par, without regard to any prepayment penalty or premium.</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Premium Financing</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On October 4, 2023, the Company entered into a premium financing agreement to finance approximately $0.8 million in the form of a term loan, which is secured by the Company’s insurance policies. The proceeds of the loan will be used to pay insurance premiums for Directors and Officers (“D&amp;O”) insurance. The related interest rate is 8.43% with monthly principal and interest payments of $0.1 million and a maturity date of May 21,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Previously Issued Convertible Promissory Notes</w:t>
      </w:r>
    </w:p>
    <w:p>
      <w:pPr>
        <w:spacing w:after="0" w:line="22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As of June 30, 2022, the Company had $89.7 million of convertible notes outstanding to various investors, all of which were accounted for under the fair value option. In conjunction with the Merger all convertible promissory notes and embedded warrants</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converted into shares of common stock. As a consequence of the note and warrant conversion, 8,147,938 shares of common stock were issued. Immediately prior to conversion, the convertible promissory notes were remeasured to the then fair value of $41.4 million, resulting in a gain on remeasurement of $48.3 million which was recorded within change in fair value of warrants and convertible promissory notes on the condensed consolidated statement of operations and comprehensive income (loss) for the nine months ended March 31, 2023. As a consequence of the conversion, $41.4 million was reclassified into additional paid-in capital. Accordingly, there were no remeasurement effects related to the convertible promissory notes, as such notes were no longer outstanding during the three months ended March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Term Loans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Horizon Term Loan</w:t>
      </w:r>
    </w:p>
    <w:p>
      <w:pPr>
        <w:spacing w:after="0" w:line="227"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On March 4, 2021, the Company entered into a loan agreement (the “Horizon Loan”) with Horizon Technology Finance Corporation, which provided the Company with $15.0 million, bears interest at prime rate plus 6.5% per annum, and had a term of 54 months from each loan funding date.</w:t>
      </w:r>
    </w:p>
    <w:p>
      <w:pPr>
        <w:spacing w:after="0" w:line="176"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entry into the Credit Agreement (described above), on September 21, 2022 the Company repaid the Horizon Loan making a cash disbursement of $17.0 million, of which $15.0 million was repayment of principal and $0.6 million was payment of interest expense and accrued interest. Further on the date of the Merger, $1.7 million was recorded as a loss on extinguishment of debt and financial obligations on the condensed consolidated statement of operations and comprehensive income (loss) for the nine months ended March 31,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Lago Term Loans</w:t>
      </w:r>
    </w:p>
    <w:p>
      <w:pPr>
        <w:spacing w:after="0" w:line="22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On March 11, 2022, the Company entered into a loan agreement (the “Lago Loan”) with Lago Innovation Fund I &amp; II, LLC, which provided the Company with $12.6 million, bears interest at the greater of 12% plus the greater of 1% or 30 day LIBOR, bears 2% payable in kind interest, and matured on April 1, 2023.</w:t>
      </w:r>
    </w:p>
    <w:p>
      <w:pPr>
        <w:spacing w:after="0" w:line="176"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On August 4, 2022, the Company amended the Lago Loan which provided the Company with $5.3 million. Further, as part of the amendment to the Lago Loan, the Company issued an additional 169,310 warrants to purchase common stock with the additional tranche. The Company determined that the amendment with Lago should be accounted for as an extinguishment of debt and recorded a loss on extinguishment of debt and financial obligations of $6.0 million on its condensed consolidated statement of operations and comprehensive income (loss) for the nine months ended March 31, 2023.</w:t>
      </w:r>
    </w:p>
    <w:p>
      <w:pPr>
        <w:spacing w:after="0" w:line="18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entry into the Credit Agreement (described above) on September 21, 2022, the Company repaid all outstanding loans to Lago by making a cash disbursement of $22.4 million, of which $17.9 million was repayment of principal and $0.1 million was payment of payable in-kind interest. Further, $4.4 million of cash was paid related to prepayment and other penalties.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Paycheck Protection Program Loans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March 2021, the Company obtained a Paycheck Protection Program (“PPP”) loan in the amount of $2.0 million through the U.S. Small Business Administration. The loan was to be fully forgiven if the funds received were used for payroll costs, interest on mortgages, rent, and utilities, with at least 60% being used for payroll. The Company utilized the funds for these purposes and applied for loan forgiveness of the PPP funds. The Company’s accounting policy provides that if the loans are forgiven, the forgiven loan balance will be recognized as income in the period of forgiveness. During the nine months ended March 31, 2023, the Company received forgiveness of the PPP loan of $2.0 million and recognized income on forgiveness within other income, net in the Company’s condensed consolidated statements of operations and comprehensive income (loss).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Future principal payments on debt including interest payments elected to be capitalized as PIK Interest and assuming no events of default for the Company’s fiscal years were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As of March 31,</w:t>
            </w:r>
          </w:p>
        </w:tc>
      </w:tr>
      <w:tr>
        <w:trPr>
          <w:trHeight w:val="213"/>
        </w:trPr>
        <w:tc>
          <w:tcPr>
            <w:tcW w:w="85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53,119</w:t>
            </w: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10,069</w:t>
            </w:r>
          </w:p>
        </w:tc>
      </w:tr>
      <w:tr>
        <w:trPr>
          <w:trHeight w:val="210"/>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payments on debt obligations</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67,409</w:t>
            </w:r>
          </w:p>
        </w:tc>
      </w:tr>
      <w:tr>
        <w:trPr>
          <w:trHeight w:val="20"/>
        </w:trPr>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Warranties, Indemnification, and Contingencies</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Company enters into service level agreements with customers which warrant defined levels of uptime and support response times and permit those customers to receive credits for prepaid amounts in the event that those performance and response levels are not met. The Company has incurred costs to refurbish customer tablets in the three and nine months ended March 31, 2024 of $0.3 million and $0.8 million, respectively, and in the three and nine months ended March 31, 2023, of $0.3 million and $1.2 million, respectively, which are recorded in cost of platform revenue in the Company’s condensed consolidated statement of operations and comprehensive income (loss). In connection with the service level agreements, the Company has recorded $0.4 million in accrued liabilities in the condensed consolidated balance sheets for expected repair costs for customer tablets currently in the Company’s return merchandise authorization process as of June 30, 2023. There is no liability for service level agreements as of March 31, 2024.</w:t>
      </w:r>
    </w:p>
    <w:p>
      <w:pPr>
        <w:spacing w:after="0" w:line="19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contractual arrangements under which the Company agrees to provide indemnification of varying scope and terms to business partners and other parties with respect to certain matters, including, but not limited to, losses arising out of the breach of such agreements, intellectual property infringement claims made by third parties, and other liabilities relating to or arising from the Company’s solutions or the Company’s acts or omissions. In these circumstances, payment may be conditional on the other party making a claim pursuant to the procedures specified in the particular contract. Further, the Company’s obligations under these agreements may be limited in terms of time and/or amount, and in some instances, the Company may have recourse against third parties for certain payments.</w:t>
      </w:r>
    </w:p>
    <w:p>
      <w:pPr>
        <w:spacing w:after="0" w:line="18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 addition, the Company has agreed to indemnify the Company’s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D&amp;O insurance coverage that may enable the Company to recover a portion of any future amounts paid.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may be subject from time to time to various proceedings, lawsuits, disputes, or claims. The Company makes a provision for a liability relating to legal matters when it is both probable that a liability has been incurred and the amount of the loss can be reasonably estimated. These estimates are reviewed at least quarterly and adjusted to reflect the impacts of negotiations, estimated settlements, legal rulings, advice of legal counsel, and other information and events pertaining to a particular matter. In general, the resolution of a legal matter could be material to the Company’s financial condition or cash flows, or both, or could otherwise adversely affect the Company’s operating results. The outcomes of legal proceedings and other contingencies are, however, inherently unpredictable, and subject to significant uncertainties. At this time, other than identified below, the Company does not have any such matters that, if resolved unfavorably, could reasonably be expected to have a material impact on its financial condition, results of operations or cash flows.</w:t>
      </w:r>
    </w:p>
    <w:p>
      <w:pPr>
        <w:spacing w:after="0" w:line="188"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In February 2022, the Company was added as a co-defendant in a patent infringement lawsuit in the U.S. District Court for the district of Delaware that was brought against Hi Auto, Inc. by Valyant AI, Inc. (“Valyant”) in December 2021, alleging infringement of Valyant’s patent relating to a speech-based/natural language order process system. The lawsuit sought to enjoin the co-defendants from continued alleged infringement and sought unspecified statutory and other damages. On October 23, 2023, the patent infringement lawsuit for which the Company was named as a co-defendant was dismissed.</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In June 2022, the Company received a favorable arbitrator ruling from the Singapore International Arbitration Center related to a matter with its third-party subcontractor, XAC Automation Corp (“XAC”) and was awarded approximately $11.3 million in damages related to the Company’s loss on infrequent product repairs and to cover its legal expenses. This arbitration ruling was affirmed by the appellate court in the country of the arbitration ruling on March 6, 2023. The vendor appealed the ruling to the highest court in that country in May 2023. In a decision rendered on January 16, 2024 by the Singapore Court of Appeal, the Company obtained a favorable verdict in the final hearing regarding its case against XAC. The Court dismissed XAC’s appeal and upheld the award of $11.3 million previously made to the Company. XAC has no further recourse to set aside the award and the Company is able to seek to enforce the award against XAC in Taiwan, the country of XAC’s domicile, going forward. The Company intends to pursue full collection of this award from XAC in Taiwan, which involves domesticating the award there and may take between several months to more than a year. The award has not met the criteria to be considered realizable as of March 31, 2024. As a result, the Company has not recognized any gain related to this settlement in its condensed consolidated statement of operations and comprehensive income (loss).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fiscal year 2023, the Company received a legal demand with certain former employees who were part of its May</w:t>
      </w:r>
    </w:p>
    <w:p>
      <w:pPr>
        <w:spacing w:after="0" w:line="27"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2022 acquisition of Cyborg Ops, Inc. The demand relates to the basis of their change in employment status and whether certain unvested equity in the amount of 256,891 restricted stock awards for employee terminations during fiscal year 2023, which were forfeited and cancelled upon their departure in accordance with the terms of their employment contracts, warranted full and accelerated vestiture upon their last date of employment with the Company. A further termination occurred in the first fiscal quarter of 2024 for which an incremental amount of restricted stock units of 97,881 are included in the legal demand. The Company maintains that it is not probable that there is a financial obligation related to this matter nor can the Company estimate any reasonable possible loss at this time, accordingly the Company has not recorded a charge for this matter.</w:t>
      </w:r>
    </w:p>
    <w:p>
      <w:pPr>
        <w:spacing w:after="0" w:line="3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July 2023, the Company and certain of its current and former executive officers received notices of preservation</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and subpoenas from the staff of the SEC stating that the SEC had commenced a formal investigation into disclosures that the Company had made regarding certain aspects of its AI technology. The Company also received a preliminary request for information from the U.S. Department of Justice (DOJ) regarding substantially the same subject matter. The Company is cooperating fully with the SEC and DOJ, including responding to the subpoena and requests for information. The timing and outcome of these investigations is difficult to predict. The Company has incurred, and may continue to incur, significant expenses related to legal, accounting and other professional services in connection with these investigations. At this stage, the Company is unable to assess whether any material loss is reasonably possible as a result of these investigations or estimate the range of any potential loss.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 Deficit</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Effective with the closing of the Merger the Company restated its articles of incorporation. Under the amended and restated articles of incorporation the Company is authorized to issue 180,000,000 shares of common stock and 1,500,000 shares of preferred stock. Following Board approval, on February 26, 2024, the stockholders of the Company approved an amendment to the second amended and restated certificate of incorporation of the Company which increased the number of authorized shares of common stock of the Company from 180,000,000 shares to 100,000,000,000 shares. The holders of common stock shall have the right to one vote for each share of common stock held.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October Purchase Agreement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October 10, 2023, the Company entered into a Securities Purchase Agreement (the “October Purchase Agreement”) with CA, which closed on October 16, 2023, pursuant to which the Company agreed to sell an aggregate of 1,500,000 newly issued shares of the Company’s common stock, at a purchase price of $2.00 per share for an aggregate purchase price of $3.0 million. The October Purchase Agreement contains customary representations, warranties and covenants of the parties, and the closing is subject to customary closing conditions. In addition, the October Purchase Agreement includes anti-dilution provisions relating to future issuances or deemed issuances of common stock from the closing date to April 1, 2024 at a price per share below $2.00 per share, which would require the Company to issue additional shares of common stock to CA, upon the terms and subject to the conditions contained in the October Purchase Agreement. The anti-dilution provisions were triggered by the November 2023 Offering (as defined below), the January 2024 Offering and the February Offering (as defined below), and required the Company to issue 9.0 million and 10.5 million additional shares in the aggregate to CA for the three and nine months ended March 31, 2024. The down-round provision is accounted for when it is triggered as a deemed dividend. On March 21, 2024 the Company entered into a second amendment to the October Purchase Agreement which extended the anti-dilution coverage through September 30, 2024 and re-affirmed the triggering price to $0.25 per share.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November 2023 Capital Raise</w:t>
      </w:r>
    </w:p>
    <w:p>
      <w:pPr>
        <w:spacing w:after="0" w:line="229" w:lineRule="exact"/>
        <w:rPr>
          <w:sz w:val="20"/>
          <w:szCs w:val="20"/>
          <w:color w:val="auto"/>
        </w:rPr>
      </w:pPr>
    </w:p>
    <w:p>
      <w:pPr>
        <w:ind w:right="360" w:firstLine="648"/>
        <w:spacing w:after="0" w:line="258" w:lineRule="auto"/>
        <w:rPr>
          <w:sz w:val="20"/>
          <w:szCs w:val="20"/>
          <w:color w:val="auto"/>
        </w:rPr>
      </w:pPr>
      <w:r>
        <w:rPr>
          <w:rFonts w:ascii="Times New Roman" w:cs="Times New Roman" w:eastAsia="Times New Roman" w:hAnsi="Times New Roman"/>
          <w:sz w:val="18"/>
          <w:szCs w:val="18"/>
          <w:color w:val="auto"/>
        </w:rPr>
        <w:t>On November 17, 2023, the Company entered into agreements (the “November Purchase Agreements”) with a syndicate of investors (the “November Purchasers”) for the sale of 7,000,000 shares of the Company’s common stock in a registered offering that resulted in gross proceeds of $7.0 million (the “November 2023 Offering”). As part of the offering, a related party, Zaffran Special Opportunities, LLC, received an additional 750,000 shares, for total shares issued of 7,750,000. The offering resulted in fees of $0.8 million and closed on November 21, 2023.</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November Purchase Agreements include anti-dilution provisions relating to future issuances or deemed issuances of the Company’s common stock from November 21, 2023 to April 1, 2024 at a price per share below $1.00, which would require the Company to issue additional shares of common stock to the purchasers, upon the terms and subject to the conditions contained in the November Purchase Agreements.</w:t>
      </w:r>
    </w:p>
    <w:p>
      <w:pPr>
        <w:spacing w:after="0" w:line="18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November 2023 Offering triggered anti-dilution provisions in the October Purchase Agreement and the Third Amendment Conversion Warrants. Refer to Note 10 for details on the impact on the Third Amendment Conversion Warrants. Pursuant to the October Purchase Agreement, the Company was required to issue 1,500,000 additional shares to CA. The triggering of the anti-dilution provision was accounted for as a deemed dividend when it occurred resulting in a $1.5 million offsetting adjustment within additional paid-in capital. The Company agreed with each of CA, and the Lenders that the “New Issuance Price” (as defined in the October Purchase Agreement and Third Amendment Conversion Warrants, respectively) would be $1.00.</w:t>
      </w:r>
    </w:p>
    <w:p>
      <w:pPr>
        <w:spacing w:after="0" w:line="187"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On November 17, 2023, the Company entered into a placement agency agreement (the “Placement Agency Agreement”) with Northland Securities, Inc. (“Northland”), Chardan Capital Markets LLC (“Chardan”) and The Benchmark Company, LLC (“Benchmark”), to act as exclusive placement agents in connection with the November 2023 Offering (collectively, the “Placement Agents”). The Company agreed to (i) pay the Placement Agents a cash fee equal to $0.5 million, (ii) reimburse Northland up to $0.1 million for its reasonable and documented offering-related legal and other expenses and (iii) reimburse Benchmark and Chardan $15,000 each for reasonable and documented offering-related expenses. The placement agency fees combined were $0.6 million and including legal and other fees of $0.5 million resulted in aggregate costs of $1.1 million which were recorded to equity as an offset to proceeds received in the condensed consolidated statement of stockholders’ deficit.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Triggering and Partial Waiver of Anti-dilution Protection Associated with the January 2024 Offering</w:t>
      </w:r>
    </w:p>
    <w:p>
      <w:pPr>
        <w:spacing w:after="0" w:line="229"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The issuance of the January 2024 Convertible Notes triggered anti-dilution adjustment provisions in the October Purchase Agreement, the Third Amendment Conversion Warrants and the November Purchase Agreements. Refer to Note 10 for details on the impact on the Third Amendment Conversion Warrants.</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investors in the October Purchase Agreement and the November Purchase Agreements (other than one investor holding 1,000,000 shares) and the Lenders agreed that the “New Issuance Price” for the purpose of anti-dilution protection would be $0.40 and not $0.25. For the one investor holding 1,000,000 shares, the “New Issuance Price” was $0.25. As a result, the Company issued 12,000,000 additional shares of the Company’s common stock to the investors in the October Purchase Agreement and the November Purchase Agreements, which was accounted for as a deemed dividend resulting in a $7.7 million offsetting adjustment within additional paid-in capital. Additional shares issued includes the one investor holding 1,000,000 shares who received 3,000,000 additional shares and excludes the lead investor holding 3,000,000 shares that were forfeited and exchanged for $3.0 million principal amount of January 2024 Convertible Notes.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March Equity Raises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On February 29, 2024, the Company entered into securities purchase agreements (the “February Purchase Agreement”) with several investors (the “February Purchasers”) relating to the issuance and sale of an aggregate of 8,533,000 shares of common stock, (the “February Offering”) for aggregate gross proceeds to the Company of $2.1 million, before deducting placement agent fees and other expenses of $0.5 million. The February Offering closed on March 4, 2024.</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14, 2024, the Company entered into securities purchase agreements (the “March Purchase Agreement”) with several investors (the “March Purchasers”) relating to the issuance and sale of an aggregate of 4,800,000 shares of common stock, (the “March Offering”) for aggregate gross proceeds to the Company of $1.2 million, before deducting placement agent fees and other expenses of $0.2 million. The March Offering closed on March 18, 2024.</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February Offering triggered anti-dilution adjustment provisions in the October Purchase Agreement, the Third Amendment Conversion Warrants, the Fifth Amendment Warrants and the November Purchase Agreements. Refer to Note 10 for details on the impact on the Third Amendment Conversion Warrants and the Fifth Amendment Warrants. CA received 4,500,000 additional shares and the November Purchasers received 4,500,000 additional shares, and there was a reduction of the New Issuance Price from $0.40 to $0.25. The additional shares issued were accounted for as a deemed dividend resulting in a $1.4 million offsetting adjustment within additional paid-in capital.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Common Stock Transactions</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On September 15, 2022, the Company (then Legacy Presto), received an equity investment of $1.0 million from an investor in exchange for 133,333 shares in the Company. Further, such investor held a significant portion of outstanding convertible notes on the date the investment was made. The Company recorded the proceeds received as an increase to additional paid-in capital.</w:t>
      </w:r>
    </w:p>
    <w:p>
      <w:pPr>
        <w:spacing w:after="0" w:line="176"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On September 21, 2022, in connection with the closing of the Merger, Ventoux and Legacy Presto and a proposed convertible note lender (“Silver Rock”) agreed to terminate the proposed amended and restated convertible note subscription agreement, dated July 25, 2022, which was to be funded at the closing of the Merger. Pursuant to the termination agreement, Silver Rock agreed to the termination in exchange for 400,000 shares of common stock of Legacy Presto which were converted into 323,968 shares of Company common stock pursuant to the terms of the Merger Agreement. The share transfer was determined to be a termination fee valued at $1.6 million for the nine months ended March 31, 2023, recorded within other financing and financial instrument (costs) income, net on the condensed consolidated statement of operations and comprehensive income (loss), with an offsetting increase to additional paid-in capital. The Company also agreed to pay certain expenses of Silver Rock in the amount of $0.5 million during the nine months ended March 31, 2023, which is recorded within other financing and financial instrument (costs) income, net on the condensed consolidated statement of operations and comprehensive income (loss). In addition to the consideration transferred directly by the Company, 500,000 warrants to purchase common stock, held by the Sponsors, were transferred to Silver Rock. The substance of the warrant transfer by the Sponsor to Silver Rock under the termination agreement was such that the Sponsors made a capital contribution to the Company, and the Company then made a share-based payment to Silver Rock in exchange for termination of the convertible note agreement. Accordingly, the Company recorded the transaction during the nine months ended March 31, 2023, as other financing cost of $0.8 million within other financing and financial instrument (costs) income, net on the condensed consolidated statement of operations and comprehensive income (loss) with an offsetting increase to additional paid-in capital for the contribution.</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the following shares of common stock reserved for future issuance: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9"/>
        </w:trPr>
        <w:tc>
          <w:tcPr>
            <w:tcW w:w="810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8100" w:type="dxa"/>
            <w:vAlign w:val="bottom"/>
            <w:tcBorders>
              <w:bottom w:val="single" w:sz="8" w:color="CCEEFF"/>
            </w:tcBorders>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10"/>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53,857,731</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January 2024 Convertible Notes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36,000,000</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2024 Convertible Note</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3,840,000</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options and RSUs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8,431,424</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available for future grants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3,722,827</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Sponsor share liability</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444,500</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Earnout shares</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14,049,457</w:t>
            </w:r>
          </w:p>
        </w:tc>
      </w:tr>
      <w:tr>
        <w:trPr>
          <w:trHeight w:val="210"/>
        </w:trPr>
        <w:tc>
          <w:tcPr>
            <w:tcW w:w="8100" w:type="dxa"/>
            <w:vAlign w:val="bottom"/>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120,345,939</w:t>
            </w:r>
          </w:p>
        </w:tc>
      </w:tr>
      <w:tr>
        <w:trPr>
          <w:trHeight w:val="20"/>
        </w:trPr>
        <w:tc>
          <w:tcPr>
            <w:tcW w:w="8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Warrants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Since inception, the Company has issued warrants in conjunction with various debt financings. The Company accounts for its warrants in accordance with ASC 815-40 as either liabilities or as equity instruments depending on the specific terms of the warrant agreement. Warrants are classified as liabilities when there is variability in the number of shares, and when the variability is not related to an implicit or explicit input to the valuation of the Company. Liability-classified warrants are remeasured at each reporting date until settlement, with changes in the fair value recognized in change in fair value of warrants and convertible notes in the condensed consolidated statement of operations and comprehensive income (loss). Warrants that meet the fixed-for-fixed criteria or contain variability related to an implicit or explicit input to the valuation of the Company are classified as equity instruments. Warrants classified as equity instruments are initially recognized at fair value and are not subsequently remeasured.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Issuances to Purchase Common Stock</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On October 16, 2023, in connection with the Third Amendment, the Company granted the Third Amendment Conversion Warrants and the Third Amendment Fee Warrants to purchase 3,000,000 and 25,000 shares of common stock, respectively, with an exercise price of $0.01 per share (refer to Note 7 for additional details of the Third Amendment Conversion Warrants). The Third Amendment Conversion Warrants include anti-dilution provisions relating to future issuances or deemed issuances of common stock from the issuance date of the Third Amendment Conversion Warrants to April 1, 2024 at a price per share below $2.00 per share, which would require the Company to issue additional shares of common stock to the lenders, upon the terms and subject to the conditions contained in the agreement. The anti-dilution provisions of the Third Amendment Conversion Warrants were triggered by the November 2023 Offering and the Company was required to increase the number of shares issuable under the Third Amendment Conversion Warrants from 3,000,000 to 6,000,000 shares of common stock and the triggering price was reduced to $1.00 per share. The anti-dilution provisions were further triggered by the January 2024 Offering and the Company was required to increase the number of shares issuable under the Third Amendment Conversion Warrants from 6,000,000 to 15,000,000 shares of common stock and the triggering purchase price was reduced to $0.40 per share. The anti-dilution provisions were further triggered by the February Offering and the Company was required to increase the number of shares issuable under the Third Amendment Conversion Warrants from 15,000,000 to 24,000,000 shares of common stock and the triggering purchase price was reduced to $0.25 per share. The increase in the fair value of the warrants is recorded to change in fair value of warrants and convertible promissory notes on the condensed consolidated statement of operations and comprehensive income (loss). On March 21, 2024, the Third Amendment Conversion Warrants was amended and restated to extend the anti-dilution coverage from April 1, 2024 to September 30, 2024. The effects of the anti-dilution amendment is included in the change in the warrant liability during and as of the three months ended March 31, 2024.</w:t>
      </w:r>
    </w:p>
    <w:p>
      <w:pPr>
        <w:spacing w:after="0" w:line="19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January 31, 2024, in connection with the Fifth Amendment, the Company issued the Fifth Amendment Warrants to purchase 5,323,298 shares of common stock, with an exercise price of $0.01 per share. The Fifth Amendment Warrants are subject to anti-dilution provisions relating to future issuances or deemed issuances of common stock from the issuance date of the Fifth Amendment Warrants to April 1, 2024 at a price per share below $0.40, upon the terms and subject to the conditions contained in the Fifth Amendment Warrants. The anti-dilution provisions of the Fifth Amendment Warrants were triggered by the February Offering and the Company was required to increase the number of shares issuable under the Fifth Amendment Warrants from 5,323,298 to 8,517,278 shares of common stock, and the triggering purchase price was reduced to $0.25 per share. The increase in the fair value of the warrants is recorded to change in fair value of warrants and convertible promissory notes on the condensed consolidated statement of operations and comprehensive income (loss). On March 21, 2024, the Fifth Amendment Warrants were amended and restated to extend the anti-dilution coverage from April 1, 2024 to September 30, 2024. The effects of the anti-dilution amendment is included in the change in the warrant liability during and as of the three months ended March 31, 2024.</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represent the warrants outstanding and the underlying common stock as of March 31, 2024 and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142"/>
        </w:trPr>
        <w:tc>
          <w:tcPr>
            <w:tcW w:w="4200" w:type="dxa"/>
            <w:vAlign w:val="bottom"/>
          </w:tcPr>
          <w:p>
            <w:pPr>
              <w:spacing w:after="0"/>
              <w:rPr>
                <w:sz w:val="12"/>
                <w:szCs w:val="12"/>
                <w:color w:val="auto"/>
              </w:rPr>
            </w:pPr>
          </w:p>
        </w:tc>
        <w:tc>
          <w:tcPr>
            <w:tcW w:w="11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Expiration date</w:t>
            </w:r>
          </w:p>
        </w:tc>
        <w:tc>
          <w:tcPr>
            <w:tcW w:w="16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6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240" w:type="dxa"/>
            <w:vAlign w:val="bottom"/>
          </w:tcPr>
          <w:p>
            <w:pPr>
              <w:spacing w:after="0"/>
              <w:rPr>
                <w:sz w:val="12"/>
                <w:szCs w:val="12"/>
                <w:color w:val="auto"/>
              </w:rPr>
            </w:pPr>
          </w:p>
        </w:tc>
        <w:tc>
          <w:tcPr>
            <w:tcW w:w="104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Term (years)</w:t>
            </w:r>
          </w:p>
        </w:tc>
        <w:tc>
          <w:tcPr>
            <w:tcW w:w="9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Classification</w:t>
            </w:r>
          </w:p>
        </w:tc>
      </w:tr>
      <w:tr>
        <w:trPr>
          <w:trHeight w:val="209"/>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[C]</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12,811</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w:t>
            </w:r>
          </w:p>
        </w:tc>
        <w:tc>
          <w:tcPr>
            <w:tcW w:w="42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41,636</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[C]</w:t>
            </w:r>
          </w:p>
        </w:tc>
        <w:tc>
          <w:tcPr>
            <w:tcW w:w="4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16,654</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2026</w:t>
            </w:r>
          </w:p>
        </w:tc>
        <w:tc>
          <w:tcPr>
            <w:tcW w:w="42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84,461</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6.5</w:t>
            </w:r>
          </w:p>
        </w:tc>
        <w:tc>
          <w:tcPr>
            <w:tcW w:w="1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2028</w:t>
            </w:r>
          </w:p>
        </w:tc>
        <w:tc>
          <w:tcPr>
            <w:tcW w:w="4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404,961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[D]</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6.7</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42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178,395</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March 2026</w:t>
            </w:r>
          </w:p>
        </w:tc>
        <w:tc>
          <w:tcPr>
            <w:tcW w:w="4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57,952</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2027</w:t>
            </w:r>
          </w:p>
        </w:tc>
        <w:tc>
          <w:tcPr>
            <w:tcW w:w="42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86,532</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2027</w:t>
            </w:r>
          </w:p>
        </w:tc>
        <w:tc>
          <w:tcPr>
            <w:tcW w:w="4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402,679</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42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182,158</w:t>
            </w:r>
          </w:p>
        </w:tc>
        <w:tc>
          <w:tcPr>
            <w:tcW w:w="24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2031</w:t>
            </w:r>
          </w:p>
        </w:tc>
        <w:tc>
          <w:tcPr>
            <w:tcW w:w="4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27,577</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42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294,725</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[B]</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March 2032</w:t>
            </w:r>
          </w:p>
        </w:tc>
        <w:tc>
          <w:tcPr>
            <w:tcW w:w="4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374,912</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2027</w:t>
            </w:r>
          </w:p>
        </w:tc>
        <w:tc>
          <w:tcPr>
            <w:tcW w:w="42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2027</w:t>
            </w:r>
          </w:p>
        </w:tc>
        <w:tc>
          <w:tcPr>
            <w:tcW w:w="4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[H]</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2027</w:t>
            </w:r>
          </w:p>
        </w:tc>
        <w:tc>
          <w:tcPr>
            <w:tcW w:w="42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6,125,000</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March 2028</w:t>
            </w:r>
          </w:p>
        </w:tc>
        <w:tc>
          <w:tcPr>
            <w:tcW w:w="4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[F]</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2028</w:t>
            </w:r>
          </w:p>
        </w:tc>
        <w:tc>
          <w:tcPr>
            <w:tcW w:w="42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[G]</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October 2028</w:t>
            </w:r>
          </w:p>
        </w:tc>
        <w:tc>
          <w:tcPr>
            <w:tcW w:w="4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24,025,000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[J]</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216"/>
        </w:trPr>
        <w:tc>
          <w:tcPr>
            <w:tcW w:w="4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Common</w:t>
            </w:r>
          </w:p>
        </w:tc>
        <w:tc>
          <w:tcPr>
            <w:tcW w:w="11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January 2029</w:t>
            </w:r>
          </w:p>
        </w:tc>
        <w:tc>
          <w:tcPr>
            <w:tcW w:w="420" w:type="dxa"/>
            <w:vAlign w:val="bottom"/>
            <w:tcBorders>
              <w:bottom w:val="single" w:sz="8" w:color="CCEEFF"/>
            </w:tcBorders>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8,517,278</w:t>
            </w:r>
          </w:p>
        </w:tc>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[K]</w:t>
            </w:r>
          </w:p>
        </w:tc>
        <w:tc>
          <w:tcPr>
            <w:tcW w:w="9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210"/>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53,857,731</w:t>
            </w: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575"/>
        </w:trPr>
        <w:tc>
          <w:tcPr>
            <w:tcW w:w="420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2023</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42"/>
        </w:trPr>
        <w:tc>
          <w:tcPr>
            <w:tcW w:w="4200" w:type="dxa"/>
            <w:vAlign w:val="bottom"/>
          </w:tcPr>
          <w:p>
            <w:pPr>
              <w:spacing w:after="0"/>
              <w:rPr>
                <w:sz w:val="12"/>
                <w:szCs w:val="12"/>
                <w:color w:val="auto"/>
              </w:rPr>
            </w:pPr>
          </w:p>
        </w:tc>
        <w:tc>
          <w:tcPr>
            <w:tcW w:w="11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Expiration date</w:t>
            </w:r>
          </w:p>
        </w:tc>
        <w:tc>
          <w:tcPr>
            <w:tcW w:w="16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6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240" w:type="dxa"/>
            <w:vAlign w:val="bottom"/>
          </w:tcPr>
          <w:p>
            <w:pPr>
              <w:spacing w:after="0"/>
              <w:rPr>
                <w:sz w:val="12"/>
                <w:szCs w:val="12"/>
                <w:color w:val="auto"/>
              </w:rPr>
            </w:pPr>
          </w:p>
        </w:tc>
        <w:tc>
          <w:tcPr>
            <w:tcW w:w="104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Term (years)</w:t>
            </w:r>
          </w:p>
        </w:tc>
        <w:tc>
          <w:tcPr>
            <w:tcW w:w="9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Classification</w:t>
            </w: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[C]</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12,811</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w:t>
            </w:r>
          </w:p>
        </w:tc>
        <w:tc>
          <w:tcPr>
            <w:tcW w:w="42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41,636</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[C]</w:t>
            </w:r>
          </w:p>
        </w:tc>
        <w:tc>
          <w:tcPr>
            <w:tcW w:w="4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16,654</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2026</w:t>
            </w:r>
          </w:p>
        </w:tc>
        <w:tc>
          <w:tcPr>
            <w:tcW w:w="42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84,461</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6.5</w:t>
            </w:r>
          </w:p>
        </w:tc>
        <w:tc>
          <w:tcPr>
            <w:tcW w:w="1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2028</w:t>
            </w:r>
          </w:p>
        </w:tc>
        <w:tc>
          <w:tcPr>
            <w:tcW w:w="4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404,961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[D]</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6.7</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42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178,395</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March 2026</w:t>
            </w:r>
          </w:p>
        </w:tc>
        <w:tc>
          <w:tcPr>
            <w:tcW w:w="4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57,952</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2027</w:t>
            </w:r>
          </w:p>
        </w:tc>
        <w:tc>
          <w:tcPr>
            <w:tcW w:w="42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86,532</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2027</w:t>
            </w:r>
          </w:p>
        </w:tc>
        <w:tc>
          <w:tcPr>
            <w:tcW w:w="4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402,679</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42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182,158</w:t>
            </w:r>
          </w:p>
        </w:tc>
        <w:tc>
          <w:tcPr>
            <w:tcW w:w="24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2031</w:t>
            </w:r>
          </w:p>
        </w:tc>
        <w:tc>
          <w:tcPr>
            <w:tcW w:w="4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27,577</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42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294,725</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[B]</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March 2032</w:t>
            </w:r>
          </w:p>
        </w:tc>
        <w:tc>
          <w:tcPr>
            <w:tcW w:w="4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374,912</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2027</w:t>
            </w:r>
          </w:p>
        </w:tc>
        <w:tc>
          <w:tcPr>
            <w:tcW w:w="42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2027</w:t>
            </w:r>
          </w:p>
        </w:tc>
        <w:tc>
          <w:tcPr>
            <w:tcW w:w="4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[H]</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2027</w:t>
            </w:r>
          </w:p>
        </w:tc>
        <w:tc>
          <w:tcPr>
            <w:tcW w:w="42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6,125,000</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March 2028</w:t>
            </w:r>
          </w:p>
        </w:tc>
        <w:tc>
          <w:tcPr>
            <w:tcW w:w="4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[F]</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216"/>
        </w:trPr>
        <w:tc>
          <w:tcPr>
            <w:tcW w:w="4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Common</w:t>
            </w:r>
          </w:p>
        </w:tc>
        <w:tc>
          <w:tcPr>
            <w:tcW w:w="11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May 2028</w:t>
            </w:r>
          </w:p>
        </w:tc>
        <w:tc>
          <w:tcPr>
            <w:tcW w:w="420" w:type="dxa"/>
            <w:vAlign w:val="bottom"/>
            <w:tcBorders>
              <w:bottom w:val="single" w:sz="8" w:color="CCEEFF"/>
            </w:tcBorders>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[G]</w:t>
            </w:r>
          </w:p>
        </w:tc>
        <w:tc>
          <w:tcPr>
            <w:tcW w:w="9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209"/>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21,315,453</w:t>
            </w: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period presentation of exercise price has been corrected to reflect the adjusted contractual price.</w:t>
      </w:r>
    </w:p>
    <w:p>
      <w:pPr>
        <w:spacing w:after="0" w:line="207" w:lineRule="exact"/>
        <w:rPr>
          <w:sz w:val="20"/>
          <w:szCs w:val="20"/>
          <w:color w:val="auto"/>
        </w:rPr>
      </w:pPr>
    </w:p>
    <w:p>
      <w:pPr>
        <w:ind w:left="660" w:right="440" w:hanging="652"/>
        <w:spacing w:after="0" w:line="281" w:lineRule="auto"/>
        <w:tabs>
          <w:tab w:leader="none" w:pos="30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Warrants will expire at the earliest of a consummation of an acquisition or one year after the effective date of a registration statement for an initial public offering.</w:t>
      </w:r>
    </w:p>
    <w:p>
      <w:pPr>
        <w:spacing w:after="0" w:line="1" w:lineRule="exact"/>
        <w:rPr>
          <w:rFonts w:ascii="Times New Roman" w:cs="Times New Roman" w:eastAsia="Times New Roman" w:hAnsi="Times New Roman"/>
          <w:sz w:val="18"/>
          <w:szCs w:val="18"/>
          <w:color w:val="auto"/>
        </w:rPr>
      </w:pPr>
    </w:p>
    <w:p>
      <w:pPr>
        <w:jc w:val="both"/>
        <w:ind w:left="660" w:right="160" w:hanging="652"/>
        <w:spacing w:after="0" w:line="261" w:lineRule="auto"/>
        <w:tabs>
          <w:tab w:leader="none" w:pos="29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Warrant has the option of being converted into a variable number of shares based on the class of shares that the warrant is exercised at the discretion of the warrant holder. The Company notes the most likely conversion is to common stock and have calculated the number of shares as the quotient of the aggregate warrant coverage dollar amount value of $1.9 million over the exercise price of $6.53 per share as of March 31, 2024 and June 30, 2023. Warrant will also expire at the earliest of</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right="20"/>
        <w:spacing w:after="0" w:line="281" w:lineRule="auto"/>
        <w:rPr>
          <w:sz w:val="20"/>
          <w:szCs w:val="20"/>
          <w:color w:val="auto"/>
        </w:rPr>
      </w:pPr>
      <w:r>
        <w:rPr>
          <w:rFonts w:ascii="Times New Roman" w:cs="Times New Roman" w:eastAsia="Times New Roman" w:hAnsi="Times New Roman"/>
          <w:sz w:val="18"/>
          <w:szCs w:val="18"/>
          <w:color w:val="auto"/>
        </w:rPr>
        <w:t>10 years from the issuance date of March 5, 2021 or a consummation of an acquisition in which the sole consideration is cash or marketable securities.</w:t>
      </w:r>
    </w:p>
    <w:p>
      <w:pPr>
        <w:spacing w:after="0" w:line="1" w:lineRule="exact"/>
        <w:rPr>
          <w:sz w:val="20"/>
          <w:szCs w:val="20"/>
          <w:color w:val="auto"/>
        </w:rPr>
      </w:pPr>
    </w:p>
    <w:p>
      <w:pPr>
        <w:ind w:left="300" w:hanging="292"/>
        <w:spacing w:after="0"/>
        <w:tabs>
          <w:tab w:leader="none" w:pos="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Warrants expire 5 years from the effective date of a registration statement for an initial public offering should one occur.</w:t>
      </w:r>
    </w:p>
    <w:p>
      <w:pPr>
        <w:spacing w:after="0" w:line="63" w:lineRule="exact"/>
        <w:rPr>
          <w:rFonts w:ascii="Times New Roman" w:cs="Times New Roman" w:eastAsia="Times New Roman" w:hAnsi="Times New Roman"/>
          <w:sz w:val="18"/>
          <w:szCs w:val="18"/>
          <w:color w:val="auto"/>
        </w:rPr>
      </w:pPr>
    </w:p>
    <w:p>
      <w:pPr>
        <w:ind w:left="660" w:right="40" w:hanging="652"/>
        <w:spacing w:after="0" w:line="258" w:lineRule="auto"/>
        <w:tabs>
          <w:tab w:leader="none" w:pos="30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Warrants were issued in October 2021 and are exercisable contingent on rollouts of the Company’s products and services to the warrant holder. Number of shares represents the maximum number of shares to be issued to the warrant holder of 404,961, of which 202,715 are outstanding as of March 31, 2024, respectively, and 66,396 remained contingent as of June 30, 2023. No warrants remained contingent to be issued as of March 31, 2024. Expense related to the cost of these warrants being recognized as a reduction to revenue in the Company’s condensed consolidated statements of operations and comprehensive income (loss).</w:t>
      </w:r>
    </w:p>
    <w:p>
      <w:pPr>
        <w:spacing w:after="0" w:line="21"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28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Warrants will expire at the earliest of 10 years from the issuance date of March 11, 2016, a consummation of an acquisition or one year after the effective date of a registration statement for an initial public offering. The Merger did not satisfy either of these criteria.</w:t>
      </w:r>
    </w:p>
    <w:p>
      <w:pPr>
        <w:spacing w:after="0" w:line="13" w:lineRule="exact"/>
        <w:rPr>
          <w:rFonts w:ascii="Times New Roman" w:cs="Times New Roman" w:eastAsia="Times New Roman" w:hAnsi="Times New Roman"/>
          <w:sz w:val="18"/>
          <w:szCs w:val="18"/>
          <w:color w:val="auto"/>
        </w:rPr>
      </w:pPr>
    </w:p>
    <w:p>
      <w:pPr>
        <w:ind w:left="660" w:hanging="652"/>
        <w:spacing w:after="0" w:line="258" w:lineRule="auto"/>
        <w:tabs>
          <w:tab w:leader="none" w:pos="27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 connection with the First Amendment to the Credit Agreement, the Company issued 400,000 warrants to the Lenders as a fee. The warrant holder may redeem for cash, the First Amendment Warrants at their fair value in the event of a (i) consolidation or merger with or into another party, (ii) a sale, assignment, transfer or disposal of substantially all of the Company’s assets, (iii) purchase, sale or tender of the Company’s common stock where the beneficial owner owns more than 50% of the Company’s common stock, and (iv) a reorganization, recapitalization or reclassification of the Company’s common stock.</w:t>
      </w:r>
    </w:p>
    <w:p>
      <w:pPr>
        <w:spacing w:after="0" w:line="21" w:lineRule="exact"/>
        <w:rPr>
          <w:rFonts w:ascii="Times New Roman" w:cs="Times New Roman" w:eastAsia="Times New Roman" w:hAnsi="Times New Roman"/>
          <w:sz w:val="18"/>
          <w:szCs w:val="18"/>
          <w:color w:val="auto"/>
        </w:rPr>
      </w:pPr>
    </w:p>
    <w:p>
      <w:pPr>
        <w:ind w:left="660" w:right="20" w:hanging="652"/>
        <w:spacing w:after="0" w:line="253" w:lineRule="auto"/>
        <w:tabs>
          <w:tab w:leader="none" w:pos="30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 connection with the effectiveness of the Second Amendment to the Credit Agreement, the Company issued the Second Amendment Warrants. The Second Amendment Warrants may be exercised for cash or pursuant to a net exercise at any time on or before the date that is the five year anniversary of the date of the issuance of the warrants; provided, that the Company shall not affect the exercise of any portion of the warrant to the extent that giving effect to such exercise, the holder thereof, together with its affiliates collectively would beneficially own in excess of 4.99% of the common stock outstanding immediately after giving effect to such exercise. The warrant holder may redeem the Second Amendment Warrants for cash at their fair value in the event of a (i) consolidation or merger with or into another party, (ii) a sale, assignment, transfer or disposal of substantially all of the Company’s assets, (iii) purchase, sale or tender of the Company’s common stock where the beneficial owner owns more than 50% of the Company’s common stock, and (iv) a reorganization, recapitalization or reclassification of the Company’s common stock.</w:t>
      </w:r>
    </w:p>
    <w:p>
      <w:pPr>
        <w:spacing w:after="0" w:line="32" w:lineRule="exact"/>
        <w:rPr>
          <w:rFonts w:ascii="Times New Roman" w:cs="Times New Roman" w:eastAsia="Times New Roman" w:hAnsi="Times New Roman"/>
          <w:sz w:val="18"/>
          <w:szCs w:val="18"/>
          <w:color w:val="auto"/>
        </w:rPr>
      </w:pPr>
    </w:p>
    <w:p>
      <w:pPr>
        <w:ind w:left="660" w:right="140" w:hanging="652"/>
        <w:spacing w:after="0" w:line="255" w:lineRule="auto"/>
        <w:tabs>
          <w:tab w:leader="none" w:pos="30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Represents 17,250,000 public warrants, assumed as part of the Merger, that are exercisable for one-half of a share of the Company’s common stock for an exercise price of $8.21 per whole share. The Company may redeem the public warrants at an exercise price of $0.01 per share if, and only if, the reported last sale price of the share of common stock equals or exceeds 165% of the volume weighted average per share, for 20 trading days starting on the trading day prior to the day on which the Company consummated the Merger for any twenty (20) trading days within a thirty (30) trading day period ending on the third business day prior to the date on which notice of redemption is given within a 30-trading day period ending on the third business day prior to the notice of redemption.</w:t>
      </w:r>
    </w:p>
    <w:p>
      <w:pPr>
        <w:spacing w:after="0" w:line="26" w:lineRule="exact"/>
        <w:rPr>
          <w:rFonts w:ascii="Times New Roman" w:cs="Times New Roman" w:eastAsia="Times New Roman" w:hAnsi="Times New Roman"/>
          <w:sz w:val="18"/>
          <w:szCs w:val="18"/>
          <w:color w:val="auto"/>
        </w:rPr>
      </w:pPr>
    </w:p>
    <w:p>
      <w:pPr>
        <w:ind w:left="660" w:right="120" w:hanging="652"/>
        <w:spacing w:after="0" w:line="261" w:lineRule="auto"/>
        <w:tabs>
          <w:tab w:leader="none" w:pos="23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private warrants are exercisable for a price of $11.50 per whole share and are non-redeemable so long as they are held by the initial purchasers or their affiliates. If transferred, the Company may redeem the public warrants at an exercise price of $0.01 per share if, and only if, the reported last sale price of the share of common stock equals or exceeds $16.50 per share, for any 20 trading days within a 30-trading day period ending on the third business day prior to the notice of redemption.</w:t>
      </w:r>
    </w:p>
    <w:p>
      <w:pPr>
        <w:spacing w:after="0" w:line="17" w:lineRule="exact"/>
        <w:rPr>
          <w:rFonts w:ascii="Times New Roman" w:cs="Times New Roman" w:eastAsia="Times New Roman" w:hAnsi="Times New Roman"/>
          <w:sz w:val="18"/>
          <w:szCs w:val="18"/>
          <w:color w:val="auto"/>
        </w:rPr>
      </w:pPr>
    </w:p>
    <w:p>
      <w:pPr>
        <w:ind w:left="660" w:right="40" w:hanging="652"/>
        <w:spacing w:after="0" w:line="253" w:lineRule="auto"/>
        <w:tabs>
          <w:tab w:leader="none" w:pos="24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 connection with the Third Amendment to the Credit Agreement, the Company issued the Third Amendment Conversion Warrants and the Third Amendment Fee Warrants (together, “Third Amendment Warrants”). The Third Amendment Warrants may be exercised for cash or pursuant to a net exercise at any time on or before the date that is the five year anniversary of the date of the issuance of the warrants; provided, that the Company shall not affect the exercise of any portion of the warrant to the extent that giving effect to such exercise, the holder thereof, together with its affiliates collectively would beneficially own in excess of 4.99% of the common stock outstanding immediately after giving effect to such exercise. The warrant holder may redeem the Third Amendment Warrants for cash at their then fair value in the event of a (i) consolidation or merger with or into another party, (ii) a sale, assignment, transfer or disposal of substantially all of the Company’s assets, (iii) purchase, sale or tender of the Company’s common stock where the beneficial owner owns more than 50% of the Company’s common stock, and (iv) a reorganization, recapitalization or reclassification of the Company’s common stock. The Third Amendment Conversion Warrants are subject to anti-dilution provisions relating to future issuances or deemed issuances of common stock from the issuance date of the Third Amendment Conversion Warrants to September 30, 2024, as modified.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right="80" w:hanging="652"/>
        <w:spacing w:after="0" w:line="253" w:lineRule="auto"/>
        <w:tabs>
          <w:tab w:leader="none" w:pos="30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 connection with the Fifth Amendment to the Credit Agreement, the company issued the Fifth Amendment Warrants. The Fifth Amendment Warrants may be exercised for cash or pursuant to a net exercise at any time on or before the date that is the five year anniversary of the date of the issuance of the warrants; provided, that the Company shall not effect the exercise of any portion of the warrant to the extent that giving effect to such exercise, the holder thereof, together with its affiliates collectively would beneficially own in excess of 4.99% of the common stock outstanding immediately after giving effect to such exercise. The warrant holder may redeem the Fifth Amendment Warrants for cash at their then fair value in the event of a (i) consolidation or merger with or into another party, (ii) a sale, assignment, transfer or disposal of substantially all of the Company’s assets, (iii) purchase, sale or tender of the Company’s common stock where the beneficial owner owns more than 50% of the Company’s common stock, and (iv) a reorganization, recapitalization or reclassification of the Company’s common stock. The Fifth Amendment Warrants are subject to anti-dilution provisions related to future issuances or deemed issuances of common stock from the issuance date of the Fifth Amendment Warrants to September 30, 2024, as modified.</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Plans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Effective with the Merger, the Board of Directors of the Company (the “Board”) adopted the 2022 Incentive Award Plan (the “2022 Plan”). Prior to the Merger, the Company utilized the 2018 equity incentive plan (“2018 Plan”) which replaced the 2008 Stock Incentive Plan (“2008 Plan”). As of March 31, 2024, the number of shares of common stock reserved for future issuance under the 2022 Plan was 3,722,827. The Board may grant incentive and non-statutory stock options and restricted stock units (“RSUs”) to employees, outside directors, investors and consultants at an exercise price of not less than 100% of the fair market value at the date of grant. Awards generally vest ratably over periods determined by the Board, generally four or five years, and expire no later than ten years from the date of grant. For options and RSUs subject to the one-year cliff vesting, the expense is recognized as 25% or 20% of the total option value for a four-year or five-year vesting period, respectively, which is recognized on a straight-line basis over the first year and remaining option expense continues to be recognized straight-line as vesting occurs monthly thereafter.</w:t>
      </w:r>
    </w:p>
    <w:p>
      <w:pPr>
        <w:spacing w:after="0" w:line="18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 had 300,376 stock options with performance and service vesting requirements in the nine months ended March 31, 2023. The service-based vesting condition is satisfied by rendering continuous service for 4 years after the performance-based vesting condition occurs. The performance-based vesting condition is satisfied in connection with a public liquidity event. Effective with the closing of the Merger, the public liquidity event performance condition was achieved. The Company recognized an immaterial amount of expense associated with these options for the nine months ended March 31, 2023.</w:t>
      </w:r>
    </w:p>
    <w:p>
      <w:pPr>
        <w:spacing w:after="0" w:line="18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September 2022, the Company granted 1,200,000 RSUs to a director of the Company with a grant date fair value of $4.56 per RSU. The RSUs vest in the following tranches, subject to the continuous service through each applicable vesting date: 33.33% of the RSUs shall vest on March 31, 2023, 56.67% of the RSUs shall vest in equal monthly installments on the last day of each month during the subsequent 23-month period, and the remaining 10% shall vest upon the third anniversary of the vesting commencement date. The Company recorded compensation expense during the three and nine months ended March 31, 2024 related to the RSUs of $0.4</w:t>
      </w:r>
    </w:p>
    <w:p>
      <w:pPr>
        <w:spacing w:after="0" w:line="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million and $1.2 million, respectively. The Company recorded compensation expense during the three and nine months ended March 31, 2023 related to the RSUs of $0.4 million and $2.6 million, respectively.</w:t>
      </w:r>
    </w:p>
    <w:p>
      <w:pPr>
        <w:spacing w:after="0" w:line="18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the event of voluntary or involuntary termination of employment with the Company for any reason, with or without cause, all unvested options are forfeited and all vested options must be exercised within a 90-day period under the 2018 Plan and within a 30-day period under the 2008 Plan or they are forfeited. Under the 2022 Plan, in the event of voluntary or involuntary termination of employment with the Company for any reason, with or without cause, all unvested RSUs are forfeited.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summary of the equity incentive plan option activity is shown collectively for the 2018 Plan and the 2008 Plan: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48"/>
        </w:trPr>
        <w:tc>
          <w:tcPr>
            <w:tcW w:w="55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Remaining</w:t>
            </w:r>
          </w:p>
        </w:tc>
        <w:tc>
          <w:tcPr>
            <w:tcW w:w="16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r>
      <w:tr>
        <w:trPr>
          <w:trHeight w:val="173"/>
        </w:trPr>
        <w:tc>
          <w:tcPr>
            <w:tcW w:w="554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5"/>
                <w:szCs w:val="15"/>
                <w:color w:val="auto"/>
              </w:rPr>
            </w:pPr>
          </w:p>
        </w:tc>
        <w:tc>
          <w:tcPr>
            <w:tcW w:w="10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Life (years)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June 30, 2023</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9,901,703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0.72</w:t>
            </w:r>
          </w:p>
        </w:tc>
        <w:tc>
          <w:tcPr>
            <w:tcW w:w="1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(3,805,155)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Forfeited and expired</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(373,551)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50"/>
        </w:trPr>
        <w:tc>
          <w:tcPr>
            <w:tcW w:w="5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–March 31, 2024</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5,722,997</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160" w:type="dxa"/>
            <w:vAlign w:val="bottom"/>
            <w:tcBorders>
              <w:bottom w:val="single" w:sz="8" w:color="CCEEFF"/>
            </w:tcBorders>
          </w:tcPr>
          <w:p>
            <w:pPr>
              <w:spacing w:after="0"/>
              <w:rPr>
                <w:sz w:val="21"/>
                <w:szCs w:val="21"/>
                <w:color w:val="auto"/>
              </w:rPr>
            </w:pP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CCEEFF"/>
            </w:tcBorders>
          </w:tcPr>
          <w:p>
            <w:pPr>
              <w:spacing w:after="0"/>
              <w:rPr>
                <w:sz w:val="21"/>
                <w:szCs w:val="21"/>
                <w:color w:val="auto"/>
              </w:rPr>
            </w:pPr>
          </w:p>
        </w:tc>
      </w:tr>
      <w:tr>
        <w:trPr>
          <w:trHeight w:val="196"/>
        </w:trPr>
        <w:tc>
          <w:tcPr>
            <w:tcW w:w="55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at March 31, 2024</w:t>
            </w: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5,722,997</w:t>
            </w:r>
          </w:p>
        </w:tc>
        <w:tc>
          <w:tcPr>
            <w:tcW w:w="2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3.24</w:t>
            </w:r>
          </w:p>
        </w:tc>
        <w:tc>
          <w:tcPr>
            <w:tcW w:w="260" w:type="dxa"/>
            <w:vAlign w:val="bottom"/>
            <w:gridSpan w:val="2"/>
            <w:shd w:val="clear" w:color="auto" w:fill="CCEEFF"/>
          </w:tcPr>
          <w:p>
            <w:pPr>
              <w:ind w:lef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March 31, 2024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5,536,989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bl>
    <w:p>
      <w:pPr>
        <w:spacing w:after="0" w:line="17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the unrecognized stock-based compensation expense related to outstanding unvested stock options was $0.6 million which is expected to be recognized over a weighted-average period of 1.2 years.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equity incentive plan RSU activity for the 2022 Plan and the 2018 Plan: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13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73"/>
        </w:trPr>
        <w:tc>
          <w:tcPr>
            <w:tcW w:w="706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Awards Outstanding</w:t>
            </w:r>
          </w:p>
        </w:tc>
        <w:tc>
          <w:tcPr>
            <w:tcW w:w="16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10"/>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Balance – June 30, 2023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4,560,645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w:t>
            </w:r>
          </w:p>
        </w:tc>
      </w:tr>
      <w:tr>
        <w:trPr>
          <w:trHeight w:val="216"/>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1,211,623</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16"/>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(1,205,089)</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16"/>
        </w:trPr>
        <w:tc>
          <w:tcPr>
            <w:tcW w:w="7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(1,858,752)</w:t>
            </w:r>
          </w:p>
        </w:tc>
        <w:tc>
          <w:tcPr>
            <w:tcW w:w="26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10"/>
        </w:trPr>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Balance - March 31, 2024</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2,708,427</w:t>
            </w:r>
          </w:p>
        </w:tc>
        <w:tc>
          <w:tcPr>
            <w:tcW w:w="2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0"/>
        </w:trPr>
        <w:tc>
          <w:tcPr>
            <w:tcW w:w="70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the unrecognized stock-based compensation expense related to outstanding unvested RSUs was $6.9 million which is expected to be recognized over a weighted-average period of 3.48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excluding stock-based compensation in capitalized software, related to employees and non-employees, including the expense associated with the earnout shares, by function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4"/>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r>
      <w:tr>
        <w:trPr>
          <w:trHeight w:val="142"/>
        </w:trPr>
        <w:tc>
          <w:tcPr>
            <w:tcW w:w="3600" w:type="dxa"/>
            <w:vAlign w:val="bottom"/>
            <w:tcBorders>
              <w:bottom w:val="single" w:sz="8" w:color="CCEEFF"/>
            </w:tcBorders>
          </w:tcPr>
          <w:p>
            <w:pPr>
              <w:spacing w:after="0"/>
              <w:rPr>
                <w:sz w:val="12"/>
                <w:szCs w:val="12"/>
                <w:color w:val="auto"/>
              </w:rPr>
            </w:pPr>
          </w:p>
        </w:tc>
        <w:tc>
          <w:tcPr>
            <w:tcW w:w="16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r>
      <w:tr>
        <w:trPr>
          <w:trHeight w:val="210"/>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6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6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160" w:type="dxa"/>
            <w:vAlign w:val="bottom"/>
            <w:shd w:val="clear" w:color="auto" w:fill="CCEEFF"/>
          </w:tcPr>
          <w:p>
            <w:pPr>
              <w:spacing w:after="0"/>
              <w:rPr>
                <w:sz w:val="18"/>
                <w:szCs w:val="18"/>
                <w:color w:val="auto"/>
              </w:rPr>
            </w:pPr>
          </w:p>
        </w:tc>
      </w:tr>
      <w:tr>
        <w:trPr>
          <w:trHeight w:val="210"/>
        </w:trPr>
        <w:tc>
          <w:tcPr>
            <w:tcW w:w="3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9,272</w:t>
            </w:r>
          </w:p>
        </w:tc>
        <w:tc>
          <w:tcPr>
            <w:tcW w:w="160" w:type="dxa"/>
            <w:vAlign w:val="bottom"/>
          </w:tcPr>
          <w:p>
            <w:pPr>
              <w:spacing w:after="0"/>
              <w:rPr>
                <w:sz w:val="18"/>
                <w:szCs w:val="18"/>
                <w:color w:val="auto"/>
              </w:rPr>
            </w:pPr>
          </w:p>
        </w:tc>
      </w:tr>
      <w:tr>
        <w:trPr>
          <w:trHeight w:val="20"/>
        </w:trPr>
        <w:tc>
          <w:tcPr>
            <w:tcW w:w="3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allocated to cost of goods sold was not material for the three and nine months ended March 31, 2024 and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Effective with the closing of the Merger, the Company adopted an employee stock purchase plan (“ESPP”). There was no activity under the plan during the three and nine months ended March 31, 2024 and 2023, as the Company has not yet conducted any offerings pursuant to the ESPP.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Stock-based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Earnout Arrangement with holders of Legacy Presto Common Stock and Outstanding Equity Awards</w:t>
      </w:r>
    </w:p>
    <w:p>
      <w:pPr>
        <w:spacing w:after="0" w:line="22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2024, unrecognized stock-based compensation expense for earnout awards is $2.6 million which is expected to be recognized over a weighted-average period of 0.78 years. As of March 31, 2024, 950,543 earnout shares held by current employees and directors were forfeited. The earnout shares given to common stockholders not held by current employees and</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directors and warrant holders have been recorded with equal and offsetting effects on additional paid-in capital on the condensed consolidated balance sheet. As of March 31, 2024, all of the earnout shares remain unissued as the conditions to issuance have not been achieved.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CyborgOps</w:t>
      </w:r>
    </w:p>
    <w:p>
      <w:pPr>
        <w:spacing w:after="0" w:line="22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acquisition of CyborgOps, the Company issued 475,638 shares of common stock to employees of CyborgOps who had continued employment with the Company, which are accounted for as stock-based compensation because the shares are subject to forfeiture based on post-acquisition time-based service vesting. During the three and nine months ended March 31, 2023, the Company recognized $0.3 million and $0.8 million of stock-based compensation expense related to these equity awards, respectively. There was no stock-based compensation expense recorded for these equity awards for the three months ended March 31, 2024 and an immaterial amount for the nine months ended March 31, 2024. As of March 31, 2024, there are no longer any outstanding equity awards to former CyborgOps employees as they have terminated employment with the Company and all their unvested restricted stock awards were cancelled. The cancellation is recorded as a deduction from common stock outstanding in the condensed consolidated statement of stockholders’ deficit for the nine months ended March 31, 2024.</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Company is subject to U.S. federal, state, and local corporate income taxes. The Company’s income tax expense was not material for the three and nine months ended March 31, 2024 and 2023. The Company does not expect any material changes in tax position for the remainder of the fiscal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Income (Loss) Per Share</w:t>
      </w:r>
    </w:p>
    <w:p>
      <w:pPr>
        <w:spacing w:after="0" w:line="229"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(loss) per share attributable to common stockholders for the periods presented: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5"/>
                <w:szCs w:val="15"/>
                <w:color w:val="auto"/>
              </w:rPr>
            </w:pPr>
          </w:p>
        </w:tc>
        <w:tc>
          <w:tcPr>
            <w:tcW w:w="22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0" w:type="dxa"/>
            <w:vAlign w:val="bottom"/>
          </w:tcPr>
          <w:p>
            <w:pPr>
              <w:spacing w:after="0"/>
              <w:rPr>
                <w:sz w:val="1"/>
                <w:szCs w:val="1"/>
                <w:color w:val="auto"/>
              </w:rPr>
            </w:pPr>
          </w:p>
        </w:tc>
      </w:tr>
      <w:tr>
        <w:trPr>
          <w:trHeight w:val="142"/>
        </w:trPr>
        <w:tc>
          <w:tcPr>
            <w:tcW w:w="48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basic and diluted</w:t>
            </w:r>
          </w:p>
        </w:tc>
        <w:tc>
          <w:tcPr>
            <w:tcW w:w="5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(18,095)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(15,680)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(30,777)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deemed dividend on down-round provision</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(9,000)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(10,500)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8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Net income (loss) attributable to common stockholders, basic and</w:t>
            </w:r>
          </w:p>
        </w:tc>
        <w:tc>
          <w:tcPr>
            <w:tcW w:w="4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5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(27,095)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(15,680)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(41,277)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used in computing net income (loss) per</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attributable to common stockholders, basic</w:t>
            </w:r>
          </w:p>
        </w:tc>
        <w:tc>
          <w:tcPr>
            <w:tcW w:w="4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83,744,950</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51,453,368</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68,395,804</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44,173,570</w:t>
            </w:r>
          </w:p>
        </w:tc>
        <w:tc>
          <w:tcPr>
            <w:tcW w:w="1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8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Add: Weighted average dilutive effect of stock options, RSUs and</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10,366,225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auto"/>
            </w:tcBorders>
            <w:shd w:val="clear" w:color="auto" w:fill="CCEEFF"/>
          </w:tcPr>
          <w:p>
            <w:pPr>
              <w:spacing w:after="0"/>
              <w:rPr>
                <w:sz w:val="18"/>
                <w:szCs w:val="18"/>
                <w:color w:val="auto"/>
              </w:rPr>
            </w:pPr>
          </w:p>
        </w:tc>
        <w:tc>
          <w:tcPr>
            <w:tcW w:w="9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83,744,950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auto"/>
            </w:tcBorders>
            <w:shd w:val="clear" w:color="auto" w:fill="CCEEFF"/>
          </w:tcPr>
          <w:p>
            <w:pPr>
              <w:spacing w:after="0"/>
              <w:rPr>
                <w:sz w:val="18"/>
                <w:szCs w:val="18"/>
                <w:color w:val="auto"/>
              </w:rPr>
            </w:pPr>
          </w:p>
        </w:tc>
        <w:tc>
          <w:tcPr>
            <w:tcW w:w="9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51,453,368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68,395,804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54,539,795</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8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Net income (loss) per share attributable to common stockholders,</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5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(loss) per share attributable to common stockholders,</w:t>
            </w:r>
          </w:p>
        </w:tc>
        <w:tc>
          <w:tcPr>
            <w:tcW w:w="5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520" w:type="dxa"/>
            <w:vAlign w:val="bottom"/>
            <w:gridSpan w:val="2"/>
            <w:vMerge w:val="continue"/>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(0.32)</w:t>
            </w:r>
          </w:p>
        </w:tc>
        <w:tc>
          <w:tcPr>
            <w:tcW w:w="120" w:type="dxa"/>
            <w:vAlign w:val="bottom"/>
            <w:vMerge w:val="continue"/>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4820" w:type="dxa"/>
            <w:vAlign w:val="bottom"/>
          </w:tcPr>
          <w:p>
            <w:pPr>
              <w:spacing w:after="0"/>
              <w:rPr>
                <w:sz w:val="24"/>
                <w:szCs w:val="24"/>
                <w:color w:val="auto"/>
              </w:rPr>
            </w:pPr>
          </w:p>
        </w:tc>
        <w:tc>
          <w:tcPr>
            <w:tcW w:w="40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8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potential shares of common stock that were excluded from the computation of diluted net income (loss) per share attributable to common stockholders for the periods presented because including them would have been antidilutive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22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0" w:type="dxa"/>
            <w:vAlign w:val="bottom"/>
          </w:tcPr>
          <w:p>
            <w:pPr>
              <w:spacing w:after="0"/>
              <w:rPr>
                <w:sz w:val="1"/>
                <w:szCs w:val="1"/>
                <w:color w:val="auto"/>
              </w:rPr>
            </w:pPr>
          </w:p>
        </w:tc>
      </w:tr>
      <w:tr>
        <w:trPr>
          <w:trHeight w:val="196"/>
        </w:trPr>
        <w:tc>
          <w:tcPr>
            <w:tcW w:w="546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and RSUs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8,431,424</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14,386,407</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8,431,424</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39,840,000</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39,840,000</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53,857,731</w:t>
            </w:r>
          </w:p>
        </w:tc>
        <w:tc>
          <w:tcPr>
            <w:tcW w:w="1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18,815,453</w:t>
            </w:r>
          </w:p>
        </w:tc>
        <w:tc>
          <w:tcPr>
            <w:tcW w:w="16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53,857,731</w:t>
            </w: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12,509,788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54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Total potential shares of common stock excluded from the computation</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102,129,155</w:t>
            </w:r>
          </w:p>
        </w:tc>
        <w:tc>
          <w:tcPr>
            <w:tcW w:w="1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33,201,860</w:t>
            </w:r>
          </w:p>
        </w:tc>
        <w:tc>
          <w:tcPr>
            <w:tcW w:w="1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102,129,155</w:t>
            </w:r>
          </w:p>
        </w:tc>
        <w:tc>
          <w:tcPr>
            <w:tcW w:w="1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12,866,130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of diluted net income (loss) per share</w:t>
            </w:r>
          </w:p>
        </w:tc>
        <w:tc>
          <w:tcPr>
            <w:tcW w:w="102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Company, in addition, excluded 14,049,547 and 14,819,594 earnout shares from the calculation of diluted EPS as of March 31, 2024 and 2023 as they are subject to market conditions for which the necessary conditions have not been satisfied.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25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8"/>
          <w:szCs w:val="18"/>
          <w:color w:val="auto"/>
        </w:rPr>
        <w:t>On March 21, 2024, the Company entered into a secured promissory note in the principal amount of $4.0 million with CA, a related party affiliated with Cleveland Avenue, LLC (“Cleveland Avenue”) and Keith Kravcik, a director of the Company, who is the Chief Investment Officer of all of Cleveland Avenue’s various investment funds, including CA. CA is a lender under the CA Note and is party to (i) that certain Amended and Restated Governance Agreement, dated as of November 16, 2023 (the “Governance Agreement”), pursuant to which, among other things, CA has the right to appoint one director of the Company and (ii) that certain Stockholders Agreement, dated as of November 16, 2023 (the “Stockholders Agreement”), pursuant to which the Company agreed that it will not undertake certain actions for a period of 12 months without the consent of the parties thereto.</w:t>
      </w:r>
    </w:p>
    <w:p>
      <w:pPr>
        <w:spacing w:after="0" w:line="2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1, 2024 the Company issued the March 2024 Convertible Note in the principal amount of $960,000 in consideration for a cash investment of $960,000 from Remus Capital, a related party affiliated with Krishna Gupta, a director of the Company. Remus is party to (i) the Governance Agreement, pursuant to which, among other things, Remus Capital has the right to appoint two directors of the Company and (ii) the Stockholders Agreement, pursuant to which the Company agreed that it will not undertake certain actions for a period of 12 months without the consent of the parties thereto.</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On January 29, 2024, in connection with the January 2024 Offering, the Company entered into a securities purchase agreement with Remus Capital for the issuance and sale of $2.7 million of the January 2024 Convertible Notes. From issuance through September 30, 2024, the Conversion Price will be reduced if the Company issues any common stock or securities convertible into or exchangeable for common stock at a price that is less than the initial conversion price of $0.25 per share.</w:t>
      </w:r>
    </w:p>
    <w:p>
      <w:pPr>
        <w:spacing w:after="0" w:line="19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addition, the Company is party to a Stockholders Agreement, dated as of November 16, 2023, by and among the Company, Presto CA, LLC (“CA”) and KKG Enterprises LLC (“KKG”), an entity for which Krishna K. Gupta, the chairman of the Company’s board of directors, is the managing member; each a related party, pursuant to which, CA and KKG have consent rights with respect to, among other things, any issuance of common stock or securities convertible into or exercisable for common stock, subject to limited exceptions. Each of CA and KKG may have the ability to block any such future issuances the Company pursues and the Company may therefore not be able to raise capital as needed.</w:t>
      </w:r>
    </w:p>
    <w:p>
      <w:pPr>
        <w:spacing w:after="0" w:line="22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21, 2023, the Company entered into the November Purchase Agreements, one of which was with Zaffran Special Opportunities, LLC, a related party, affiliated with Krishna Gupta</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to which the Company issued 750,000 newly issued shares of the Company’s common stock.</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10, 2023, the Company entered into the October Purchase Agreement with CA, pursuant to which the Company agreed to sell 1,500,000 newly issued shares of the Company’s common stock, at a purchase price of $2.00 per share for an aggregate purchase price of $3.0 million.</w:t>
      </w:r>
    </w:p>
    <w:p>
      <w:pPr>
        <w:spacing w:after="0" w:line="20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As a result of anti-dilution provisions in the October Purchase Agreement, the Company issued 1,500,000 additional shares to CA upon the issuance of common stock in the November 2023 Offering and the triggering purchase price was lowered from $2.00 to $1.00 per share. The Company recorded an offsetting entry to additional paid-in capital of $1.5 million. The anti-dilutions were further triggered upon the issuance of the January 2024 Convertible Notes where an additional 4,500,000 shares were issued to CA</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and the triggering purchase price was lowered from $1.00 to $0.40 per share. The Company recorded an offsetting entry to additional paid-in capital of $2.7 million. The anti-dilution provisions were further triggered upon the issuance of common stock in the February Offering where an additional 4,500,000 shares were issued to CA and the triggering purchase price was lowered from $0.40 to $0.25 per share. The Company recorded an offsetting entry to additional paid-in capital of $0.7 million. On March 21, 2024, the October Purchase Agreement was amended and restated to extend the anti-dilution coverage from April 1, 2024 to September 30, 2024.</w:t>
      </w:r>
    </w:p>
    <w:p>
      <w:pPr>
        <w:spacing w:after="0" w:line="183"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During the nine months ended March 31, 2023, the Company received an equity investment of $1.0 million from an investor in exchange for 133,333 shares in the Company. Such investor held a significant portion of outstanding convertible notes on September 15, 2022, the date the investment was made. Refer to Note 9 for further details.</w:t>
      </w:r>
    </w:p>
    <w:p>
      <w:pPr>
        <w:spacing w:after="0" w:line="176"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In addition, during the nine months ended March 31, 2023, the Company granted 1,200,000 of RSUs to a director and the previous interim CEO of the Company with a grant date fair value of $4.56 per RSU. Refer to Note 11.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Cooperation Agreement and Extension to Forbearance Date and Related Terms</w:t>
      </w:r>
    </w:p>
    <w:p>
      <w:pPr>
        <w:spacing w:after="0" w:line="227"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On May 16, 2024, the Company entered into a Cooperation Agreement (the “Cooperation Agreement”) with the Lenders, and certain significant stockholders where the Lenders agreed they will not exercise remedies for certain continuing events of default under the Credit Agreement, under the following conditions (the “May Forbearance”). If the Company raises $3.0 million or more of working capital in a registered direct offering or private placement by May 22, 2024, with at least $2.5 million received by May 15, 2024, the Lenders agree to extend the May Forbearance termination date to June 14, 2024. As of May 20, 2024, the Company had received $3.0 million and the Lenders agreed the date of May 15, 2024 to receive the funds is moved to May 20, 2024. If the Company raises additional working capital of $3.0 million or more by June 7, 2024 in a registered direct offering or private placement the Lenders agree to extend the May Forbearance termination date to July 15,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Cooperation in Connection with Sale of the Company</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of termination of May Forbearance, the Company has agreed to cooperate with the Lenders’ rights and remedies under the Credit Agreement, including, among other things, the realization of their collateral and a potential sale process under Article 9 of the Uniform Commercial Code.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of Alternative Path</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agreed to maintain a committee of independent directors to work with the Lenders on the development and execution of a strategic plan (the “Alternative Path”) to address the Company’s obligations under the Credit Agreement in the event that the May Forbearance ends.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2024 Convertible Note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May 16, 2024, the Company issued to Remus Capital, a related party, a subordinated convertible note in the principal amount of $1.5 million (the “May 2024 Convertible Note”) in consideration for a cash investment of $1.5 million. PIK Interest on the May 2024 Convertible Note accrues monthly at a rate of 7.5% per annum. The interest rate shall increase to 12% in the case of an event of default. The May 2024 Convertible Note is convertible into 10,714,286 shares of common stock at the option of the holder at an initial conversion price of $0.14 per share.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Offering</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May 20, 2024, the Company sold 10,892,851 shares in newly issued common stock in a registered direct offering (the “May Offering”) for $0.14 per share or an aggregate amount of proceeds of $1.5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Extension of CA Note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 has agreed to extend the maturity of the CA Note to align with the termination date of May Forbearance as described above in exchange for an extension of the anti-dilution period in the October Purchase Agreement from September 30, 2024 to December 31, 2024 and a change in the anti-dilution trigger price in the October Purchase Agreement from $0.25 to $0.14.</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Anti-dilution Adjustments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May Offering triggered the anti-dilution provision in the October Purchase Agreement in which the Company was required to issue an additional 9,428,571 shares to CA and the anti-dilution triggering price was reduced from $0.25 to $0.14 per share for future issuances. The anti-dilution provision in the Third Amendment Conversion Warrants was triggered and the Company was required to increase the number of warrants from 24,000,000 to 42,857,123 shares and the anti-dilution triggering price was reduced from $0.25 to $0.14 per share. The anti-dilution provision in the Fifth Amendment Warrants were triggered and the Company was required to increase the number of warrants from 8,517,278 to 15,209,425 and a reduction in the anti-dilution triggering price from $0.25 to $0.14 per share. The anti-dilution provision in the January 2024 Convertible Notes was triggered and the Company was required to reserve an aggregate of 28,285,715 additional shares underlying the principal and a reduction in the conversion price and anti-dilution triggering price from $0.25 to $0.14.</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anti-dilution protection is extended from September 30, 2024 to December 31, 2024 for the October Purchase Agreement, the Third Amendment Conversion Warrants, the Fifth Amendment Conversion Warrants and the January 2024 Convertible Notes.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November purchasers that participate in the May Offering will have their anti-dilution protection applicable to the November 2023 Offering, which expired on to April 1, 2024, reinstated through December 31, 2024 at an anti-dilution triggering price of $0.25 per share. This protection does not apply to the May Offering.</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Grant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16, 2024, the Company granted 1,511,000 RSUs with a grant date fair value of $0.17 per share to personnel which vest 50% on the date of grant and 50% on October 1, 2024 or 50% over 5 years of service in the case of one executive grant. Also, on April 16, 2024, the Company granted 300,000 RSUs to the Interim CEO with a grant date fair value of $0.17 per share which vest 50% on the date of grant and 50% upon meeting certain performance requirements. On April 24, 2024, the Company granted 600,000 fully vested RSUs to Krishna Gupta, previous Interim CEO, for services performed.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p>
      <w:pPr>
        <w:spacing w:after="0" w:line="200" w:lineRule="exact"/>
        <w:rPr>
          <w:sz w:val="20"/>
          <w:szCs w:val="20"/>
          <w:color w:val="auto"/>
        </w:rPr>
      </w:pPr>
    </w:p>
    <w:p>
      <w:pPr>
        <w:spacing w:after="0" w:line="23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of Financial Condition and Results of Operations should be read in conjunction with Presto’s condensed consolidated financial statements and related notes appearing elsewhere in the Quarterly Report on Form 10-Q and our audited consolidated financial statements as of and for the years ended June 30, 2023 and 2022 and the related notes contained in Part II, Item 8 of the Annual Financial Statements on Form 10-K filed with the SEC on October 10, 2023. This discussion contains forward-looking statements, within the meaning of the safe harbor provisions of the Private Securities Litigation Reform Act of 1995, that involve risks and uncertainties. Presto’s actual results could differ materially from such forward-looking statements. The Company does not undertake to update, revise or correct any of the forward-looking information unless required to do so under the federal securities laws. Readers are cautioned that such forward-looking statements should be read in conjunction with the Company’s disclosures under the heading “Cautionary Statement Regarding Forward-Looking Statements” included in this report. Additionally, Presto’s historical results are not necessarily indicative of the results that may be expected in any future period. Amounts are presented in U.S. dollars.</w:t>
      </w:r>
    </w:p>
    <w:p>
      <w:pPr>
        <w:spacing w:after="0" w:line="19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You should not place undue reliance on these forward-looking statements. Should one or more of a number of known and unknown risks and uncertainties materialize, or should any of our assumptions prove incorrect, the Company’s actual results or performance may be materially different from those expressed or implied by these forward-looking statements. Factors that could cause actual results to differ include, but are not limited to, those identified below and those discussed in Part I, Item 1A “Risk Factors” of the Annual Report on Form 10-K filed with the SEC on October 10, 2023:</w:t>
      </w:r>
    </w:p>
    <w:p>
      <w:pPr>
        <w:spacing w:after="0" w:line="183" w:lineRule="exact"/>
        <w:rPr>
          <w:sz w:val="20"/>
          <w:szCs w:val="20"/>
          <w:color w:val="auto"/>
        </w:rPr>
      </w:pPr>
    </w:p>
    <w:p>
      <w:pPr>
        <w:ind w:right="5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to “we,” “us,” or “our” refers to the business and operations of E La Carte Inc. (“Legacy Presto”) and its consolidated subsidiary prior to the Merger (defined below) and to Presto Automation Inc. (“Presto”) and its subsidiaries following the Business Combination (defined below).</w:t>
      </w:r>
    </w:p>
    <w:p>
      <w:pPr>
        <w:sectPr>
          <w:pgSz w:w="11900" w:h="16838" w:orient="portrait"/>
          <w:cols w:equalWidth="0" w:num="1">
            <w:col w:w="9920"/>
          </w:cols>
          <w:pgMar w:left="980" w:top="513" w:right="99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provide enterprise grade AI and automation solutions to the restaurant technology industry. Our solutions are designed to decrease labor costs, improve staff productivity, increase revenue and enhance the guest experience. We offer our industry-leading AI solution, Presto Voice, to quick service restaurants (QSR) and our pay-at-table tablet solution, Presto Touch, to casual dining chains. Some of the most recognized restaurant names in the United States are among our customers, including Carl’s Jr. and Hardee’s, and Wienerschnitzel for Presto Voice, Checkers through our relationship with Hi Auto, and Applebee’s and Chili’s for Presto Touch.</w:t>
      </w:r>
    </w:p>
    <w:p>
      <w:pPr>
        <w:spacing w:after="0" w:line="183"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Following our founding in 2008, we initially focused exclusively on Presto Touch. As of June 30, 2023, we had shipped over 277,000 Presto Touch tablets to three of the largest casual dining chains in the United States. Presto Voice addresses the pressing needs of drive-thru restaurant operators by improving order accuracy, reducing labor costs and increasing revenue through menu upselling, while also providing guests with an improved drive-thru experience. While Presto Touch has accounted for substantially all of our historical revenues, Presto Voice accounts for 17% and 13% of our revenue for the three and nine months ended March 31, 2024, respectively, and we believe that Presto Voice will contribute an increasing portion of our revenues in the future.</w:t>
      </w:r>
    </w:p>
    <w:p>
      <w:pPr>
        <w:spacing w:after="0" w:line="187" w:lineRule="exact"/>
        <w:rPr>
          <w:sz w:val="20"/>
          <w:szCs w:val="20"/>
          <w:color w:val="auto"/>
        </w:rPr>
      </w:pPr>
    </w:p>
    <w:p>
      <w:pPr>
        <w:jc w:val="both"/>
        <w:ind w:right="80"/>
        <w:spacing w:after="0" w:line="292" w:lineRule="auto"/>
        <w:rPr>
          <w:sz w:val="20"/>
          <w:szCs w:val="20"/>
          <w:color w:val="auto"/>
        </w:rPr>
      </w:pPr>
      <w:r>
        <w:rPr>
          <w:rFonts w:ascii="Times New Roman" w:cs="Times New Roman" w:eastAsia="Times New Roman" w:hAnsi="Times New Roman"/>
          <w:sz w:val="17"/>
          <w:szCs w:val="17"/>
          <w:color w:val="auto"/>
        </w:rPr>
        <w:t>We are winding down our Presto Touch solution to allow for dedicated focus and efforts on our Presto Voice solution. We expect to have fully transitioned out of the Presto Touch business in the coming months and remain open to strategic alternatives related to this solution including a sale, partial sale, or abandonment of the Presto Touch business. Refer to Note 1 in Part I, Item 1 of this Quarterly Report on Form 10-Q for details on a memorandum of understanding relating to the Presto Touch solution entered into on January 17,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2222"/>
        </w:rPr>
        <w:t>Liquidity</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currently face severe liquidity challenges. We project that the net proceeds from our recent capital raises, together with our other cash resources and projected revenues, are sufficient for us to sustain our operations through May 15, 2024. We entered into a forbearance agreement with Metropolitan Partners Group Administration, LLC, as administrative, payment and collateral agent (the “Agent”), and the lenders (“Lenders”), which will terminate on May 15, 2024. In addition, on March 21, 2024, we issued to Presto CA, LLC (“CA”) a senior secured promissory note in the principal amount of $4.0 million (the “CA Note”) which mature on May 15, 2024. Additional financing will be necessary. Our future capital requirements will depend on many factors, including the revenue growth rate, the success of future product development, and the timing and extent of spending to support further sales and marketing and research and development efforts.</w:t>
      </w:r>
    </w:p>
    <w:p>
      <w:pPr>
        <w:spacing w:after="0" w:line="192"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The Company cannot offer any assurance that any additional financing will be available on acceptable terms or at all. If the Company is unable to raise additional capital it would likely lead to an event of default under our debt agreements and the potential exercise of remedies by our lenders, which would materially and adversely impact our business, results of operations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Our business is guided by the principles that our solutions should seamlessly and effortlessly increase revenue for restaurant operators, improve productivity of the restaurant staff and enhance the guest experience. These principles ensure that our focus remains aligned with the priorities of our customers and with our objective of being a leader in the restaurant technology market.</w:t>
      </w:r>
    </w:p>
    <w:p>
      <w:pPr>
        <w:spacing w:after="0" w:line="176"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restaurant technology market, while still nascent, continues to rapidly develop and evolve in response to the challenges faced by restaurant operators and the productivity enhancements available to them through the use of technological advances. While growing and robust, the restaurant industry today faces increasing labor and other costs. At the same time, a higher percentage of restaurant guests are ordering food and drinks via the drive-thru. In an era of high inflation, restaurant operators need to simultaneously lower their costs and generate higher revenues to leverage their cost structures. We believe our solutions help restaurant operators address these concerns with compelling end-to-end solutions that seamlessly integrate with a restaurant’s existing technology stacks.</w:t>
      </w:r>
    </w:p>
    <w:p>
      <w:pPr>
        <w:spacing w:after="0" w:line="18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are currently focused on enhancing, marketing and deploying our proprietary AI technology platform, Presto Voice, to meet the needs of our customers and their guests. We expect the market for Presto Voice to further develop and evolve as the restaurant technology market continues to grow, thereby increasing the demand for our solution.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with Ventoux CCM Acquisition Corp.</w:t>
      </w:r>
    </w:p>
    <w:p>
      <w:pPr>
        <w:spacing w:after="0" w:line="22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On November 10, 2021 and as subsequently amended on April 1, 2022 and July 25, 2022, Ventoux CCM Acquisition Corp. (“Ventoux” or “VTAQ”), Ventoux Merger Sub I, Ventoux Merger Sub II and Presto entered into the Merger Agreement, pursuant to which (a) Ventoux Merger Sub I merged with and into Presto, with Presto being the Surviving Corporation in the First Merger and continuing (immediately following the First Merger) as a wholly-owned subsidiary of VTAQ and (b) immediately following the First Merger and as part of the same overall transaction as the First Merger, the Surviving Corporation merged with and into Ventoux Merger Sub II, with Ventoux Merger Sub II being the surviving entity in the Second Merger and continuing (immediately following the Second Merger) as a wholly-owned subsidiary of VTAQ. On September 14, 2022, VTAQ held a special meeting of its stockholders and voted to approve the Proposed Business Combination (“the Business Combination” or “the Merger”). Upon the Closing, VTAQ was renamed “Presto Automation Inc.” and the VTAQ common stock and the Public Warrants continue to be listed on Nasdaq and trade under the ticker symbols “PRST” and “PRSTW,” respectively.</w:t>
      </w:r>
    </w:p>
    <w:p>
      <w:pPr>
        <w:spacing w:after="0" w:line="194" w:lineRule="exact"/>
        <w:rPr>
          <w:sz w:val="20"/>
          <w:szCs w:val="20"/>
          <w:color w:val="auto"/>
        </w:rPr>
      </w:pPr>
    </w:p>
    <w:p>
      <w:pPr>
        <w:ind w:right="200" w:firstLine="648"/>
        <w:spacing w:after="0" w:line="271" w:lineRule="auto"/>
        <w:rPr>
          <w:sz w:val="20"/>
          <w:szCs w:val="20"/>
          <w:color w:val="auto"/>
        </w:rPr>
      </w:pPr>
      <w:r>
        <w:rPr>
          <w:rFonts w:ascii="Times New Roman" w:cs="Times New Roman" w:eastAsia="Times New Roman" w:hAnsi="Times New Roman"/>
          <w:sz w:val="17"/>
          <w:szCs w:val="17"/>
          <w:color w:val="auto"/>
        </w:rPr>
        <w:t xml:space="preserve">The Merger has been accounted for as a reverse recapitalization in accordance with United States Generally Accepted Accounting Principles (“U.S. GAAP”). Under the guidance in ASC 805,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VTAQ, who is the legal acquirer, has been treated as the “acquired” company for financial reporting purposes and Presto has been treated as the accounting acquirer. This determination was primarily based on Presto having a majority of the voting power of the post-combination company, Presto’s senior management comprising substantially all of the senior management of the post-combination company, the relative size of Presto compared to VTAQ, and Presto’s operations comprising the ongoing operations of the post-combination company. Accordingly, for accounting purposes, the Merger has been treated as the equivalent of a capital transaction in which Presto is issuing stock for the net assets of VTAQ. The net assets of VTAQ have been stated at historical cost, with no goodwill or other intangible assets recorded. Operations prior to the Merger are those of Presto, as Presto is considered the predecessor for financial reporting purposes.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Expansion in the Number of Locations in which Our Solutions are Used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intend to expand the locations in which our solutions are used by rolling out our Presto Voice solution to franchisee customers in the restaurant groups with which we have entered into master services agreements. We view the expansion of Presto Voice to these franchisee customers as a key driver of our revenue in the near term.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Relationships with Existing Customers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For the three and nine months ended March 31, 2024, our largest restaurant customers (including, as applicable, the franchisees of such restaurants aggregated as a single customer for reporting purposes) generated an aggregate of approximately 92% and 91% of our revenue, respectively, while for the three and nine months ended March 31, 2023, they generated an aggregate of approximately 96% and 97%, respectively. Two of these customers have entered into contracts for our Presto Touch that expire or were extended to June 30, 2024 and one customer’s contract term ended February 29, 2024. Our Lender required the renewals to be secured by December 31, 2023 and if not to provide and implement a strategic wind-down plan that is reasonably acceptable to the Lender with respect to Presto Touch. We did not achieve the renewals and therefore are winding down the Presto Touch solution to allow for dedicated focus and efforts on our Presto Voice solution. We expect to have fully transitioned out in the coming months and remain open to strategic alternatives related to this solution including a sale, partial sale, or abandonment of the Presto Touch business. Refer to Note 1 of Part 1, Item 1 of this quarterly report on Form 10-Q for details on a memorandum of understanding relating to the Presto Touch solution entered into on January 17, 2024.</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b w:val="1"/>
          <w:bCs w:val="1"/>
          <w:i w:val="1"/>
          <w:iCs w:val="1"/>
          <w:color w:val="auto"/>
        </w:rPr>
        <w:t>ttraction of New Customers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there is a substantial opportunity to continue to grow our restaurant solutions across the QSR sectors in the United States. We have signed several pilot agreements with new customers for Presto Voice and as well converted certain pilot agreements to full Presto Voice customers. We hope to convert each of our pilot customers into broader customer relationships in the fiscal years 2024 and 2025. We believe that this will serve as a driver of revenue in the future.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Innovation of Our AI Technology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Given the machine learning associated with all AI technology, including our solution, we use an approach which is commonly employed in the AI industry referred to as human-in-the loop (HITL) to ensure the desired level of accuracy in order taking is achieved. If we are unable to reduce the degree or cost of HITL and/or achieve greater efficiencies with our human agents, our results of operations and business may be adversely affected.</w:t>
      </w:r>
    </w:p>
    <w:p>
      <w:pPr>
        <w:spacing w:after="0" w:line="180"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As we continue to grow our Presto Voice business, we are focusing on increasing the rate at which our solution successfully receives orders without the need for any HITL. We continue to improve our AI accuracy and further deploy Presto Voice across store locations.</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At select locations where we are piloting the most advanced version of our AI technology, approximately 46% of orders taken at those locations do not require human agents to enter the orders. With this version of the AI engine, although the AI is able to complete the order without a human agent intervention, human supervision ensures that the AI is accurately entering the order and is immediately ready to review, validate and correct orders if necessary. Locations that use our AI technology currently use human agent intervention, including entering the order, in all instances.</w:t>
      </w:r>
    </w:p>
    <w:p>
      <w:pPr>
        <w:spacing w:after="0" w:line="183"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As of March 31, 2024, our Voice AI technology has been installed in 202 restaurant locations (e.g., locations other than the 347 Checkers locations which are powered by Hi Auto’s solution). Of these 202 stores, 163 were live as of March 31, 2024, and 55 using our most advanced version of our Voice AI technology and on average approximately 46% of orders taken at those locations do not require human intervention to complete the order. In these locations, human supervision still ensures that the Voice AI is accurately entering the order and is immediately ready to review, validate and correct orders if necessary. The percentage of orders that on average do not require human intervention may fluctuate over time as we continue the roll out of our technology. As of March 31, 2024, we had contracts for the installation of our Voice AI technology at an additional 60 restaurant locations.</w:t>
      </w:r>
    </w:p>
    <w:p>
      <w:pPr>
        <w:spacing w:after="0" w:line="18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Further increasing automation of orders through our improving AI engine and continuing to optimize human intervention will allow us to maintain desired levels of order accuracy while achieving profitability at the restaurant location level (referred to as “site margin”).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experience seasonality in our Transaction revenue, which is largely driven by the level of gross payment volume processed through Presto Touch. For example, restaurant operators typically obtain greater sales during the warmer months, though this effect varies regionally. As a result, our Transaction revenue per location has historically been stronger in the first and fourth quarters of our fiscal year. We believe that Transaction revenue from both existing and potential future solutions will continue to represent a material proportion of our overall revenue mix, at least in the near term, through planned termination of our remaining Touch arrangements through June 30,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Implementation of On-Going Cost Improvement Program</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became a public company through a deSPAC process on September 21, 2022 upon the consummation of the Business Combination and, as a result, are incurring costs related to, among other things, directors’ and officers’ liability insurance and audit, legal and other functions.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taken several steps during fiscal 2024 to operate our business more efficiently, improve profitability, streamline operations and reduce costs, including a reduction in force of our global full-time employees by 17% on November 15, 2023. The current execution of this cost reduction plan resulted in approximately $0.5 million in cost reduction charges for the nine months ended March 31, 2024. In addition, we have implemented initiatives including realigning personnel and other resources consistent with our current business needs and strategic plans. We intend to continue to evaluate opportunities to enhance our efficiencies, including further cost reductions as necessary.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14, 2024, in furtherance of our previously-announced plan to implement a strategic wind-down plan with respect to our Presto Touch business, our board approved and we commenced a reduction in force affecting 24 corporate roles, or 18% of our workforce. The Company expects the reduction in force to be substantially complete by the end of the fiscal fourth quarter of 2024. Total costs for the reduction in force are estimated at $0.4 million of one-time charges for the three months ended March 31, 2024.</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On January 17, 2024, we entered into a non-binding memorandum of understanding (“MoU”) with respect to the formation of a new company (the “Joint Venture”) for the creation of and joint investment in our Presto Touch. If the Joint Venture closes, we will cease our own operations of the Presto Touch and will not be responsible for subsequent costs. The MoU specifies that we would own 40% of the Joint Venture. Since our Presto Touch is in the process of being wound down, the parties are in discussions to determine whether the MoU will be amended to effect the sale of the assets of that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March 31, 2024 and 2023, we derived our revenues from two revenue streams: (1) sales and leases of the Presto Touch and Presto Voice solutions (“Platform revenue”), which includes hardware, hardware accessories, software and customer support and maintenance, and (2) premium gaming content and other revenue, which includes professional services (“Transaction revenue”).</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are winding down our Presto Touch solution to allow for dedicated focus and efforts on our Presto Voice solution. We expect to have fully transitioned out in the coming months and remains open to strategic alternatives related to this solution including a sale, partial sale or abandonment of the Presto Touch business. This will adversely impact our total revenue in the short-term, but we believe it will position us for revenue growth in the long-term. Refer to Note 1 of Part 1, Item 1 of this quarterly report on Form 10-Q for details on this memorandum of understanding relating to the Presto Touch solution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Platform Revenue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Platform revenue is generated from fees charged to customers for access to our Presto Touch and Presto Voice solutions and is recognized ratably over the life of the contract, with a portion of the total contract value due upon execution of the contract and the remainder due monthly over the term of the contract. Our master service agreements with customers typically range from 12 to 36 months in duration. Amounts invoiced in excess of revenue recognized are recorded as deferred revenue. During the three and nine months ended March 31, 2024, our Voice solutions for drive-thru restaurants contributed $0.8 million and $1.8 million respectively, which accounts for 17% and 13% of the total revenue generated during the respective periods. Revenue generated from Presto Voice was not material for the three and nine months ended March 31, 2023. We are dedicated to expanding our presence in the drive-thru restaurant market, and we are committed to driving continued growth in our Presto Voice revenue stream.</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an agreement with Hi Auto Ltd, (“Hi Auto”), we remit a revenue share associated with our Presto Voice at Checkers locations which is powered by Hi Auto. As we have determined that we serve as an agent in the relationship because we do not control the related Voice hardware, software and other services and are not primarily responsible for fulfilling the obligations to the customer, we recognize this revenue net of the revenue share amount paid to Hi Auto. The revenue share amount ranged from 63% to 65% of the gross billings by both parties to the restaurant operators for the three and nine months ended March 31, 2024 and between 64% and 68% for the three and nine months ended March 31, 2023. Our revenue for the three and nine months ended March 31, 2024 and 2023, from Checkers also reflects, as a reduction to transaction price, the fair value of the warrant issued to Checkers. (See Note 3 of the condensed consolidated financial statements included within this Quarterly Report on Form 10-Q for further details). We also pay Hi Auto a fee that is accounted for as cost of revenue which was $0.3 million and $0.9 million for the three and nine months ended March 31, 2024, respectively, and $0.3 million and $0.8 million for the three and nine months ended March 31, 2023, respectively.</w:t>
      </w:r>
    </w:p>
    <w:p>
      <w:pPr>
        <w:spacing w:after="0" w:line="19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On January 29, 2024, we agreed to amend the Hi Auto agreement to modify customer billing arrangements for certain locations and to allow for each of Hi Auto and us to compete for the Checkers relationship, beginning on May 1, 2024. Both Hi Auto and we agreed to continue the obligations under the existing agreement until the last remaining contract linked to the existing agreement ends on June 30, 2024.</w:t>
      </w:r>
    </w:p>
    <w:p>
      <w:pPr>
        <w:spacing w:after="0" w:line="17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also maintain an agreement with a legacy customer whereby we lease Presto Touch to that customer. Revenue associated with the lease is recognized on a straight-line basis as Platform revenue over the lease term in the condensed consolidated statements of operations and comprehensive income (loss).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Revenue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Transaction revenue is primarily generated from the delivery to, and use of premium gaming content by, restaurant guests. We act as the principal in this transaction as we are responsible for fulfillment, retain control of the gaming license and its accessibility and have influence in establishing the price charged to the guest. The restaurant operator acts as a sales agent between us and the guest to upsell premium gaming content purchases during the dining experience. Transaction revenue is recognized on a gross basis. A portion of Transaction revenue collections is owed to the restaurant operator and is recorded in Transaction cost of revenue.</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To a lesser extent, we also generate revenue from professional services, which primarily consists of fees from developing premium content to be used on the devices and installation. We recognize revenue from professional service engagements that occur over a period of time on a proportional performance basis as labor hours are incurred.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discussed above, regarding the anticipated transition away from our Presto Touch business, we expect that this action will adversely impact our transaction revenue as it is related to our Presto Touch solution.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Platform cost of revenue consists of four categories: product costs, shipping/freight costs, installation costs and other costs. Product costs consist primarily of the cost to purchase the hardware and hardware accessories for our Presto Touch and Presto Voice solutions. Shipping/freight costs consist of all costs to transport equipment to restaurants. Installation costs consist primarily of the labor cost to install the hardware in each restaurant. Other costs include the amortization of capitalized software and product support costs, as well as certain costs paid to vendors supporting the development of software and hardware offerings used in Presto Touch and Presto Voice. Other costs also include the costs of human agents (located offsite of the restaurant) to enter, review, validate and correct orders received by Presto Voice.</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Transaction cost of revenue consists primarily of the portion of the fees collected from guests that are paid to the restaurant as part of the revenue share agreement with each restaurant. As we bear primary responsibility for the solution, we are the principal in the premium content transaction and restaurants act as the agent, whereby we collect all of the fees paid as revenue and remit the revenue share to the restaurants as cost of revenue. The portion of the fees collected from guests that are withheld by and payable to the restaurant as part of the revenue share agreement with each restaurant is recorded to Transaction cost of revenue. The commissions paid to restaurants under our gaming revenue share agreements range on average between 86% - 100% and 86% - 97% of premium gaming content revenue by customer brand for the three and nine months ended March 31, 2024, respectively, and 84% to 90% and 83% to 90% for the three and nine months ended March 31, 2023, respectively.</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Depreciation, amortization and impairment cost of revenue consists primarily of the costs of leased assets that are included in property and equipment, net in the balance sheet that are amortized to cost of revenue as well as capitalized software amortization. In addition, impairment charges are included for obsolete developed technology acquired in the CyborgOps acquisition and inventory related to Presto Touch.</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cost of revenue includes costs to refurbish and repair our Presto Touch tablets. These costs are expensed in the period in which they are incurred, and as the costs are generally linear, they are generally expected to match the timing of revenue recognized over time. In connection with these costs, we also accrue a liability at each reporting period for expected repair costs for customer tablets currently in our repair and return merchandise authorization (“RMA”) process as of the reporting period, which are charged to Platform cost of revenue.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Operating expenses consist of sales and marketing, research and development, and general and administrative expenses. The largest single component of operating expenses is employee-related expenses, which include salaries, commissions and bonuses, stock-based compensation, and employee benefit and other related payroll costs.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and will continue to implement measures to streamline operations, improve efficiencies, reduce our operating losses and reduce costs on a go forward basis, including a realignment of personnel and other resources consistent with our strategic plans. We may nonetheless face increased legal expenses as we address litigation and government investigations.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Research and development expenses consist primarily of employee-related costs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and the development of our solutions, and expenses associated with the use of third-party software directly related to the preliminary development and maintenance of our solutions and services, as well as allocated overhead. These costs are expensed as incurred unless they meet the requirements for capitalization. In addition, research and development expenses includes the impairment of intangible assets that were never placed into service.</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Sales and marketing expenses consist primarily of employee-related costs incurred to acquire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and increase product adoption across our existing customer base. Marketing expenses also include fees incurred to generate demand through various advertising channels and allocated overhead costs.</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consist primarily of expenses related to facilities, finance,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human resources and administrative personnel and systems. General and administrative expenses also include costs related to fees paid for certain professional services, including legal, tax and accounting services and bad debt expenses.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Warrants and Convertible Promissory Notes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account for our warrants in accordance with ASC 815-40 as either liabilities or as equity instruments depending on the specific terms of the warrant agreement. Warrants are classified as liabilities when there is variability in the number of shares, and when the variability is not related to an input in the valuation of such warrants. Liability-classified warrants are remeasured at each reporting date until settlement, with changes in the fair value recognized in the change in fair value of warrants and convertible promissory notes in the condensed consolidated statement of operations and comprehensive income (loss). Warrants that meet the fixed-for-fixed criteria or contain variability related to an input in the valuation model of the warrants are classified as equity instruments. Warrants classified as equity instruments are initially recognized at fair value and are not subsequently remeasured.</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elected the fair value option to account for the convertible notes because we believe it more accurately reflects the value of the debt in our financial statements. The principal amount of the convertible notes is measured at fair value using the Monte Carlo valuation model. Interest on the convertible notes is accounted for within the change in fair value of warrants and convertible promissory note on the condensed consolidated statement of operations and comprehensive income (loss). The valuation model utilized various key assumptions, such as the probability of various financing scenarios.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expense primarily consists of interest incurred on our financing obligations and outstanding debt.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 and Financial Obligations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Loss on extinguishment of debt and financial obligations consists of losses incurred related to the extinguishment of our term loans outstanding prior to the Merger during the nine months ended March 31, 2023 and the extinguishment of our financial obligation with third parties during the nine months ended March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financing and financial instrument costs, net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financing and financial instrument costs, net primarily consists of expense related to the issuance of shares of common stock and the transfer of warrants upon termination of a convertible note agreement in the nine months ended March 31, 2023, and associated legal fees, offset by the remeasurement of the liability related to the Unvested Sponsor Shares.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account for the arrangement related to the Unvested Sponsor Shares in accordance with ASC 815-40 as equity-linked instruments which are not indexed to the entity’s own stock and accordingly such instruments are liability classified.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Other income, net includes income of $2.0 million due to the forgiveness of our Paycheck Protection Program (“PPP”) loans in the nine months ended March 31, 2023. During the year ended June 30, 2023, we made an investment in a non-affiliated entity in the amount of $2.0 million. We have determined that the investment does not have a readily determinable fair value and therefore account</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investment at cost, as adjusted for any impairments and observable price changes. There were no adjustments recorded for impairments and observable price changes during the three and nine months ended March 31, 2024 and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account for income taxes using the asset and liability method whereby deferred tax asset and liability account balances are determined based on temporary differences between the financial statement and tax basis of assets and liabilities using enacted tax rates in effect for the year in which the differences are expected to affect taxable income. A valuation allowance is established when management estimates that it is “more-likely-than-not” that deferred tax assets will not be realized. Realization of deferred tax assets is dependent upon future pretax earnings, the reversal of temporary differences between book and tax income, and the expected tax rates in future periods.</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are required to evaluate whether tax positions are “more-likely-than-not” of being sustained by the applicable tax authority. Tax benefits of positions not deemed to meet the “more-likely-than-not”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record interest and penalties related to income tax matters in income tax expense.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the 2017 Tax Act, research and experimental (“R&amp;E”) expenses under Internal Revenue Code Section 174 are required to be capitalized beginning in 2022. R&amp;E expenses are required to be amortized over a period of 5 years for domestic expenses and 15 years for foreign expenses.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and nine months ended March 31, 2024 and 2023</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gridSpan w:val="1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5"/>
                <w:szCs w:val="15"/>
                <w:color w:val="auto"/>
              </w:rPr>
            </w:pPr>
          </w:p>
        </w:tc>
        <w:tc>
          <w:tcPr>
            <w:tcW w:w="2140" w:type="dxa"/>
            <w:vAlign w:val="bottom"/>
            <w:gridSpan w:val="12"/>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0" w:type="dxa"/>
            <w:vAlign w:val="bottom"/>
          </w:tcPr>
          <w:p>
            <w:pPr>
              <w:spacing w:after="0"/>
              <w:rPr>
                <w:sz w:val="1"/>
                <w:szCs w:val="1"/>
                <w:color w:val="auto"/>
              </w:rPr>
            </w:pPr>
          </w:p>
        </w:tc>
      </w:tr>
      <w:tr>
        <w:trPr>
          <w:trHeight w:val="142"/>
        </w:trPr>
        <w:tc>
          <w:tcPr>
            <w:tcW w:w="270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3"/>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Platform</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gridSpan w:val="6"/>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60" w:type="dxa"/>
            <w:vAlign w:val="bottom"/>
          </w:tcPr>
          <w:p>
            <w:pPr>
              <w:spacing w:after="0"/>
              <w:rPr>
                <w:sz w:val="18"/>
                <w:szCs w:val="18"/>
                <w:color w:val="auto"/>
              </w:rPr>
            </w:pP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40" w:type="dxa"/>
            <w:vAlign w:val="bottom"/>
          </w:tcPr>
          <w:p>
            <w:pPr>
              <w:spacing w:after="0"/>
              <w:rPr>
                <w:sz w:val="18"/>
                <w:szCs w:val="18"/>
                <w:color w:val="auto"/>
              </w:rPr>
            </w:pP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6,432</w:t>
            </w:r>
          </w:p>
        </w:tc>
        <w:tc>
          <w:tcPr>
            <w:tcW w:w="60" w:type="dxa"/>
            <w:vAlign w:val="bottom"/>
          </w:tcPr>
          <w:p>
            <w:pPr>
              <w:spacing w:after="0"/>
              <w:rPr>
                <w:sz w:val="18"/>
                <w:szCs w:val="18"/>
                <w:color w:val="auto"/>
              </w:rPr>
            </w:pPr>
          </w:p>
        </w:tc>
        <w:tc>
          <w:tcPr>
            <w:tcW w:w="3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11,617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Transaction</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7,798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6,607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14,230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21,316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Platform</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4,165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Transaction</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6,992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Borders>
              <w:bottom w:val="single" w:sz="8" w:color="CCEEFF"/>
            </w:tcBorders>
            <w:gridSpan w:val="5"/>
          </w:tcPr>
          <w:p>
            <w:pPr>
              <w:ind w:left="120"/>
              <w:spacing w:after="0"/>
              <w:rPr>
                <w:sz w:val="20"/>
                <w:szCs w:val="20"/>
                <w:color w:val="auto"/>
              </w:rPr>
            </w:pPr>
            <w:r>
              <w:rPr>
                <w:rFonts w:ascii="Times New Roman" w:cs="Times New Roman" w:eastAsia="Times New Roman" w:hAnsi="Times New Roman"/>
                <w:sz w:val="18"/>
                <w:szCs w:val="18"/>
                <w:color w:val="auto"/>
              </w:rPr>
              <w:t>Depreciation, amortization and impairments</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612</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3,656</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166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14,443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16,877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5,883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10,757</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7,408</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27,556</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19,608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47,882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(15,300)</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(14,542)</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(48,465)</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(42,307)</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warrants and convertible promissory notes</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626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(3,126)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(2,991)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(10,441)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(9,397)</w:t>
            </w:r>
          </w:p>
        </w:tc>
        <w:tc>
          <w:tcPr>
            <w:tcW w:w="0" w:type="dxa"/>
            <w:vAlign w:val="bottom"/>
          </w:tcPr>
          <w:p>
            <w:pPr>
              <w:spacing w:after="0"/>
              <w:rPr>
                <w:sz w:val="1"/>
                <w:szCs w:val="1"/>
                <w:color w:val="auto"/>
              </w:rPr>
            </w:pPr>
          </w:p>
        </w:tc>
      </w:tr>
      <w:tr>
        <w:trPr>
          <w:trHeight w:val="216"/>
        </w:trPr>
        <w:tc>
          <w:tcPr>
            <w:tcW w:w="41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 and financial obligations</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(8,095)</w:t>
            </w:r>
          </w:p>
        </w:tc>
        <w:tc>
          <w:tcPr>
            <w:tcW w:w="0" w:type="dxa"/>
            <w:vAlign w:val="bottom"/>
          </w:tcPr>
          <w:p>
            <w:pPr>
              <w:spacing w:after="0"/>
              <w:rPr>
                <w:sz w:val="1"/>
                <w:szCs w:val="1"/>
                <w:color w:val="auto"/>
              </w:rPr>
            </w:pPr>
          </w:p>
        </w:tc>
      </w:tr>
      <w:tr>
        <w:trPr>
          <w:trHeight w:val="216"/>
        </w:trPr>
        <w:tc>
          <w:tcPr>
            <w:tcW w:w="3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Other financing and financial instrument (costs), net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1,141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(1,768)</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17,729</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44,395</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before provision for income taxes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and comprehensive income (loss)</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(18,095)</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(15,680)</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center"/>
              <w:ind w:right="5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(30,777)</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7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24"/>
                <w:szCs w:val="24"/>
                <w:color w:val="auto"/>
              </w:rPr>
            </w:pPr>
          </w:p>
        </w:tc>
        <w:tc>
          <w:tcPr>
            <w:tcW w:w="19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 w:type="dxa"/>
            <w:vAlign w:val="bottom"/>
          </w:tcPr>
          <w:p>
            <w:pPr>
              <w:spacing w:after="0"/>
              <w:rPr>
                <w:sz w:val="24"/>
                <w:szCs w:val="24"/>
                <w:color w:val="auto"/>
              </w:rPr>
            </w:pPr>
          </w:p>
        </w:tc>
        <w:tc>
          <w:tcPr>
            <w:tcW w:w="8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11"/>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70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top w:val="single" w:sz="8" w:color="auto"/>
              <w:bottom w:val="single" w:sz="8" w:color="CCEEFF"/>
            </w:tcBorders>
            <w:gridSpan w:val="2"/>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gridSpan w:val="4"/>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Platform</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(897)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(5,185)</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Transaction</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(36)%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7,798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9,699</w:t>
            </w:r>
          </w:p>
        </w:tc>
        <w:tc>
          <w:tcPr>
            <w:tcW w:w="8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8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0"/>
        </w:trPr>
        <w:tc>
          <w:tcPr>
            <w:tcW w:w="2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(2,155)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21,316</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(7,086)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Platform revenue decreased 29% to $2.2 million for the three months ended March 31, 2024, as compared to $3.1 million for the three months ended March 31, 2023. The decrease is primarily attributable to the amortization and roll-off of deferred revenue related to legacy Touch contracts. This was offset by an increase of $0.9 million in the Presto Voice solution revenue, attributable to the continued rollout to new locations.</w:t>
      </w:r>
    </w:p>
    <w:p>
      <w:pPr>
        <w:spacing w:after="0" w:line="18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Transaction revenue decreased 36% to $2.3 million for the three months ended March 31, 2024, as compared to $3.5 million for the three months ended March 31, 2023. This is primarily attributable to fewer live stores using Presto Touch and a lower volume of games being played by restaurant guests.</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Platform revenue decreased 45% to $6.4 million for the nine months ended March 31, 2024, as compared to $11.6 million for the nine months ended March 31, 2023. The decrease is primarily attributable to the amortization and roll-off of deferred revenue related to legacy Touch contracts. This was offset by an increase of $1.8 million in the Presto Voice solution revenue, attributable to the continued rollout to new locations.</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Transaction revenue decreased 20% to $7.8 million for the nine months ended March 31, 2024, as compared to $9.7 million for the nine months ended March 31, 2023. This is primarily attributable to fewer live stores using Presto Touch and a lower volume of games being played by restaurant guests, partially offset by increases in pricing for our gaming fees.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19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 w:type="dxa"/>
            <w:vAlign w:val="bottom"/>
          </w:tcPr>
          <w:p>
            <w:pPr>
              <w:spacing w:after="0"/>
              <w:rPr>
                <w:sz w:val="15"/>
                <w:szCs w:val="15"/>
                <w:color w:val="auto"/>
              </w:rPr>
            </w:pPr>
          </w:p>
        </w:tc>
        <w:tc>
          <w:tcPr>
            <w:tcW w:w="86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160" w:type="dxa"/>
            <w:vAlign w:val="bottom"/>
          </w:tcPr>
          <w:p>
            <w:pPr>
              <w:spacing w:after="0"/>
              <w:rPr>
                <w:sz w:val="15"/>
                <w:szCs w:val="15"/>
                <w:color w:val="auto"/>
              </w:rPr>
            </w:pPr>
          </w:p>
        </w:tc>
        <w:tc>
          <w:tcPr>
            <w:tcW w:w="86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86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86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Platform</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(1,101)</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(40)</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10,951</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(6,786)</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Transaction</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8"/>
        </w:trPr>
        <w:tc>
          <w:tcPr>
            <w:tcW w:w="2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Depreciation, amortization and</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impairments</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8"/>
              </w:rPr>
              <w:t>110 %</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319 %</w:t>
            </w:r>
          </w:p>
        </w:tc>
        <w:tc>
          <w:tcPr>
            <w:tcW w:w="0" w:type="dxa"/>
            <w:vAlign w:val="bottom"/>
          </w:tcPr>
          <w:p>
            <w:pPr>
              <w:spacing w:after="0"/>
              <w:rPr>
                <w:sz w:val="1"/>
                <w:szCs w:val="1"/>
                <w:color w:val="auto"/>
              </w:rPr>
            </w:pPr>
          </w:p>
        </w:tc>
      </w:tr>
      <w:tr>
        <w:trPr>
          <w:trHeight w:val="210"/>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Total costs of revenue</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6,118</w:t>
            </w:r>
          </w:p>
        </w:tc>
        <w:tc>
          <w:tcPr>
            <w:tcW w:w="1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(1,832)</w:t>
            </w:r>
          </w:p>
        </w:tc>
        <w:tc>
          <w:tcPr>
            <w:tcW w:w="14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(30)</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14,813</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20,385</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(5,572)</w:t>
            </w:r>
          </w:p>
        </w:tc>
        <w:tc>
          <w:tcPr>
            <w:tcW w:w="14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Our Platform cost of revenue decreased 40% to $1.6 million for the three months ended March 31, 2024, as compared to $2.7 million for the three months ended March 31, 2023. The decrease was in line with the decrease in Platform revenue which impacted product deferred costs, installation and shipping costs during the three months ended March 31, 2024, relative to the three months ended March 31, 2023.</w:t>
      </w:r>
    </w:p>
    <w:p>
      <w:pPr>
        <w:spacing w:after="0" w:line="180"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Our Transaction cost of revenue decreased 34% to $2.0 million for the three months ended March 31, 2024, as compared to $3.1 million for the three months ended March 31, 2023. The decrease was in line with the decrease in Transaction revenue.</w:t>
      </w:r>
    </w:p>
    <w:p>
      <w:pPr>
        <w:spacing w:after="0" w:line="162"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Our Platform cost of revenue decreased 62% to $4.2 million for the nine months ended March 31, 2024, as compared to $11.0 million for the nine months ended March 31, 2023. The decrease was in line with the decrease in Platform revenue which impacted product deferred costs, installation and shipping costs during the nine months ended March 31, 2024, relative to the nine months ended March 31, 2023.</w:t>
      </w:r>
    </w:p>
    <w:p>
      <w:pPr>
        <w:spacing w:after="0" w:line="180"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Our Transaction cost of revenue decreased 18% to $7.0 million for the nine months ended March 31, 2024, as compared to $8.6 million for the nine months ended March 31, 2023. The decrease was in line with the decrease in Transaction revenue.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 Depreciation, amortization, and impairment</w:t>
      </w:r>
    </w:p>
    <w:p>
      <w:pPr>
        <w:spacing w:after="0" w:line="22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depreciation, amortization, and impairment in cost of revenue increased 110% to $0.6 million for the three months ended March 31, 2024 as compared to $0.3 million for the three months ended March 31, 2023 due to an increase in amortization of intangibles of $0.5 million for capitalized software that was both developed and became ready for its intended use either at the end of fiscal year 2023 or during fiscal year 2024, partially offset by a decrease in depreciation of property and equipment of $0.3 million due to an increase in property and equipment that were fully depreciated.</w:t>
      </w:r>
    </w:p>
    <w:p>
      <w:pPr>
        <w:spacing w:after="0" w:line="18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depreciation, amortization, and impairment cost in cost of revenue increased 319% to $3.7 million for the nine months ended March 31, 2024 as compared to $0.9 million for the nine months ended March 31, 2023 due to an increase in amortization of intangibles of $1.5 million for capitalized software that was both developed and became ready for its intended use either at the end of fiscal year 2023 or during fiscal year 2024, $0.9 million in impairment of our acquired technology related to CyborgOps and $0.4 million impairment of inventory related to our Presto Touch solution, partially offset by a decrease in depreciation of property and equipment of $0.3 million due to an increase in property and equipment that were fully depreciated.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19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3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2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40" w:type="dxa"/>
            <w:vAlign w:val="bottom"/>
          </w:tcPr>
          <w:p>
            <w:pPr>
              <w:spacing w:after="0"/>
              <w:rPr>
                <w:sz w:val="18"/>
                <w:szCs w:val="18"/>
                <w:color w:val="auto"/>
              </w:rPr>
            </w:pPr>
          </w:p>
        </w:tc>
        <w:tc>
          <w:tcPr>
            <w:tcW w:w="6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7,948</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09"/>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15,466</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15,031</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4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47,882</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43,238</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14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decreased 52% to $2.7 million for the three months ended March 31, 2024, as compared to $5.5 million for the three months ended March 31, 2023. The decrease resulted primarily from a decrease in salaries and employee benefits expense of $1.0 million and a decrease in stock-based compensation expense of $0.9 million due to a decrease in overall headcount. Other decreases include a decrease in professional fees of $0.7 million and a decrease in other expenses of $0.2 million.</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decreased 14% to $14.4 million for the nine months ended March 31, 2024, as compared to $16.9 million for the nine months ended March 31, 2023. The decrease resulted primarily from a decrease in salaries and employee benefits expense of $3.8 million due to a decrease in overall headcount, a decrease in professional fees of $1.6 million and a decrease in $1.2 million of other expenses. The decrease was offset by the impairment of capitalized software of $2.8 million related to our discontinued vision offering, an increase in stock-based compensation expense of $1.0 million, and the impairment of capitalized software of $0.4 million related to the next generation of our Presto Touch solution during the nine months ended March 31, 2024. Both of these abandoned technologies had not previously been placed into service.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Sales and marketing expenses decreased 4% to $2.0 million for the three months ended March 31, 2024, as compared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 million for the three months ended March 31, 2023. The decrease resulted primarily from a decrease of $0.1 million in stock-based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expense.</w:t>
      </w:r>
    </w:p>
    <w:p>
      <w:pPr>
        <w:spacing w:after="0" w:line="2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expenses decreased 13% to $5.9 million for the nine months ended March 31, 2024, as compared to $6.8 million for the nine months ended March 31, 2023. The decrease resulted primarily from a decrease in salaries and employee benefits expense of $0.4 million, as a result of a decrease in headcount and a decrease in professional fees of $0.4 million, in part due to a public relations fee paid upon the completion of the Merger of $0.3 million in the nine months ended March 31,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45% to $10.8 million for the three months ended March 31, 2024, as compared to $7.4 million for the three months ended March 31, 2023. The increase resulted primarily from an increase of $4.3 million in professional fees for legal, audit, public company compliance and other expenses and an increase of $0.3 million in provision for credit losses. This increase was partially offset by a decrease in stock-based compensation of $1.4 million.</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41% to $27.6 million for the nine months ended March 31, 2024, as compared to $19.6 million for the nine months ended March 31, 2023. The increase resulted primarily from an increase of $9.1 million in professional fees for legal, audit, public company compliance and other expenses, an increase of provision for credit losses of $0.4 million and an increase of $0.3 million due to D&amp;O insurance, offset by a decrease of $1.8 million in stock-based compensation due to terminations and $0.3 million in salaries and benefits.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Warrants and Convertible Promissory Notes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5"/>
                <w:szCs w:val="15"/>
                <w:color w:val="auto"/>
              </w:rPr>
            </w:pPr>
          </w:p>
        </w:tc>
        <w:tc>
          <w:tcPr>
            <w:tcW w:w="19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0" w:type="dxa"/>
            <w:vAlign w:val="bottom"/>
          </w:tcPr>
          <w:p>
            <w:pPr>
              <w:spacing w:after="0"/>
              <w:rPr>
                <w:sz w:val="15"/>
                <w:szCs w:val="15"/>
                <w:color w:val="auto"/>
              </w:rPr>
            </w:pPr>
          </w:p>
        </w:tc>
        <w:tc>
          <w:tcPr>
            <w:tcW w:w="72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160" w:type="dxa"/>
            <w:vAlign w:val="bottom"/>
          </w:tcPr>
          <w:p>
            <w:pPr>
              <w:spacing w:after="0"/>
              <w:rPr>
                <w:sz w:val="15"/>
                <w:szCs w:val="15"/>
                <w:color w:val="auto"/>
              </w:rPr>
            </w:pPr>
          </w:p>
        </w:tc>
        <w:tc>
          <w:tcPr>
            <w:tcW w:w="92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7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92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8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Change in fair value of warrants and</w:t>
            </w: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5"/>
              </w:rPr>
              <w:t>$ (973)</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61 %</w:t>
            </w:r>
          </w:p>
        </w:tc>
        <w:tc>
          <w:tcPr>
            <w:tcW w:w="9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26,937</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61,043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(34,106)</w:t>
            </w:r>
          </w:p>
        </w:tc>
        <w:tc>
          <w:tcPr>
            <w:tcW w:w="1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2024, the change in fair value of warrants and convertible promissory notes was a gain of $0.6 million, as compared to a gain of $1.6 million during the three months ended March 31, 2023, due to the gain on the valuation of our convertible notes of $1.5 million and a the decrease in our stock price during the three months ended March 31, 2024, partially offset by the issuance of 18,000,000 warrants to purchase common stock as a result of the anti-dilution provision in the Third Amendment Conversion Warrants being remeasured and the issuance of the Fifth Amendment Warrants.</w:t>
      </w:r>
    </w:p>
    <w:p>
      <w:pPr>
        <w:spacing w:after="0" w:line="18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During the nine months ended March 31, 2024, the change in fair value of warrants and convertible promissory notes was a gain of $26.9 million, as compared to a gain of $61.0 million during the nine months ended March 31, 2023. The primary reason for the gain in the nine months ended March 31, 2024 was due to the warrants being remeasured resulting in a gain of $25.5 million, with such gain being driven primarily by a decrease in our stock price, partially offset by the issuance of the Third Amendment Warrants,</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including the issuance of 21,000,000 warrants to purchase common stock as a result of the anti-dilution provision in the Third Amendment Conversion Warrants being remeasured and the issuance of the Fifth Amendment Warrants. Further, we recognized a gain on the valuation of our convertible notes of $1.5 million.</w:t>
      </w:r>
    </w:p>
    <w:p>
      <w:pPr>
        <w:spacing w:after="0" w:line="17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remeasurement gain recorded during the nine months ended March 31, 2023, was primarily driven by two factors. First, immediately prior to the closing of the Merger, the convertible notes and embedded warrants were remeasured to their then fair value of $41.4 million, resulting in a gain on remeasurement of $48.3 million. Second, with the close of the Merger, the Company assumed $9.4 million of warrant liabilities associated with the legacy private warrants of VTAQ and issued additional warrants with a fair value of $0.8 million. As of March 31, 2023, all of the Company’s outstanding liability classified warrants were remeasured to fair value based on the March 31, 2023 stock price. As a result of the above, a $61.0 million gain on remeasurement was recorded for the nine months ended March 31, 2023. The primary factor affecting the change in fair value of the warrants was the assumption of the private warrants, the issuance of additional warrant shares, and the decrease in the Company’s stock price during the nine months ended March 31,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5"/>
                <w:szCs w:val="15"/>
                <w:color w:val="auto"/>
              </w:rPr>
            </w:pPr>
          </w:p>
        </w:tc>
        <w:tc>
          <w:tcPr>
            <w:tcW w:w="21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68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2"/>
                <w:szCs w:val="12"/>
                <w:color w:val="auto"/>
              </w:rPr>
            </w:pPr>
          </w:p>
        </w:tc>
        <w:tc>
          <w:tcPr>
            <w:tcW w:w="860" w:type="dxa"/>
            <w:vAlign w:val="bottom"/>
            <w:tcBorders>
              <w:top w:val="single" w:sz="8" w:color="auto"/>
            </w:tcBorders>
          </w:tcPr>
          <w:p>
            <w:pPr>
              <w:jc w:val="right"/>
              <w:ind w:right="20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760" w:type="dxa"/>
            <w:vAlign w:val="bottom"/>
            <w:tcBorders>
              <w:top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135</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10,441</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9,397</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$ 1,044</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Interest expense increased 5% to $3.1 million for the three months ended March 31, 2024, as compared to $3.0 million for the three months ended March 31, 2023. The increase was due to us having higher interest-bearing term loan debt outstanding during the three months ended March 31, 2024 as compared to the three months ended March 31, 2023, partially offset by the repayment of $10.0 million and a reduction of the interest rate on our debt outstanding under the Credit Agreement.</w:t>
      </w:r>
    </w:p>
    <w:p>
      <w:pPr>
        <w:spacing w:after="0" w:line="18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Interest expense increased 11% to $10.4 million for the nine months ended March 31, 2024, as compared to $9.4 million for the nine months ended March 31, 2023. The increase was due to us having higher interest-bearing term loan debt outstanding during the nine months ended March 31, 2024 as compared to the nine months ended March 31, 2023, partially offset by the repayment of $10.0 million and a reduction of the interest rate on our debt outstanding under the Credit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 and Financial Obligations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5"/>
                <w:szCs w:val="15"/>
                <w:color w:val="auto"/>
              </w:rPr>
            </w:pPr>
          </w:p>
        </w:tc>
        <w:tc>
          <w:tcPr>
            <w:tcW w:w="19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 w:type="dxa"/>
            <w:vAlign w:val="bottom"/>
          </w:tcPr>
          <w:p>
            <w:pPr>
              <w:spacing w:after="0"/>
              <w:rPr>
                <w:sz w:val="15"/>
                <w:szCs w:val="15"/>
                <w:color w:val="auto"/>
              </w:rPr>
            </w:pPr>
          </w:p>
        </w:tc>
        <w:tc>
          <w:tcPr>
            <w:tcW w:w="74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140" w:type="dxa"/>
            <w:vAlign w:val="bottom"/>
          </w:tcPr>
          <w:p>
            <w:pPr>
              <w:spacing w:after="0"/>
              <w:rPr>
                <w:sz w:val="15"/>
                <w:szCs w:val="15"/>
                <w:color w:val="auto"/>
              </w:rPr>
            </w:pPr>
          </w:p>
        </w:tc>
        <w:tc>
          <w:tcPr>
            <w:tcW w:w="90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7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900" w:type="dxa"/>
            <w:vAlign w:val="bottom"/>
            <w:gridSpan w:val="3"/>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0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Loss on extinguishment of debt and</w:t>
            </w: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obligations</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(8,095)</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(100)</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Loss on extinguishment of debt and financial obligations was zero during the three and nine months ended March 31, 2024 as compared with no loss recorded and a loss of $8.1 million recorded in the three and nine months ended March 31, 2023, respectively. The loss during the nine months ended March 31, 2023 is principally due to our loss on the extinguishment of the term loans outstanding prior to the Merger in the amount of $7.8 million. Further during the three and nine months ended March 31, 2023, we recorded a loss of $0.3 million related to the extinguishment of certain financing obligations.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Financing and Financial Instrument (Costs) Income,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5"/>
                <w:szCs w:val="15"/>
                <w:color w:val="auto"/>
              </w:rPr>
            </w:pPr>
          </w:p>
        </w:tc>
        <w:tc>
          <w:tcPr>
            <w:tcW w:w="19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0" w:type="dxa"/>
            <w:vAlign w:val="bottom"/>
          </w:tcPr>
          <w:p>
            <w:pPr>
              <w:spacing w:after="0"/>
              <w:rPr>
                <w:sz w:val="15"/>
                <w:szCs w:val="15"/>
                <w:color w:val="auto"/>
              </w:rPr>
            </w:pPr>
          </w:p>
        </w:tc>
        <w:tc>
          <w:tcPr>
            <w:tcW w:w="104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Pr>
          <w:p>
            <w:pPr>
              <w:spacing w:after="0"/>
              <w:rPr>
                <w:sz w:val="15"/>
                <w:szCs w:val="15"/>
                <w:color w:val="auto"/>
              </w:rPr>
            </w:pPr>
          </w:p>
        </w:tc>
        <w:tc>
          <w:tcPr>
            <w:tcW w:w="19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140" w:type="dxa"/>
            <w:vAlign w:val="bottom"/>
          </w:tcPr>
          <w:p>
            <w:pPr>
              <w:spacing w:after="0"/>
              <w:rPr>
                <w:sz w:val="15"/>
                <w:szCs w:val="15"/>
                <w:color w:val="auto"/>
              </w:rPr>
            </w:pPr>
          </w:p>
        </w:tc>
        <w:tc>
          <w:tcPr>
            <w:tcW w:w="132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0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5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520" w:type="dxa"/>
            <w:vAlign w:val="bottom"/>
            <w:tcBorders>
              <w:top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720" w:type="dxa"/>
            <w:vAlign w:val="bottom"/>
            <w:tcBorders>
              <w:top w:val="single" w:sz="8" w:color="auto"/>
            </w:tcBorders>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40" w:type="dxa"/>
            <w:vAlign w:val="bottom"/>
            <w:tcBorders>
              <w:top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0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Other financing and financial instrument</w:t>
            </w: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(costs), net</w:t>
            </w:r>
          </w:p>
        </w:tc>
        <w:tc>
          <w:tcPr>
            <w:tcW w:w="3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$(250)</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$ 2,909</w:t>
            </w: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140" w:firstLine="648"/>
        <w:spacing w:after="0" w:line="282" w:lineRule="auto"/>
        <w:rPr>
          <w:sz w:val="20"/>
          <w:szCs w:val="20"/>
          <w:color w:val="auto"/>
        </w:rPr>
      </w:pPr>
      <w:r>
        <w:rPr>
          <w:rFonts w:ascii="Times New Roman" w:cs="Times New Roman" w:eastAsia="Times New Roman" w:hAnsi="Times New Roman"/>
          <w:sz w:val="18"/>
          <w:szCs w:val="18"/>
          <w:color w:val="auto"/>
        </w:rPr>
        <w:t>Other financing and financial instrument income (costs), net was $0.3 million for the three months ended March 31, 2024. The cost incurred was due to $0.3 million of fees paid to our placement agent in connection with the issuance of our convertible notes.</w:t>
      </w:r>
    </w:p>
    <w:p>
      <w:pPr>
        <w:spacing w:after="0" w:line="162"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Other financing and financial instrument income (costs), net was income of $1.4 million and cost of $1.8 million for the nine months ended March 31, 2024 and 2023, respectively.</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648"/>
        <w:spacing w:after="0" w:line="277" w:lineRule="auto"/>
        <w:rPr>
          <w:sz w:val="20"/>
          <w:szCs w:val="20"/>
          <w:color w:val="auto"/>
        </w:rPr>
      </w:pPr>
      <w:r>
        <w:rPr>
          <w:rFonts w:ascii="Times New Roman" w:cs="Times New Roman" w:eastAsia="Times New Roman" w:hAnsi="Times New Roman"/>
          <w:sz w:val="17"/>
          <w:szCs w:val="17"/>
          <w:color w:val="auto"/>
        </w:rPr>
        <w:t>The income incurred during the nine months ended March 31, 2024, was primarily due to $1.4 million of income from the remeasurement of the unvested sponsor shares liability, partially offset by $0.3 million of fees paid to our placement agent in connection with the issuance of our convertible notes. The costs incurred during the nine months ended March 31, 2023 were due to $2.4 million of expense related to the issuance of shares and transfer of warrants upon termination of a convertible note agreement and $0.5 million of associated legal fees, partially offset by $1.2 million of income from the remeasurement of the unvested founder shares liability.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5"/>
                <w:szCs w:val="15"/>
                <w:color w:val="auto"/>
              </w:rPr>
            </w:pPr>
          </w:p>
        </w:tc>
        <w:tc>
          <w:tcPr>
            <w:tcW w:w="19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0" w:type="dxa"/>
            <w:vAlign w:val="bottom"/>
          </w:tcPr>
          <w:p>
            <w:pPr>
              <w:spacing w:after="0"/>
              <w:rPr>
                <w:sz w:val="15"/>
                <w:szCs w:val="15"/>
                <w:color w:val="auto"/>
              </w:rPr>
            </w:pPr>
          </w:p>
        </w:tc>
        <w:tc>
          <w:tcPr>
            <w:tcW w:w="134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19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140" w:type="dxa"/>
            <w:vAlign w:val="bottom"/>
          </w:tcPr>
          <w:p>
            <w:pPr>
              <w:spacing w:after="0"/>
              <w:rPr>
                <w:sz w:val="15"/>
                <w:szCs w:val="15"/>
                <w:color w:val="auto"/>
              </w:rPr>
            </w:pPr>
          </w:p>
        </w:tc>
        <w:tc>
          <w:tcPr>
            <w:tcW w:w="8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6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425"/>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$(257)</w:t>
            </w:r>
          </w:p>
        </w:tc>
        <w:tc>
          <w:tcPr>
            <w:tcW w:w="1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6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92</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(2,520)</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Other income, net was zero for the three months ended March 31, 2024, as compared to other income, net of $0.3 million for the three months ended March 31, 2023. The decrease was primarily due to interest earned on proceeds received from the Merger which were held in money market accounts during the three months ended March 31, 2023.</w:t>
      </w:r>
    </w:p>
    <w:p>
      <w:pPr>
        <w:spacing w:after="0" w:line="176"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Other income, net decreased to $0.1 million for the nine months ended March 31, 2024, as compared to other income, net of $2.6 million for the nine months ended March 31, 2023. The decrease was primarily due to the forgiveness of our PPP loan during the nine months ended March 31, 2023 as well as the interest earned on proceeds received from the Merger which were held in money market accounts during the three months ended March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Provision for income taxes was not material in the three and nine months ended March 31, 2024 and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2024 and June 30, 2023, our principal sources of liquidity were cash and cash equivalents of $4.2 million and $15.1 million, respectively, which were held for working capital purposes. This excludes $10.0 million of restricted cash as of June 30, 2023.</w:t>
      </w:r>
    </w:p>
    <w:p>
      <w:pPr>
        <w:spacing w:after="0" w:line="17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On January 11, 2024, our Lenders delivered an activation notice to our bank resulting in the wiring of $10.0 million of restricted cash we held to our Lender. The funds were applied to reduce the outstanding loan balance.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currently face severe liquidity challenges.</w:t>
      </w:r>
    </w:p>
    <w:p>
      <w:pPr>
        <w:spacing w:after="0" w:line="22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raised net cash proceeds of $2.4 million from the issuance of new debt in the closing of the Third Amendment to the Credit Agreement, received $11.8 million net proceeds from the sale of common stock in private placements and registered direct offerings, raised $7.0 million in subordinated convertible notes and a $4.0 million promissory note during the nine months ended March 31, 2024. We project that the net proceeds from our recent capital raises and the CA Note, together with our other cash resources and projected revenues, are sufficient for us to sustain our operations through June 14, 2024.</w:t>
      </w:r>
    </w:p>
    <w:p>
      <w:pPr>
        <w:spacing w:after="0" w:line="18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Substantial doubt exists about our ability to continue as a going concern within one year after the date that the financial statements are available to be issued. We are seeking to mitigate the conditions or events that raise this substantial doubt, however, as some components of these plans are outside of management’s control, we cannot offer any assurances they will be effectively implemented. We cannot offer any assurance that any additional financing will be available on acceptable terms or at all. If we are unable to raise additional capital it would likely lead to an event of default under the Credit Agreement and the potential exercise of remedies by the Agent and Lender, which would materially and adversely impact our business, results of operations and financial condition. Our condensed consolidated financial statements have been prepared on a going concern basis, which contemplates the realization of assets and satisfaction of liabilities in the normal course of business.</w:t>
      </w:r>
    </w:p>
    <w:p>
      <w:pPr>
        <w:spacing w:after="0" w:line="19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Our plans for additional financing are intended to mitigate the conditions or events that raise this substantial doubt. However, as some aspects of the plans are outside of our control, we cannot provide any assurance that they will be effectively implemented. We cannot be certain that any additional financing will be available to us on acceptable terms if at all. If we are unable to raise additional capital when desired, our business, operating results, and financial condition could be materially and adversely affected.</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2020" w:type="dxa"/>
            <w:vAlign w:val="bottom"/>
            <w:tcBorders>
              <w:bottom w:val="single" w:sz="8" w:color="auto"/>
            </w:tcBorders>
            <w:gridSpan w:val="5"/>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0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14,699</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65,493</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(50,794)</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(20,908)</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23,961</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(44,869)</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For the nine months ended March 31, 2024, net cash used in operating activities decreased by 10%, to $32.2 million, as compared to $35.7 million for the nine months ended March 31, 2023.</w:t>
      </w:r>
    </w:p>
    <w:p>
      <w:pPr>
        <w:spacing w:after="0" w:line="162"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For the nine months ended March 31, 2024, net cash used in operating activities was $32.2 million. This consisted of our net loss of $30.8 million and net proceeds of cash from changes in operating assets and liabilities of $0.6 million and non-cash adjustments of $2.0 million. The net proceeds of cash from changes in operating assets and liabilities primarily relates to a decrease in deferred costs of $0.8 million, accounts receivable of $0.6 million and an increase in accounts payable of $0.2 million. Such proceeds were partially offset by a decrease in deferred revenue of $0.6 million and a decrease in accrued liabilities of $0.4 million. The non-cash adjustments primarily relate to gains associated with changes in the fair value of warrants and convertible promissory notes of $26.9 million and changes in the fair value of unvested sponsor shares liability of $1.4 million, partially offset by paid in-kind interest expense of $5.7 million, stock-based compensation expense of $4.7 million, impairment of capitalized software and acquired technology of $4.1 million, amortization of debt discount and debt issuance costs of $4.0 million, earnout share stock-based compensation expense of $3.9 million, and depreciation and amortization of $2.4 million.</w:t>
      </w:r>
    </w:p>
    <w:p>
      <w:pPr>
        <w:spacing w:after="0" w:line="22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For the nine months ended March 31, 2023, net cash used in operating activities was $35.7 million. This consisted of our net income of $2.1 million and a net use of cash from changes in operating assets and liabilities of $3.0 million partially offset by adjustments for non-cash gains, net of $35.0 million. The net use of cash from changes in operating assets and liabilities primarily relate to an increase in accounts receivable of $0.7 million, an increase in prepaids and other current assets of $0.7 million, a decrease in accrued liabilities of $2.1 million and a decrease in deferred revenue of $9.0 million. Such uses of cash were partially offset by a decrease in deferred costs of $7.8 million and a decrease in accounts payable of $1.5 million. The non-cash adjustments primarily relate to gains associated with changes in fair value of warrants and convertible promissory notes of $48.3 million and change in fair value of our liability-classified warrants of $12.6 million, forgiveness of our outstanding PPP loan of $2.0 million, and change in fair value of unvested founder shares liability of $1.4 million, partially offset by loss on debt extinguishment of debt and financing obligations of $8.1 million, stock-based compensation expense of $5.8 million, paid in-kind interest expense of $4.6 million, share and warrant cost on termination of convertible note agreement of $2.4 million, earnout share stock-based compensation expense of $3.5 million, amortization of debt discount and debt issuance costs of $2.2 million, and depreciation, amortization and impairment of $1.3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For the nine months ended March 31, 2024, net cash used in investing activities decreased to $3.4 million, as compared to $5.8 million for the nine months ended March 31, 2023.</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For the nine months ended March 31, 2024, cash used in investing activities consisted of cash outflows for capitalized software of $3.0 million and cash outflows for property and equipment of $0.4 million.</w:t>
      </w:r>
    </w:p>
    <w:p>
      <w:pPr>
        <w:spacing w:after="0" w:line="16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For the nine months ended March 31, 2023, cash used in investing activities primarily consisted of cash outflows for capitalized software of $3.6 million and a cash outflow for an investment in non-affiliate of $2.0 million.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For the nine months ended March 31, 2024, net cash provided by financing activities decreased to $14.7 million of cash, as compared to $65.5 million cash provided by financing activities for the nine months ended March 31, 2023.</w:t>
      </w:r>
    </w:p>
    <w:p>
      <w:pPr>
        <w:spacing w:after="0" w:line="16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For the nine months ended March 31, 2024, cash provided by financing activities was $14.7 million, which consisted primarily of proceeds from equity financing, net of transaction costs, of $11.8 million, proceeds from the issuance of convertible notes of $7.0 million, and net proceeds from the issuance of additional term loans and promissory notes of $6.4 million, proceeds from the issuance of premium financing of $0.9 million, and proceeds from the exercise of stock options of $0.3 million, partially offset by principal payments on term loans of $10.0 million, the repayment of premium financing of $0.7 million, principal payments of financing obligations of $0.5 million and the payment of debt issuance costs of $0.4 million.</w:t>
      </w:r>
    </w:p>
    <w:p>
      <w:pPr>
        <w:spacing w:after="0" w:line="18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For the nine months ended March 31, 2023, cash provided by financing activities was $65.5 million, which consisted primarily of proceeds from the issuance of term loans of $60.3 million, contributions from the Merger and PIPE financing, net of transaction costs, of $49.8 million, proceeds from the issuance of common stock of $1.0 million, partially offset by repayment of term loans of $33.0 million, penalties and other costs on extinguishment of debt of $6.1 million, payment of deferred transactions costs of $1.9 million, principal payments of financing obligations of $3.7 million, and payment of debt issuance costs of $1.1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October and November Equity Raises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October 10, 2023, we entered into a Securities Purchase Agreement (the “October Purchase Agreement”) with CA, which closed on October 16, 2023, pursuant to which we agreed to sell an aggregate of 1,500,000 newly issued shares of our common stock, at a purchase price of $2.00 per share for an aggregate purchase price of $3.0 million. The October Purchase Agreement includes anti-dilution provisions relating to future issuances or deemed issuances of common stock from the closing date to April 1, 2024 at a price per share below $2.00 per share, which would require us to issue additional shares of common stock to CA, upon the terms and subject to the conditions contained in the October Purchase Agreement. Such anti-dilution provisions were triggered by the November 2023 Offering (as defined below), the January 2024 Offering (as defined below) and the February Offering (as defined below). On March 21, 2024 we entered into a second amendment to the October Purchase Agreement which extended the anti-dilution coverage through September 30, 2024 and reduced the triggering purchase price to $0.25.</w:t>
      </w:r>
    </w:p>
    <w:p>
      <w:pPr>
        <w:spacing w:after="0" w:line="188"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On November 17, 2023, we entered into agreements (the “November Purchase Agreements”) with a syndicate of investors (the “November Purchasers”), to sell 7,000,000 shares of our common stock in a registered direct offering (the “November 2023 Offering”) that resulted in gross proceeds of approximately $7.0 million. The November 2023 Offering also included the issuance of an additional 750,000 shares to a related party, Zaffran Special Opportunities, LLC, bringing the total of shares issued in the offering to 7,750,000 shares. The November 2023 Offering closed on November 21, 2023. The November Purchase Agreements include anti-dilution provisions relating to future issuances or deemed issuances of common stock from the closing date to April 1, 2024 at a price per share below $2.00 per share, which would require us to issue additional shares of common stock to the purchasers, upon the terms and subject to the conditions contained in the November Purchase Agreements. Such anti-dilution provisions were triggered by the January 2024 Offering (as defined below) and the February Offering (as defined below).</w:t>
      </w:r>
    </w:p>
    <w:p>
      <w:pPr>
        <w:spacing w:after="0" w:line="188"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November 2023 Offering triggered anti-dilution provisions in the October Purchase Agreement and the Third Amendment Conversion Warrants (as defined below). We agreed with each of CA and the Lenders that the “New Issuance Price” (as defined in the October Purchase Agreement and Third Amendment Conversion Warrants, respectively) would be $1.00. As a result of the capital raise, we were required to issue an additional 1,500,000 shares to CA and increase the amount of common stock issuable upon the exercise of the Third Amendment Conversion Warrants from 3,000,000 shares to 6,000,000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March Equity Raises</w:t>
      </w:r>
    </w:p>
    <w:p>
      <w:pPr>
        <w:spacing w:after="0" w:line="229"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On February 29, 2024, we entered into securities purchase agreements (the “February Purchase Agreement”) with several investors (the “February Purchasers”) relating to the issuance and sale of an aggregate of 8,533,000 shares of our common stock (the “February Offering”) for aggregate proceeds to us of $2.1 million, before deducting placement agent fees and other expenses of $0.5 million. The February Offering closed on March 4, 2024.</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February Offering triggered anti-dilution adjustment provisions in the October Purchase Agreement, the Third Amendment Conversion Warrants (defined below), the Fifth Amendment Warrants (defined below) and the November Purchase Agreements. Refer to the Debt Arrangements section below for triggering of the Fifth Amendment Warrants. The number of shares</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40"/>
        <w:spacing w:after="0" w:line="289" w:lineRule="auto"/>
        <w:rPr>
          <w:sz w:val="20"/>
          <w:szCs w:val="20"/>
          <w:color w:val="auto"/>
        </w:rPr>
      </w:pPr>
      <w:r>
        <w:rPr>
          <w:rFonts w:ascii="Times New Roman" w:cs="Times New Roman" w:eastAsia="Times New Roman" w:hAnsi="Times New Roman"/>
          <w:sz w:val="17"/>
          <w:szCs w:val="17"/>
          <w:color w:val="auto"/>
        </w:rPr>
        <w:t>issuable under the Third Amendment Conversion Warrants increased to 24,000,000 shares from 15,000,000 shares and the New Issuance Price was reduced from $0.40 to $0.25. CA received 4,500,000 additional shares and the New Issuance Price was reduced from $0.40 to $0.25. The November Purchasers received 4,500,000 additional shares and the New Issuance Price was reduced from $0.40 to $0.25.</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14, 2024, we entered into securities purchase agreements (the “March Purchase Agreement”) with several investors (the “March Purchasers”) relating to the issuance and sale of an aggregate of 4,800,000 shares of our common stock, par value $0.0001 per share (the “March Offering”) for aggregate proceeds to us of $1.2 million before deducting placement agent fees and other expenses of $0.2 million. The March Offering closed on March 18,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May Equity Raise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May 20, 2024, we sold 10,892,851 shares in newly issued common stock in a registered direct offering (the “May Offering”) for $0.14 per share or an aggregate amount of proceeds of $1.5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Obligations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2024 and June 30, 2023, our financing obligations consisted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3"/>
                <w:szCs w:val="13"/>
                <w:color w:val="auto"/>
              </w:rPr>
            </w:pPr>
          </w:p>
        </w:tc>
        <w:tc>
          <w:tcPr>
            <w:tcW w:w="1180" w:type="dxa"/>
            <w:vAlign w:val="bottom"/>
            <w:gridSpan w:val="2"/>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0" w:type="dxa"/>
            <w:vAlign w:val="bottom"/>
          </w:tcPr>
          <w:p>
            <w:pPr>
              <w:spacing w:after="0"/>
              <w:rPr>
                <w:sz w:val="1"/>
                <w:szCs w:val="1"/>
                <w:color w:val="auto"/>
              </w:rPr>
            </w:pPr>
          </w:p>
        </w:tc>
      </w:tr>
      <w:tr>
        <w:trPr>
          <w:trHeight w:val="173"/>
        </w:trPr>
        <w:tc>
          <w:tcPr>
            <w:tcW w:w="71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 financing facility</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0" w:type="dxa"/>
            <w:vAlign w:val="bottom"/>
          </w:tcPr>
          <w:p>
            <w:pPr>
              <w:spacing w:after="0"/>
              <w:rPr>
                <w:sz w:val="1"/>
                <w:szCs w:val="1"/>
                <w:color w:val="auto"/>
              </w:rPr>
            </w:pPr>
          </w:p>
        </w:tc>
      </w:tr>
      <w:tr>
        <w:trPr>
          <w:trHeight w:val="216"/>
        </w:trPr>
        <w:tc>
          <w:tcPr>
            <w:tcW w:w="7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Equipment financing facility</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10"/>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financing obligations</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0" w:type="dxa"/>
            <w:vAlign w:val="bottom"/>
          </w:tcPr>
          <w:p>
            <w:pPr>
              <w:spacing w:after="0"/>
              <w:rPr>
                <w:sz w:val="1"/>
                <w:szCs w:val="1"/>
                <w:color w:val="auto"/>
              </w:rPr>
            </w:pPr>
          </w:p>
        </w:tc>
      </w:tr>
      <w:tr>
        <w:trPr>
          <w:trHeight w:val="216"/>
        </w:trPr>
        <w:tc>
          <w:tcPr>
            <w:tcW w:w="7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financing obligations, current</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0" w:type="dxa"/>
            <w:vAlign w:val="bottom"/>
          </w:tcPr>
          <w:p>
            <w:pPr>
              <w:spacing w:after="0"/>
              <w:rPr>
                <w:sz w:val="1"/>
                <w:szCs w:val="1"/>
                <w:color w:val="auto"/>
              </w:rPr>
            </w:pPr>
          </w:p>
        </w:tc>
      </w:tr>
      <w:tr>
        <w:trPr>
          <w:trHeight w:val="209"/>
        </w:trPr>
        <w:tc>
          <w:tcPr>
            <w:tcW w:w="7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financing obligations, non-current</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Receivable Financing Facility</w:t>
      </w:r>
    </w:p>
    <w:p>
      <w:pPr>
        <w:spacing w:after="0" w:line="254"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On December 15, 2023, and subsequently, on February 15, 2024 we entered into amendments to the receivable financing facility, which changed the amount and timing of certain repayments, increased the repayment amount, and extended the maturity date. The amendment on February 15, 2024 added certain events of default, which includes the occurrence of an event of default under the Credit Agreement. The amendments are considered troubled debt restructurings under the guidance of ASC 470 with no gain or loss recorded at the time of the amendment. We did not incur any additional expenses.</w:t>
      </w:r>
    </w:p>
    <w:p>
      <w:pPr>
        <w:spacing w:after="0" w:line="18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receivable financing arrangement calls for monthly payments of principal and interest totaling an aggregate of $0.4 million, $1.8 million and $1.8 million for the remainder of fiscal year 2024, fiscal year 2025 and fiscal year 2026,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Equipment Financing Facility</w:t>
      </w:r>
    </w:p>
    <w:p>
      <w:pPr>
        <w:spacing w:after="0" w:line="22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had equipment financing facilities with third party financing partners to secure payments of certain tablet purchases. Such arrangements generally had terms ranging from three to five years and interest rates ranging from 8% to 14%. We then leased the tablets to one of our customers through operating leases that have 4-year terms. This facility no longer has an outstanding balance as of March 31,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2024 and June 30, 2023, our outstanding debt, net of debt discounts, consisted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3"/>
                <w:szCs w:val="13"/>
                <w:color w:val="auto"/>
              </w:rPr>
            </w:pPr>
          </w:p>
        </w:tc>
        <w:tc>
          <w:tcPr>
            <w:tcW w:w="1500" w:type="dxa"/>
            <w:vAlign w:val="bottom"/>
            <w:gridSpan w:val="5"/>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08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0" w:type="dxa"/>
            <w:vAlign w:val="bottom"/>
          </w:tcPr>
          <w:p>
            <w:pPr>
              <w:spacing w:after="0"/>
              <w:rPr>
                <w:sz w:val="1"/>
                <w:szCs w:val="1"/>
                <w:color w:val="auto"/>
              </w:rPr>
            </w:pPr>
          </w:p>
        </w:tc>
      </w:tr>
      <w:tr>
        <w:trPr>
          <w:trHeight w:val="173"/>
        </w:trPr>
        <w:tc>
          <w:tcPr>
            <w:tcW w:w="71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 Note</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Credit Agreement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50,639</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2024 Convertible Notes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March 2024 Convertible Note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 Financing</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58,761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50,639</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debt, current</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(50,639)</w:t>
            </w:r>
          </w:p>
        </w:tc>
        <w:tc>
          <w:tcPr>
            <w:tcW w:w="0" w:type="dxa"/>
            <w:vAlign w:val="bottom"/>
          </w:tcPr>
          <w:p>
            <w:pPr>
              <w:spacing w:after="0"/>
              <w:rPr>
                <w:sz w:val="1"/>
                <w:szCs w:val="1"/>
                <w:color w:val="auto"/>
              </w:rPr>
            </w:pPr>
          </w:p>
        </w:tc>
      </w:tr>
      <w:tr>
        <w:trPr>
          <w:trHeight w:val="209"/>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Total debt, noncurrent</w:t>
            </w:r>
          </w:p>
        </w:tc>
        <w:tc>
          <w:tcPr>
            <w:tcW w:w="220" w:type="dxa"/>
            <w:vAlign w:val="bottom"/>
          </w:tcPr>
          <w:p>
            <w:pPr>
              <w:spacing w:after="0"/>
              <w:rPr>
                <w:sz w:val="18"/>
                <w:szCs w:val="18"/>
                <w:color w:val="auto"/>
              </w:rPr>
            </w:pP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 – Term Loans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September 21, 2022, in connection with the consummation of the Merger, we entered into the Credit Agreement, pursuant to which the Lenders extended term loans having an aggregate original principal amount of $55.0 million (the “Initial Term Loans” and which the Lenders have agreed to extend by an additional $3.0 million (the “Third Amendment Term Loans” and together with the Initial Term Loans, the “Term Loans”). In conjunction with the initial Credit Agreement, we issued 1,500,000 warrants to purchase common stock to the Lenders as debt discount. Such warrants were determined to be equity classified and we recorded the value associated with such warrants of $2.1 million within additional paid in capital, with an offsetting debt discount being recorded. Refer to Note 10 to our condensed consolidated financial statements in Item 1 of this form 10-Q for further details on the aforementioned warrants. We also pay a debt monitoring fee under the Credit Agreement of $0.1 million per quarter which is recorded as interest expense in the condensed consolidated statement of operations and comprehensive income (loss).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Third Amendment and Related Purchase Agreement</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October 10, 2023, we entered into a Third Amendment to the Credit Agreement (the “Third Amendment”) pursuant to which the parties amended or removed certain covenants of the Credit Agreement (including the removal of a covenant in respect of a maximum net leverage ratio of 1.20 to 1.00) and, the Lenders agreed to waive existing defaults under the Credit Facility, advance an additional $3.0 million of Term Loans to us, and exchange an aggregate of $6.0 million of accrued and previously capitalized interest for warrants to purchase 3,000,000 shares of common stock at an exercise price of $0.01 per share (the “Third Amendment Conversion Warrants”). The effectiveness of the Third Amendment was conditioned, in part, upon (1) evidence of a gross amount of additional equity investment of $3.0 million, to be used for working capital purposes, which closed on October 16, 2023, in private placement with an affiliate of our existing shareholder, Cleveland Avenue, (described below), (2) us hiring a chief financial officer reasonably satisfactory to the Agent, which was satisfied on October 10, 2023, (3) by no later than October 16, 2023, evidence that we have engaged the services of an investment bank reasonably acceptable to Metropolitan on terms reasonably acceptable to Metropolitan in connection with upcoming capital raises. The conditions precedent were satisfied and the Amendment was closed on October 17, 2023. The warrants contain an anti-dilution provision relating to future issuances or deemed issuances of common stock from the closing date to April 1, 2024 at a price per share below $2.00 per share, which would require us to issue additional shares of common stock to the lenders, upon the terms and subject to the conditions contained in the agreement.</w:t>
      </w:r>
    </w:p>
    <w:p>
      <w:pPr>
        <w:spacing w:after="0" w:line="1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anti-dilution provisions of the Third Amendment Conversion Warrants were triggered by the November 2023 Offering and we were required to increase the number of shares issuable under the Third Amendment Conversion Warrants from 3,000,000 to 6,000,000 shares of common stock. The anti-dilution provisions were triggered again as a result of the January 2024 Offering (defined below) in which we increased the number of shares issuable upon the exercise of the Third Amendment Conversion Warrants by an additional 9,000,000 shares and again with the February Offering (defined above) in which we increased the number of shares issuance upon exercise of the Third Amendment Conversion Warrants by an additional 9,000,000 shares. The increase in the fair value of the warrants is included in the change in fair value of warrants and convertible promissory notes on the condensed consolidated statement of operations and comprehensive income (loss). On March 21, 2024 the anti-dilution provision expiration date was extended to September 30, 2024.</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Amounts outstanding under the Credit Agreement will incur interest at the rate of 15% per annum. The amendments to the Credit Agreement provide that, with respect to interest accruing for the interest periods ending March 31, 2024 through to January 31, 2024, we may elect that 100% of the accrued but unpaid interest under the Term Loans may be capitalized as principal, or “PIK Interest” on a monthly basis. After January 31, 2024, we may request that 100% of the accrued but unpaid interest under the Term Loans may be capitalized as principal, or “PIK Interest” on a monthly basis, subject to the prior approval by Agent. Absent such a request or in the absence of approval by the Agent, such interest is required to be paid in cash on a monthly basis.</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Credit Agreement also contains customary affirmative and restrictive covenants, including covenants regarding the incurrence of additional indebtedness or liens, investments, transactions with affiliates, delivery of financial statements, payment of taxes, maintenance of insurance, dispositions of property, mergers or acquisitions, among other customary covenants. We are also restricted from paying dividends or making other distributions or payments on our capital stock, subject to limited exceptions. The Credit Agreement also includes customary representations and warranties, events of default and termination provisions, upon which the Term Loans may be accelerated and the interest rate applicable to any outstanding payment obligations will increase by 5%.</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March 31, 2024, we recorded PIK interest expense amounts of $1.4 million and $5.6 million, which have been reflected as an increase to the outstanding debt balance. Further, during the three and nine months ended March 31, 2024, we recorded interest expense associated with the amortization of debt discounts in the amounts of $1.6 million and $4.0 million, respectively. Accordingly at March 31, 2024, the Term Loans had a current balance of $46.1 million, which reflects $48.0 million of principal and $5.1 million PIK interest accrual, as reduced by unamortized debt issuance costs of $7.0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Covenants and Waivers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must comply with certain financial covenants as set forth in the Credit Agreement, including the following:</w:t>
      </w:r>
    </w:p>
    <w:p>
      <w:pPr>
        <w:spacing w:after="0" w:line="223" w:lineRule="exact"/>
        <w:rPr>
          <w:sz w:val="20"/>
          <w:szCs w:val="20"/>
          <w:color w:val="auto"/>
        </w:rPr>
      </w:pPr>
    </w:p>
    <w:p>
      <w:pPr>
        <w:ind w:left="1000" w:hanging="317"/>
        <w:spacing w:after="0" w:line="284"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Minimum Unrestricted Cash</w:t>
      </w:r>
      <w:r>
        <w:rPr>
          <w:rFonts w:ascii="Times New Roman" w:cs="Times New Roman" w:eastAsia="Times New Roman" w:hAnsi="Times New Roman"/>
          <w:sz w:val="18"/>
          <w:szCs w:val="18"/>
          <w:color w:val="auto"/>
        </w:rPr>
        <w:t>. We must maintain $10.0 million in separate and blocked cash collateral account. Amended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Seventh Amendment described below.</w:t>
      </w:r>
    </w:p>
    <w:p>
      <w:pPr>
        <w:spacing w:after="0" w:line="158" w:lineRule="exact"/>
        <w:rPr>
          <w:rFonts w:ascii="Times New Roman" w:cs="Times New Roman" w:eastAsia="Times New Roman" w:hAnsi="Times New Roman"/>
          <w:sz w:val="18"/>
          <w:szCs w:val="18"/>
          <w:color w:val="auto"/>
        </w:rPr>
      </w:pPr>
    </w:p>
    <w:p>
      <w:pPr>
        <w:jc w:val="both"/>
        <w:ind w:left="1000" w:right="160" w:hanging="317"/>
        <w:spacing w:after="0" w:line="267"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 Adjusted Decrease in Operating Cash. </w:t>
      </w:r>
      <w:r>
        <w:rPr>
          <w:rFonts w:ascii="Times New Roman" w:cs="Times New Roman" w:eastAsia="Times New Roman" w:hAnsi="Times New Roman"/>
          <w:sz w:val="18"/>
          <w:szCs w:val="18"/>
          <w:color w:val="auto"/>
        </w:rPr>
        <w:t>Subject to certain excluded payments, the decrease in our operating cash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exceed an agreed amount for each rolling three-month period, subject to certain customary operating fluctuations and adjustments.</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Collateral Account</w:t>
      </w:r>
    </w:p>
    <w:p>
      <w:pPr>
        <w:spacing w:after="0" w:line="227" w:lineRule="exact"/>
        <w:rPr>
          <w:sz w:val="20"/>
          <w:szCs w:val="20"/>
          <w:color w:val="auto"/>
        </w:rPr>
      </w:pPr>
    </w:p>
    <w:p>
      <w:pPr>
        <w:ind w:right="260" w:firstLine="648"/>
        <w:spacing w:after="0" w:line="313" w:lineRule="auto"/>
        <w:rPr>
          <w:sz w:val="20"/>
          <w:szCs w:val="20"/>
          <w:color w:val="auto"/>
        </w:rPr>
      </w:pPr>
      <w:r>
        <w:rPr>
          <w:rFonts w:ascii="Times New Roman" w:cs="Times New Roman" w:eastAsia="Times New Roman" w:hAnsi="Times New Roman"/>
          <w:sz w:val="18"/>
          <w:szCs w:val="18"/>
          <w:color w:val="auto"/>
        </w:rPr>
        <w:t>On January 11, 2024, the Lenders delivered an activation notice to our bank and wired $10.0 million of restricted cash to our Lenders as a result of the existing events of default described above. The funds were applied to reduce the outstanding loan balance.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Forbearance Agreement and Fourth Amendment to the Credit Agreement</w:t>
      </w:r>
    </w:p>
    <w:p>
      <w:pPr>
        <w:spacing w:after="0" w:line="22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On January 22, 2024, we entered into a Forbearance Agreement and Fourth Amendment to the Credit Agreement (“the January Forbearance Agreement”) with the Agent, the Lenders and certain of our significant stockholders. The January Forbearance Agreement provides that the Lenders will not exercise remedies for a specified period of time pursuant to the events of the December 2023 default for (i) failing to pay the quarterly monitoring fee (ii) failing to deliver a Presto Touch business plan, and (iii) for an anticipated future event of default due to us failing to appoint a new Chief Financial Officer reasonably acceptable to the Agent within 90 days of the prior Chief Financial Officer’s resignation, subject to the agreements and conditions set out below.</w:t>
      </w:r>
    </w:p>
    <w:p>
      <w:pPr>
        <w:spacing w:after="0" w:line="187"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Per the applicable terms of the January Forbearance Agreement, contingent on gross cash proceeds raised of $6.0 million by January 29, 2024 in a capital raise defined as the sale of new equity interests or the issue of a convertible subordinated note with specified terms and conditions and that is reasonably satisfactory to the Agent (the “Capital Raise), the forbearance termination date would be February 29, 2024.</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February 17, 2024, we received notice from the Agent and the Lenders of two events of default under the Credit Agreement:</w:t>
      </w:r>
    </w:p>
    <w:p>
      <w:pPr>
        <w:spacing w:after="0" w:line="27" w:lineRule="exact"/>
        <w:rPr>
          <w:sz w:val="20"/>
          <w:szCs w:val="20"/>
          <w:color w:val="auto"/>
        </w:rPr>
      </w:pPr>
    </w:p>
    <w:p>
      <w:pPr>
        <w:ind w:right="60" w:firstLine="8"/>
        <w:spacing w:after="0" w:line="253"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did not replace our CEO with a chief restructuring officer or person with significant restructuring, turnaround and insolvency experience reasonably acceptable to the Agent within the time period required following the resignation of the prior CEO; and (2) that we failed to deliver certain financial reports to the Agent on a weekly basis as required by the Credit Agreement and as a result the January Forbearance Agreement was terminated on February 17, 2024.</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Fifth Amendment to Credit Agreement</w:t>
      </w:r>
    </w:p>
    <w:p>
      <w:pPr>
        <w:spacing w:after="0" w:line="22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On January 30, 2024, we entered into the Fifth Amendment to Credit Agreement and Acknowledgment (the “Fifth Amendment”) with the Agent, the Lenders and certain significant stockholders of ours. The material terms of the Fifth Amendment are as follows:</w:t>
      </w:r>
    </w:p>
    <w:p>
      <w:pPr>
        <w:spacing w:after="0" w:line="176" w:lineRule="exact"/>
        <w:rPr>
          <w:sz w:val="20"/>
          <w:szCs w:val="20"/>
          <w:color w:val="auto"/>
        </w:rPr>
      </w:pPr>
    </w:p>
    <w:p>
      <w:pPr>
        <w:ind w:left="680" w:right="120" w:hanging="321"/>
        <w:spacing w:after="0" w:line="257"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confirmed that the January 2024 Offering (as defined below) satisfied the requirements of the January Forbearance Agreement in order for the Lenders to grant continued forbearance with respect to events of default under the Credit Agreement.</w:t>
      </w:r>
    </w:p>
    <w:p>
      <w:pPr>
        <w:spacing w:after="0" w:line="1" w:lineRule="exact"/>
        <w:rPr>
          <w:rFonts w:ascii="Times New Roman" w:cs="Times New Roman" w:eastAsia="Times New Roman" w:hAnsi="Times New Roman"/>
          <w:sz w:val="18"/>
          <w:szCs w:val="18"/>
          <w:color w:val="auto"/>
        </w:rPr>
      </w:pPr>
    </w:p>
    <w:p>
      <w:pPr>
        <w:ind w:left="680" w:right="400" w:hanging="321"/>
        <w:spacing w:after="0" w:line="250"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until which initial forbearance is granted was extended from the original date of February 29, 2024 in the January Forbearance Agreement until March 8, 2024.</w:t>
      </w:r>
    </w:p>
    <w:p>
      <w:pPr>
        <w:ind w:left="680" w:right="20" w:hanging="321"/>
        <w:spacing w:after="0" w:line="250"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agreed that on or prior to March 6, 2024, we will hold a shareholder meeting, among other things, to (i) approve the issuance of certain shares issuable in connection with any securities subject to the 19.99% cap imposed by Nasdaq rules, including, without limitation, the Third Amendment Conversion Warrants, the Fifth Amendment Warrants and the January 2024 Convertible Notes, and (ii) amend its certificate of incorporation to increase the authorized shares of Common Stock to not less than 100,000,000,000 shares. The failure of such meeting of the shareholders of ours to occur on or before March 6, 2024 shall constitute an immediate event of default under the Credit Agreement. The condition was met in February 2024.</w:t>
      </w:r>
    </w:p>
    <w:p>
      <w:pPr>
        <w:spacing w:after="0" w:line="2" w:lineRule="exact"/>
        <w:rPr>
          <w:rFonts w:ascii="Times New Roman" w:cs="Times New Roman" w:eastAsia="Times New Roman" w:hAnsi="Times New Roman"/>
          <w:sz w:val="18"/>
          <w:szCs w:val="18"/>
          <w:color w:val="auto"/>
        </w:rPr>
      </w:pPr>
    </w:p>
    <w:p>
      <w:pPr>
        <w:jc w:val="both"/>
        <w:ind w:left="680" w:right="20" w:hanging="321"/>
        <w:spacing w:after="0" w:line="255"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anticipate that our cash payments in February will result in a reduction in its operating cash that breaches the permitted “Net Adjusted Decrease in Operating Cash” covenant under the Credit Agreement. This anticipated event of default under the Credit Agreement is made subject to the January Forbearance Agreement.</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Fifth Amendment Warrants to Purchase Common Stock</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connection with the effectiveness of the Fifth Amendment, we issued to the Agent warrants to purchase 5,323,298 shares of common stock with an exercise price of $0.01. (the “Fifth Amendment Warrants”). The Fifth Amendment Warrants were required to be issued pursuant to the January Forbearance Agreement to account for the reduction in interest rate under the Credit Agreement from 12% to 8% upon the issuance of the January 2024 Convertible Notes. The Fifth Amendment Warrants may be exercised for cash or pursuant to a net exercise at any time on or before the date that is the five year anniversary of the date of issuance; provided, that we shall not effect the exercise of any portion of the Fifth Amendment Warrants to the extent that giving effect to such exercise, the holder thereof, together with its affiliates collectively would beneficially own in excess of 4.99% of the common stock outstanding immediately after giving effect to such exercise. The Fifth Amendment Warrants are accounted for as a liability. In addition, the Fifth Amendment Warrants are subject to anti-dilution provisions relating to future issuances or deemed issuances of our common stock from the issuance date to April 1, 2024 at a price per share below $0.40. The anti-dilution provisions were triggered by the February Offering where we were required to increase the number of shares issuable under the Fifth Amendment Warrants to 8,517,278. The increase in the fair value of the warrants is included in the change in fair value of warrants and convertible promissory notes on the condensed consolidated statement of operations and comprehensive income (loss). On March 21, 2024 the anti-dilution provision expiration date was extended to September 30, 2024.</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January Subordinated Convertible Notes</w:t>
      </w:r>
    </w:p>
    <w:p>
      <w:pPr>
        <w:spacing w:after="0" w:line="227"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On January 29, 2024, we entered into securities purchase agreements for the issuance and sale of subordinated convertible notes with several investors for an aggregate cash proceeds amount of $6 million principal amount. In addition, a $3.0 million principal amount of subordinated notes was issued (together with the $6.0 million principal amount, the “January 2024 Convertible Notes” and the “January 2024 Offering”) in exchange for us repurchasing 3,000,000 shares of our common stock that the investor had purchased in the November 2023 Offering at a price of $1.00 per share in addition to forfeiting 9,000,000 additional shares of common stock that would be issuable as a result of triggering the anti-dilution adjustment in the November Purchase Agreement. The January 2024 Convertible Notes mature on March 30, 2026. The stock returned to us was recorded as treasury stock. We elected the fair value option to account for the January 2024 Convertible Notes and the resulting impact of the change in the fair value of the January 2024 Convertible Notes is recorded on the condensed consolidated statement of operations and comprehensive income (loss) in the change in fair value of warrants and convertible promissory notes for the three and nine months ended March 31, 2024.</w:t>
      </w:r>
    </w:p>
    <w:p>
      <w:pPr>
        <w:spacing w:after="0" w:line="19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January 2024 Convertible Notes accrue PIK Interest monthly at a rate of 7.5% per annum. The interest rate shall increase to 12% in the case of an event of default. The January 2024 Convertible Notes are convertible into 36,000,000 shares of common stock at the option of each holder at $0.25 per share (the “Conversion Price”), subject to anti-dilution provisions contained in the January 2024 Convertible Notes. The January 2024 Convertible Notes shall convert mandatorily into common stock at the then</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prevailing conversion price immediately prior to (a) a Restructuring Transaction (as defined by the agreement), and (b) a Change of Control (as defined in the agreement) transaction with a financial investor.</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Upon the issuance of the January 2024 Convertible Notes through September 30, 2024, if we issue any common stock or securities convertible into or exchangeable for common stock at a price that is less than the initial conversion price of $0.25 per share, the conversion price shall be reduced to that lower price.</w:t>
      </w:r>
    </w:p>
    <w:p>
      <w:pPr>
        <w:spacing w:after="0" w:line="17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January 2024 Convertible Notes are subordinated to the payment in full of the principal outstanding under the Credit Agreement (“Senior Indebtedness”), and no principal or interest may be paid in cash on the January 2024 Convertible Notes prior to the repayment in cash in full of the Senior Indebtedness.</w:t>
      </w:r>
    </w:p>
    <w:p>
      <w:pPr>
        <w:spacing w:after="0" w:line="17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All or a portion of the January 2024 Convertible Notes can be redeemed at the option of the holder upon an event of default at a price equal to the greater of (i) the sum of the conversion amount which is the portion of principal, plus accrued PIK interest and (ii) the product of (X) the conversion amount divided by $0.25, subject to adjustment, multiplied by the greatest closing sale price of our common stock on any trading day during the period commencing on the date immediately preceding such event of default and ending on the date we make the entire payment. This clause is subject to the payment in full of the Senior Indebtedness as noted above.</w:t>
      </w:r>
    </w:p>
    <w:p>
      <w:pPr>
        <w:spacing w:after="0" w:line="18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Upon a bankruptcy event of default, we must immediately pay to the holders an amount in cash representing all outstanding principal, accrued interest, and other charges. A bankruptcy event of default is defined as: we commence any case, proceeding or other action under the Bankruptcy Code or similar debtor relief laws or there is a case, proceeding or other action of similar nature commenced against us. This clause is subject to the payment in full of the Senior Indebtedness as noted above.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January 2024 Offering Triggering and Partial Waiver of Anti-dilution Protection Associated with Previously Issued Securities</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issuance of the January 2024 Convertible Notes triggered anti-dilution adjustment provisions in the October Purchase Agreement, the Third Amendment Conversion Warrants and the November Purchase Agreements.</w:t>
      </w:r>
    </w:p>
    <w:p>
      <w:pPr>
        <w:spacing w:after="0" w:line="162"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investors in the October Purchase Agreement and the November Purchase Agreements (other than one investor holding 1,000,000 shares) and the Lenders agreed that the “New Issuance Price” for the purpose of anti-dilution protection would be $0.40 and not $0.25. For the one investor holding 1,000,000 shares, the “New Issuance Price” was $0.25. As a result, we (i) increased the number of shares issuable upon the exercise of the Third Amendment Conversion Warrants by an additional 9,000,000 shares and (ii) issued 12,000,000 additional shares of our common stock to the investors in the October Purchase Agreement and the November Purchase Agreements, of which 4,500,000 additional shares were issued to a related party. Additional shares issued includes the one investor holding 1,000,000 shares who received 3,000,000 additional shares and excludes the Lead Investor holding 3,000,000 shares that were repurchased by us and exchanged in combination with the forfeiture of additional shares owed in connection with the anti-dilution rights for $3.0 million principal amount of subordinated notes.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Sixth Amendment to Credit Agreement</w:t>
      </w:r>
    </w:p>
    <w:p>
      <w:pPr>
        <w:spacing w:after="0" w:line="227"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On March 1, 2024, we entered into a Forbearance Agreement and Sixth Amendment to Credit Agreement (the “March Forbearance Agreement”) with the Agent, the Lenders and certain significant stockholders of ours. The March Forbearance Agreement provides that the Lenders would not exercise remedies pursuant to the events of default in the notices from the Lenders dated January 4, 2024, January 8, 2024 and January 11, 2024 (the “March Forbearance”) until April 14, 2024 if we raised gross cash proceeds of $3.5 million or more in a Capital Raise by March 4, 2024 or until March 16, 2024 if we raised gross cash proceeds in an amount greater than or equal to $2 million but less than $3.5 million in a Capital Raise by March 4, 2024 (in either case, the “Forbearance Termination Date”).</w:t>
      </w:r>
    </w:p>
    <w:p>
      <w:pPr>
        <w:spacing w:after="0" w:line="18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March Forbearance would terminate upon the following dates: (a) the Forbearance Termination Date; (b) the date on which we or any other party to the Credit Agreement (each, a “Loan Party”) commences, or threatens in writing to commence, any litigation against the Agent or any Lender; (c) the date on which any Loan Party takes any action inconsistent with the Agent’s or any Lender’s interests in the Collateral (as defined in the Credit Agreement); (d) the commencement of any insolvency proceeding by or against any Loan Party; (e) any amendment to the Loan Parties’ certificate of incorporation, bylaws or other operating documents, or us entering into any stockholders agreement or other operating document, which in any way amends or alters (A) the composition of our board of directors including providing any stockholder or other person with any right to designate a director, (B) the relative voting rights of members of the board of directors or stockholders, or (C) the terms of the Loan Parties’ governance; (f) Paul Hastings LLP ceases, for any reason, to act as corporate counsel to the Loan Parties; (g) on the date that is three (3) days after March 1, 2024, if</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by that date the Loan Parties have not retained an interim or permanent resource to support capital markets activity reasonably acceptable to Agent in its sole discretion or (h) the occurrence or existence of any default or event of default under the Forbearance Agreement or under any loan document, or any event or circumstance which, with notice or the passage of time, shall become an event of default, other than the Forbearance Defaults.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Seventh Amendment to Credit Agreement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21, 2024, we entered into a Seventh Amendment (the “Seventh Amendment”) to the Credit Agreement with the Agent for the Lenders. Pursuant to the Seventh Amendment, the Lenders agreed not to exercise remedies with respect to a number of events of default prior to April 15, 2024 to the extent $2.0 million is advanced to us pursuant to the March 2024 Convertible Note on March 21, 2024 and prior to May 15, 2024 to the extent an additional $2.0 million is advanced to us pursuant to the March 2024 Convertible Note on March 30, 2024 (in either case, the “New Forbearance Termination Date”). The Seventh Amendment further provides that (1) the minimum unrestricted cash amount under the Credit Agreement will be zero from March 21, 2024 until the day prior to the New Forbearance Termination Date and will become $10 million on the New Forbearance Termination Date, and (2) an event of default by us under the March 2024 Convertible Note will constitute an event of default under the Credit Agreement as well.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March Subordinated Convertible Note</w:t>
      </w:r>
    </w:p>
    <w:p>
      <w:pPr>
        <w:spacing w:after="0" w:line="227"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On March 1, 2024 we issued to Remus Capital a subordinated convertible note in the principal amount of $960,000 (the “March 2024 Convertible Note”) in consideration for a cash investment of $960,000 from Remus Capital, a related party. The March 2024 Convertible Note accrues interest monthly by increasing principal at a rate of 7.5% per annum. The interest rate shall increase to 12% in the case of an event of default. The March 2024 Convertible Note is convertible into 3,840,000 shares of common stock at the option of the holder at an initial conversion price of $0.25 per share. The March 2024 Convertible Note will convert mandatorily into common stock at the then prevailing conversion price immediately prior to (a) a Restructuring Transaction (as defined in the March 2024 Convertible Note), and (b) a Change of Control (as defined in the March 2024 Convertible Note) transaction with a financial investor. We elected the fair value option to account for the March 2024 Convertible Note and the resulting impact of the change in the fair value of the March 2024 Convertible Note is recorded on the condensed consolidated statement of operations and comprehensive income (loss) in the change in fair value of warrants and convertible promissory notes for the three and nine months ended March 31, 2024. The March 2024 Convertible Note matures on March 30, 2026.</w:t>
      </w:r>
    </w:p>
    <w:p>
      <w:pPr>
        <w:spacing w:after="0" w:line="19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March 2024 Convertible Note is subordinated to the payment in full of the principal outstanding under the Senior Indebtedness and no principal or interest may be paid in cash on the March 2024 Convertible Note prior to the repayment in cash in full of the Senior Indebtedness.</w:t>
      </w:r>
    </w:p>
    <w:p>
      <w:pPr>
        <w:spacing w:after="0" w:line="17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All or a portion of the March Note can be redeemed at the option of the holder upon an event of default at a price equal to the greater of (i) the sum of the conversion amount which is the portion of principal, plus accrued PIK interest and (ii) the product of (X) the conversion amount divided by $0.25, subject to adjustment, multiplied by the greatest closing sale price of our common stock on any trading day during the period commencing on the date immediately preceding such event of default and ending on the date we make the entire payment. This clause is subject to the payment in full of the Senior Indebtedness as noted above.</w:t>
      </w:r>
    </w:p>
    <w:p>
      <w:pPr>
        <w:spacing w:after="0" w:line="18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Upon a bankruptcy event of default, we must immediately pay to the holders an amount in cash representing all outstanding principal, accrued interest, and other charges. A bankruptcy event of default is defined as: we commence any case, proceeding or other action under the Bankruptcy Code or similar debtor relief laws or there is a case, proceeding or other action of similar nature commenced against us. This clause is subject to the payment in full of the Senior Indebtedness as noted above.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 Note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21, 2024, we issued to CA a secured promissory note in the principal amount of $4.0 million (the “CA Note”), pursuant to which CA agreed to make two loans totaling an aggregate of $4.0 million to us. The first loan was made on March 21, 2024 in the amount of $2.0 million and the second loan was made on March 30, 2024 in the amount of $2.0 million. The CA Note shall be repaid no later than May 15, 2024. Interest on the CA Note accrues by increasing principal at a rate of 12.0% per annum. On the maturity date, we will pay the interest then due by adding such outstanding interest to the aggregate principal amount of the Loans.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CA Note is secured by a first priority lien on substantially all of our assets, pursuant to that certain security agreement, dated as of March 21, 2024, by and between CA and us.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CA Note is subject to a subordination agreement (the “Subordination Agreement”) among the Agent and the Lenders, CA and us. Under the Subordination Agreement, (1) the Agent and the Lenders agree to subordinate their liens on the collateral to the liens of CA securing the CA Note, (2) CA agrees that, prior to repayment of amounts payable to the Lenders, it will not take any enforcement action with respect to the CA Note without the consent of the Agent, (3) the Agent will retain the sole right to engage in enforcement actions and otherwise manage the collateral, and (4) the Agent and/or the Lenders, at any time, may purchase the outstanding loans, at par, without regard to any prepayment penalty or premium.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Cooperation Agreement and Extension to Forbearance Date and Related Terms</w:t>
      </w:r>
    </w:p>
    <w:p>
      <w:pPr>
        <w:spacing w:after="0" w:line="227"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On May 16, 2024, we entered into a Cooperation Agreement (the “Cooperation Agreement”) with the Lenders, and certain significant stockholders where the Lenders agreed they will not exercise remedies for certain continuing events of default under the Credit Agreement, under the following conditions (the “May Forbearance”). If we raise $3.0 million or more of working capital in a registered direct offering or private placement by May 22, 2024, with at least $2.5 million received by May 15, 2024, the Lenders agree to extend the May Forbearance termination date to June 14, 2024. As of May 20, 2024, we have received $3.0 million and the Lenders agreed the date of May 15, 2024 to receive the funds is moved to May 20, 2024. If we raise additional working capital of $3.0 million or more by June 7, 2024 in a registered direct offering or private placement the Lenders agree to extend the May Forbearance termination date to July 15,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Cooperation in Connection with Sale of the Company</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event of termination of May Forbearance, we have agreed to cooperate with the Lenders’ rights and remedies under the Credit Agreement, including, among other things, the realization of their collateral and a potential sale process under Article 9 of the Uniform Commercial Code.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of Alternative Path</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have agreed to maintain a committee of independent directors to work with the Lenders on the development and execution of a strategic plan (the “Alternative Path”) to address our obligations under the Credit Agreement if the May Forbearance ends.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2024 Convertible Note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May 16, 2024, we issued to Remus Capital, a related party, a subordinated convertible note in the principal amount of $1.5 million (the “May 2024 Convertible Note”) in consideration for a cash investment of $1.5 million. PIK Interest on the May 2024 Convertible Note accrues monthly at a rate of 7.5% per annum. The interest rate shall increase to 12% in the case of an event of default. The May 2024 Convertible Note is convertible into 10,714,286 shares of common stock at the option of the holder at an initial conversion price of $0.14 per share.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Extension of CA Note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 has agreed to extend the maturity of the CA Note to align with the termination date of May Forbearance as described above in exchange for an extension of the anti-dilution period in the October Purchase Agreement from September 30, 2024 to December 31, 2024 and a change in the anti-dilution trigger price in the October Purchase Agreement from $0.25 to $0.14.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Anti-dilution Adjustments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May Offering triggered the anti-dilution provision in the October Purchase Agreement in which we were required to issue an additional 9,428,571 shares to CA and the anti-dilution triggering price was reduced from $0.25 to $0.14 per share for future issuances. The anti-dilution provision in the Third Amendment Conversion Warrants was triggered and we were required to increase the number of warrants from 24,000,000 to 42,857,123 shares and the anti-dilution triggering price was reduced from $0.25 to $0.14 per share. The anti-dilution provision in the Fifth Amendment Warrants were triggered and we were required to increase the number of warrants from 8,517,278 to 15,209,425 and a reduction in the anti-dilution triggering price from $0.25 to $0.14 per share. The anti-dilution provision in the January 2024 Convertible Notes was triggered and we were required to reserve an aggregate of 28,285,715 additional shares underlying the principal and a reduction in the conversion price and anti-dilution triggering price from $0.25 to $0.14.</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anti-dilution protection is extended from September 30, 2024 to December 31, 2024 for the October Purchase Agreement, the Third Amendment Conversion Warrants, the Fifth Amendment Conversion Warrants and the January 2024 Convertible Notes.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November purchasers that participate in the May Offering will have their anti-dilution protection applicable to the November 2023 Offering, which expired on to April 1, 2024, reinstated through December 31, 2024 at an anti-dilution triggering price of $0.25 per share.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Premium Financing</w:t>
      </w:r>
    </w:p>
    <w:p>
      <w:pPr>
        <w:spacing w:after="0" w:line="22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On October 4, 2023, we entered into a premium financing agreement to finance approximately $0.8 million in the form of a term loan, which is secured by our insurance policies. The proceeds of the loan will be used to pay insurance premiums for D&amp;O insurance. The related interest rate is 8.43% with monthly principal and interest payments of $0.1 million and a maturity date of May 21,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Term Loans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Previously Issued Convertible Promissory Notes</w:t>
      </w:r>
    </w:p>
    <w:p>
      <w:pPr>
        <w:spacing w:after="0" w:line="227" w:lineRule="exact"/>
        <w:rPr>
          <w:sz w:val="20"/>
          <w:szCs w:val="20"/>
          <w:color w:val="auto"/>
        </w:rPr>
      </w:pPr>
    </w:p>
    <w:p>
      <w:pPr>
        <w:jc w:val="both"/>
        <w:ind w:right="220" w:firstLine="648"/>
        <w:spacing w:after="0" w:line="257" w:lineRule="auto"/>
        <w:rPr>
          <w:sz w:val="20"/>
          <w:szCs w:val="20"/>
          <w:color w:val="auto"/>
        </w:rPr>
      </w:pPr>
      <w:r>
        <w:rPr>
          <w:rFonts w:ascii="Times New Roman" w:cs="Times New Roman" w:eastAsia="Times New Roman" w:hAnsi="Times New Roman"/>
          <w:sz w:val="18"/>
          <w:szCs w:val="18"/>
          <w:color w:val="auto"/>
        </w:rPr>
        <w:t>Prior to our Merger, we had previously issued convertible notes outstanding to various investors, all of which were accounted for under the fair value option. In conjunction with the Merger all convertible promissory notes and embedded warrants converted into shares of common stock. As a consequence of the note and warrant conversion, 8,147,938 shares of common stock were issued.</w:t>
      </w:r>
    </w:p>
    <w:p>
      <w:pPr>
        <w:spacing w:after="0" w:line="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Immediately prior to conversion, the convertible promissory notes were remeasured to the then fair value of $41.4 million, resulting in a gain on remeasurement of $48.3 million which was recorded within change in fair value of warrants and convertible promissory notes on the condensed consolidated statement of operations and comprehensive income (loss) for the nine months ended March 31, 2023. As a consequence of the conversion, $41.4 million was reclassified into additional paid-in capital. Accordingly, there were no remeasurement effects related to the convertible promissory notes, as such notes were no longer outstanding during the three months ended March 31, 2023.</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Horizon Loan</w:t>
      </w:r>
    </w:p>
    <w:p>
      <w:pPr>
        <w:spacing w:after="0" w:line="227"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On March 4, 2021, we entered into a loan agreement (the “Horizon Loan”) with Horizon Technology Finance Corporation (“Horizon”), which provided us with $15.0 million, bore interest at prime rate plus 6.5% per annum, and had a term of 54 months from each loan funding date.</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entry into the Credit Agreement, on September 21, 2022, we repaid the Horizon Loan making a cash disbursement of $17.0 million, of which $15.0 million was repayment of principal and $0.6 million was payment of interest expense and accrued interest. Further, $1.7 million was recorded as a loss on extinguishment of debt and financial obligations on our condensed consolidated statement of operations and comprehensive income (loss) during the nine months ended March 31, 2023.</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Lago Term Loans</w:t>
      </w:r>
    </w:p>
    <w:p>
      <w:pPr>
        <w:spacing w:after="0" w:line="227"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On March 11, 2022, we entered into a loan agreement (the “Lago Loan”) with Lago Innovation Fund I &amp; II, LLC, which provided us with $12.6 million, bore interest at the greater of 12% plus the greater of 1% or 30 day LIBOR, bore 2% payable in kind interest, and matured on April 1, 2023.</w:t>
      </w:r>
    </w:p>
    <w:p>
      <w:pPr>
        <w:spacing w:after="0" w:line="17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On August 4, 2022, we received an additional tranche of term loan in the amount of $5.3 million via an amendment to the Lago Loan. Further, we issued an additional 169,310 warrants to purchase common stock with the additional tranche. We determined that the amendment with the lender should be accounted for as an extinguishment and recorded a loss on extinguishment of debt and financial obligations of $6.0 million on our condensed consolidated statement of operations and comprehensive income (loss) during the nine months ended March 31, 2023.</w:t>
      </w:r>
    </w:p>
    <w:p>
      <w:pPr>
        <w:spacing w:after="0" w:line="18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entry into the Credit Agreement on September 21, 2022, we repaid all outstanding loans by making a cash disbursement of $22.4 million, of which $17.9 million was repayment of principal and $0.1 million was payment of payable in-kind interest. Further $4.4 million of cash was paid related to prepayment and other penalties.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Paycheck Protection Program Loan</w:t>
      </w:r>
    </w:p>
    <w:p>
      <w:pPr>
        <w:spacing w:after="0" w:line="22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In March 2021 we obtained a PPP loan in the amount of $2.0 million through the U.S. Small Business Administration. The loan was to be fully forgiven if the funds received were used for payroll costs, interest on mortgages, rent, and utilities, with at least</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60% being used for payroll. We utilized the funds for these purposes and applied for loan forgiveness of the PPP funds. Our accounting policy provides that if the loans are forgiven, the forgiven loan balance will be recognized as income in the period of forgiveness. During the nine months ended March 31, 2023, we received forgiveness of the PPP loan of $2.0 million and recognized income on forgiveness within other income, net in our condensed consolidated statements of operations and comprehensive income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To supplement our condensed consolidated financial statements, which are prepared and presented in accordance with generally accepted accounting principles in the United States of America (“U. S. GAAP”), we use certain non-GAAP financial measures, as described below, to understand and evaluate our core operating performance. These non-GAAP financial measures, which may be different than similarly-titled measures used by other companies, are presented to enhance investors’ overall understanding of our financial performance and should not be considered as substitutes for, or superior to, the financial information prepared and presented in accordance with GAAP contained in this Form 10-Q.</w:t>
      </w:r>
    </w:p>
    <w:p>
      <w:pPr>
        <w:spacing w:after="0" w:line="18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believe that these non-GAAP financial measures provide useful information about our financial performance, enhance the overall understanding of our past performance and future prospects, and allow for greater transparency with respect to important metrics used by our management for financial and operational decision-making. We are presenting these non-GAAP metrics to assist investors in seeing our financial performance using a management view. We believe that these measures provide an additional tool for investors to use in comparing our core financial performance over multiple periods with other companies in our industry.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Gross Profit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Adjusted Gross Profit is calculated as gross profit adjusted to add back depreciation, amortization and impairments.</w:t>
      </w:r>
    </w:p>
    <w:p>
      <w:pPr>
        <w:spacing w:after="0" w:line="22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use Adjusted Gross Profit to understand and evaluate our core operating performance and trends. We believe this metric is a useful measure to us and to our investors to assist in evaluating our performance because it removes the impact of events that do not reflect our core operating performance, thereby providing consistency and direct comparability with our past financial performance and between fiscal periods.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gross profit to Adjusted Gross Profit for each of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19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0" w:type="dxa"/>
            <w:vAlign w:val="bottom"/>
          </w:tcPr>
          <w:p>
            <w:pPr>
              <w:spacing w:after="0"/>
              <w:rPr>
                <w:sz w:val="15"/>
                <w:szCs w:val="15"/>
                <w:color w:val="auto"/>
              </w:rPr>
            </w:pPr>
          </w:p>
        </w:tc>
        <w:tc>
          <w:tcPr>
            <w:tcW w:w="21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0" w:type="dxa"/>
            <w:vAlign w:val="bottom"/>
          </w:tcPr>
          <w:p>
            <w:pPr>
              <w:spacing w:after="0"/>
              <w:rPr>
                <w:sz w:val="1"/>
                <w:szCs w:val="1"/>
                <w:color w:val="auto"/>
              </w:rPr>
            </w:pPr>
          </w:p>
        </w:tc>
      </w:tr>
      <w:tr>
        <w:trPr>
          <w:trHeight w:val="142"/>
        </w:trPr>
        <w:tc>
          <w:tcPr>
            <w:tcW w:w="548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Depreciation, amortization and impairments</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Profit</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27"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Adjusted EBITDA is defined as net income (loss), adjusted to exclude interest expense, other income, net, provision (benefit) for income taxes, depreciation and amortization expense, impairment of developed and acquired technology, impairment of inventory</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stock-based compensation expense, earnout stock-based compensation expense, change in fair value of warrants and convertible promissory notes, restructuring expense, loss on extinguishment of debt and financing obligations, other financing and financial instrument income (costs), net, deferred compensation and bonuses earned upon closing of the Merger, and the public relations fee paid upon closing of the Merger.</w:t>
      </w:r>
    </w:p>
    <w:p>
      <w:pPr>
        <w:spacing w:after="0" w:line="188"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We believe Adjusted EBITDA is useful for investors to use in comparing our financial performance to other companies and from period to period. Adjusted EBITDA is widely used by investors and securities analysts to measure a company’s operating performance without regard to items such as depreciation and amortization, interest expense, and interest income, which can vary substantially from company to company depending on their financing and capital structures and the method by which their assets were acquired. In addition, Adjusted EBITDA eliminates the impact of certain items that do not reflect our core operating performance, thereby providing consistency and direct comparability with our past financial performance and between fiscal periods. We have also excluded non-recurring costs related to the closing of the Merger, including deferred compensation and bonuses earned upon the closing of the Merger, and a public relations fee due upon closing of the Merger. Excluding these costs attributable to the Merger better reflects our operating performance and provides consistency and comparability with our past financial performance. Adjusted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EBITDA also has limitations as an analytical tool, and you should not consider this measure in isolation or as a substitute for analysis of our results as reported under GAAP. For example, although depreciation expense is a non-cash charge, the assets being depreciated may have to be replaced in the future, and Adjusted EBITDA does not reflect cash capital expenditure requirements for such replacements or for new asset acquisitions. In addition, Adjusted EBITDA excludes stock-based compensation expense, which has been, and will continue to be for the foreseeable future, a significant recurring expense for our business and an important part of our compensation strategy. Adjusted EBITDA also does not reflect changes in, or cash requirements for, our working capital needs; interest expense, or the cash requirements necessary to service interest or principal payments on our debt, which reduces the cash available to us; or tax payments that may represent a reduction in cash available to us. The expenses and other items we exclude in our calculation of Adjusted EBITDA may differ from the expenses and other items that other companies may exclude from Adjusted EBITDA when they report their financial results.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net income (loss) to Adjusted EBITDA for each of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19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0" w:type="dxa"/>
            <w:vAlign w:val="bottom"/>
          </w:tcPr>
          <w:p>
            <w:pPr>
              <w:spacing w:after="0"/>
              <w:rPr>
                <w:sz w:val="15"/>
                <w:szCs w:val="15"/>
                <w:color w:val="auto"/>
              </w:rPr>
            </w:pPr>
          </w:p>
        </w:tc>
        <w:tc>
          <w:tcPr>
            <w:tcW w:w="214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0" w:type="dxa"/>
            <w:vAlign w:val="bottom"/>
          </w:tcPr>
          <w:p>
            <w:pPr>
              <w:spacing w:after="0"/>
              <w:rPr>
                <w:sz w:val="1"/>
                <w:szCs w:val="1"/>
                <w:color w:val="auto"/>
              </w:rPr>
            </w:pPr>
          </w:p>
        </w:tc>
      </w:tr>
      <w:tr>
        <w:trPr>
          <w:trHeight w:val="142"/>
        </w:trPr>
        <w:tc>
          <w:tcPr>
            <w:tcW w:w="5480" w:type="dxa"/>
            <w:vAlign w:val="bottom"/>
            <w:tcBorders>
              <w:bottom w:val="single" w:sz="8" w:color="auto"/>
            </w:tcBorders>
            <w:gridSpan w:val="2"/>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of developed and acquired technology</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inventory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Earnout stock-based compensation expense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warrants and convertible promissory notes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expense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extinguishment of debt and financing obligations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financing and financial instrument income (costs), net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compensation and bonuses earned upon closing of the Merger</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relations fee due upon closing of the Merger</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(12,214)</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(9,728)</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(32,522)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3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did not have any off-balance sheet arrangements as of March 31, 2024 and June 30,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Updates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June 2022, we received a favorable arbitrator ruling from the Singapore International Arbitration Center related to a matter with a third-party subcontractor, XAC Automation Corp (“XAC”) and was awarded approximately $11.3 million in damages related to our loss on infrequent product repairs and to cover our legal expenses. This arbitration ruling was affirmed by the appellate court in the country of the arbitration ruling on March 6, 2023. The vendor appealed the ruling to the highest court in that country in May 2023. In a decision rendered on January 16, 2024 by the Singapore Court of Appeal, we obtained a favorable verdict in the final hearing regarding our case against XAC. The Court dismissed XAC’s appeal and upheld the award of $11.3 million previously made to us. XAC has no further recourse to set aside the award and we are able to seek to enforce the award against XAC in Taiwan, the country of XAC’s domicile, going forward. We intend to pursue full collection of this award from XAC in Taiwan, which involves domesticating the award there and may take between several months to more than a year.</w:t>
      </w:r>
    </w:p>
    <w:p>
      <w:pPr>
        <w:spacing w:after="0" w:line="188"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award has not met the criteria to be considered realizable as of March 31, 2024. As a result, we have not recognized any gain related to this settlement in our condensed consolidated statement of operations and comprehensive income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March 2024, we entered into a secured promissory note in the principal amount of $4.0 million with CA, a related party affiliated with Cleveland Avenue, LLC (“Cleveland Avenue”) and Keith Kravcik, a director of ours, who is the Chief Investment Officer</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 all of Cleveland Avenue’s various investment funds, including Presto CA, LLC. CA is a lender under the CA Note and is party to (i) that certain Amended and Restated Governance Agreement, dated as of November 16, 2023 (the “Governance Agreement”), pursuant to which, among other things, CA has the right to appoint one of our directors and (ii) that certain Stockholders Agreement, dated as of November 16, 2023 (the “Stockholders Agreement”), pursuant to which we agreed that we will not undertake certain actions for a period of 12 months without the consent of the parties thereto.</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1, 2024 the Company issued the March 2024 Convertible Note in the principal amount of $960,000 in consideration for a cash investment of $960,000 from Remus Capital, a related party affiliated with Krishna Gupta, a director of the Company. Remus is party to (i) the Governance Agreement, pursuant to which, among other things, Remus Capital has the right to appoint two directors of the Company and (ii) the Stockholders Agreement, pursuant to which the Company agreed that it will not undertake certain actions for a period of 12 months without the consent of the parties thereto.</w:t>
      </w:r>
    </w:p>
    <w:p>
      <w:pPr>
        <w:spacing w:after="0" w:line="22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January 29, 2024, in connection with the January 2024 Offering, we entered into a securities purchase agreement with Remus Capital for the issuance and sale of $2.7 million of the January 2024 Convertible Notes. From issuance through September 30, 2024, the Conversion Price will be reduced if the Company issues any common stock or securities convertible into or exchangeable for common stock at a price that is less than the initial conversion price of $0.25 per share.</w:t>
      </w:r>
    </w:p>
    <w:p>
      <w:pPr>
        <w:spacing w:after="0" w:line="22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addition, we are party to a Stockholders Agreement, dated as of November 16, 2023, by and among us, Presto CA, LLC (“CA”) and KKG Enterprises LLC (“KKG”), each a related party, pursuant to which, CA and KKG have consent rights with respect to, among other things, any issuance of common stock or securities convertible into or exercisable for common stock, subject to limited exceptions. Each of CA and KKG may have the ability to block any such future issuances pursued and the we may therefore not be able to raise capital as needed.</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November 21, 2023, we entered into the November Purchase Agreements, one of which was with Zaffran Special Opportunities, LLC, a related party, to which we agreed to issue 750,000 newly issued shares of our common stock.</w:t>
      </w:r>
    </w:p>
    <w:p>
      <w:pPr>
        <w:spacing w:after="0" w:line="2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10, 2023, we entered into the October Purchase Agreement with Presto CA, LLC, pursuant to which we agreed to sell 1,500,000 newly issued shares of our common stock, at a purchase price of $2.00 per share for an aggregate purchase price of $3.0 million.</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result of anti-dilution provisions in the October Purchase Agreement, we issued 1,500,000 additional shares to the purchaser CA upon the issuance of common stock in the November 2023 Offering and the triggering purchase price was lowered from $2.00 to $1.00 per share. We recorded deemed dividend and an offsetting entry to additional paid-in capital of $1.5 million as a result. The anti-dilution provisions were further triggered upon the issuance of the January 2024 Convertible Notes where an additional 4,500,000 shares were issued to CA and the triggering purchase price was lowered from $1.00 to $0.40 per share. We recorded a deemed dividend with an offsetting entry to additional paid-in capital of $2.7 million as a result. The anti-dilution provisions were further triggered upon the issuance of common stock in the February Offering where an additional 4,500,000 shares were issued to CA and the triggering purchase price was lowered from $0.40 to $0.25 per share. We recorded a deemed dividend and an offsetting entry to additional paid-in capital of $0.7 million as a result.</w:t>
      </w:r>
    </w:p>
    <w:p>
      <w:pPr>
        <w:spacing w:after="0" w:line="215"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During the nine months ended March 31, 2023, we received an equity investment of $1.0 million from an investor in exchange for 133,333 shares of our common stock. Such investor held a significant portion of outstanding convertible notes on September 15, 2022, the date the investment was made. Refer to Note 9 of our condensed consolidated financial statements included within Item 1 of this Quarterly Report on Form 10-Q for further details.</w:t>
      </w:r>
    </w:p>
    <w:p>
      <w:pPr>
        <w:spacing w:after="0" w:line="18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 addition, during the nine months ended March 31, 2023 we granted 1,200,000 of RSUs to a director and former interim CEO of ours with a grant date fair value of $4.56 per RSU. Refer to Note 11 of our condensed consolidated financial statements included within Item 1 of this Quarterly Report on Form 10-Q for further details.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us to make certain estimates and assumptions that affect the reported amounts of certain assets, liabilities, revenues, expenses and disclosures. Accordingly, actual amounts could differ from those estimates, and those differences could be material.</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most significant estimates and judgments are related to the fair value of certain financial instruments which includes warrant liabilities. Other uses of estimates include, but are not limited to, the collectability of accounts receivable, the useful lives of property and equipment and intangible assets, inventory valuation, fair value of financial instruments, valuation of deferred tax assets and liabilities, valuation assumptions utilized in calculating the estimated value of stock-based compensation, valuation of warrants, valuation of goodwill and intangible assets acquired and impairment of long-lived assets. We have assessed the impact and are not aware of any specific events or circumstances, other than the events and circumstances that lead to the adjustment to certain intangible assets</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that required an update to our estimates and assumptions or materially affected the carrying value of our assets or liabilities as of the date of issuance of this report. Those estimates may change as new events occur and additional information is obtained.</w:t>
      </w:r>
    </w:p>
    <w:p>
      <w:pPr>
        <w:spacing w:after="0" w:line="192"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believe that the accounting policies described below involve a greater degree of judgment and complexity. Accordingly, these are the policies we believe are the most critical to aid in fully understanding and evaluating our financial condition and results of operations. For further information, see Note 1 to the audited consolidated financial statements as of and for the years ended June 30, 2023 and 2022 and the related notes contained in Part II, Item 8, of the Annual Report on Form 10-K filed with the SEC on October 10,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account for our revenue in accordance with ASC 606 Revenue from Contracts with Customers. Revenue is recognized when promised goods or services are transferred to the customer in an amount that reflects the consideration to which we expect to be entitled in exchange for those goods or services, net of any taxes collected from customers (e.g., sales and other indirect taxes), which are subsequently remitted to government authorities.</w:t>
      </w:r>
    </w:p>
    <w:p>
      <w:pPr>
        <w:spacing w:after="0" w:line="18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Revenue is recognized when promised goods or services are transferred to the customer in an amount that reflects the consideration to which we expect to be entitled in exchange for those goods or services, net of any taxes collected from customers (e.g., sales and other indirect taxes), which are subsequently remitted to government authorities.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and nine months ended March 31, 2024 and 2023, we derived our revenues from two revenue streams:</w:t>
      </w:r>
    </w:p>
    <w:p>
      <w:pPr>
        <w:spacing w:after="0" w:line="27" w:lineRule="exact"/>
        <w:rPr>
          <w:sz w:val="20"/>
          <w:szCs w:val="20"/>
          <w:color w:val="auto"/>
        </w:rPr>
      </w:pPr>
    </w:p>
    <w:p>
      <w:pPr>
        <w:jc w:val="both"/>
        <w:ind w:firstLine="8"/>
        <w:spacing w:after="0" w:line="255" w:lineRule="auto"/>
        <w:tabs>
          <w:tab w:leader="none" w:pos="25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Platform revenue consisting of sales of the Presto Touch and Presto Voice solutions and leases of the Presto Touch solution, including hardware, hardware accessories, software, customer support and maintenance, and (2) Transaction revenue consisting of premium gaming content and other revenue, which includes professional services.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determine revenue recognition through the following steps:</w:t>
      </w:r>
    </w:p>
    <w:p>
      <w:pPr>
        <w:spacing w:after="0" w:line="225" w:lineRule="exact"/>
        <w:rPr>
          <w:sz w:val="20"/>
          <w:szCs w:val="20"/>
          <w:color w:val="auto"/>
        </w:rPr>
      </w:pPr>
    </w:p>
    <w:p>
      <w:pPr>
        <w:ind w:left="1000" w:hanging="317"/>
        <w:spacing w:after="0" w:line="255"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 — In connection with our Presto Touch and Presto Voice solutions, we enter into a MSA with the customer which is signed by both parties. The rights and obligations are outlined in the MSA, and payment terms are clearly defined. We then enter into an agreement, typically with each franchisee, which outlines the specified goods and services to be provided. We also enter into separate gaming agreements with guests, whereby our guest agrees to pay for use of the premium content. Each MSA, in conjunction with a license agreement, and each gaming agreement, has commercial substance, whereby we are to provide products and services in exchange for payment, and collectability is probable.</w:t>
      </w:r>
    </w:p>
    <w:p>
      <w:pPr>
        <w:spacing w:after="0" w:line="188" w:lineRule="exact"/>
        <w:rPr>
          <w:rFonts w:ascii="Times New Roman" w:cs="Times New Roman" w:eastAsia="Times New Roman" w:hAnsi="Times New Roman"/>
          <w:sz w:val="18"/>
          <w:szCs w:val="18"/>
          <w:color w:val="auto"/>
        </w:rPr>
      </w:pPr>
    </w:p>
    <w:p>
      <w:pPr>
        <w:ind w:left="1000" w:right="60" w:hanging="317"/>
        <w:spacing w:after="0" w:line="254"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 — Our contracts with customers include promises to transfer multiple services. For all arrangements with multiple services, we evaluate whether the individual services qualify as distinct performance obligations. In our assessment of whether a service is a distinct performance obligation, we determine whether the customer can benefit from the service on its own or with other readily available resources and whether the service is separately identifiable from other services in the contract. This evaluation requires us to assess the nature of each individual service offering and how the services are provided in the context of the contract, including whether the services are significantly integrated, highly interrelated, or significantly modify each other, which may require judgment based on the facts and circumstances of the contract.</w:t>
      </w:r>
    </w:p>
    <w:p>
      <w:pPr>
        <w:spacing w:after="0" w:line="192" w:lineRule="exact"/>
        <w:rPr>
          <w:sz w:val="20"/>
          <w:szCs w:val="20"/>
          <w:color w:val="auto"/>
        </w:rPr>
      </w:pPr>
    </w:p>
    <w:p>
      <w:pPr>
        <w:ind w:left="980" w:right="40"/>
        <w:spacing w:after="0" w:line="261" w:lineRule="auto"/>
        <w:rPr>
          <w:sz w:val="20"/>
          <w:szCs w:val="20"/>
          <w:color w:val="auto"/>
        </w:rPr>
      </w:pPr>
      <w:r>
        <w:rPr>
          <w:rFonts w:ascii="Times New Roman" w:cs="Times New Roman" w:eastAsia="Times New Roman" w:hAnsi="Times New Roman"/>
          <w:sz w:val="18"/>
          <w:szCs w:val="18"/>
          <w:color w:val="auto"/>
        </w:rPr>
        <w:t>We identified the following performance obligations: for the MSAs and license agreements, 1) sales or leases of hardware, SaaS and maintenance are one combined performance obligation for the Presto Touch or Presto Voice product, and 2) providing premium content, or gaming, is a single performance obligation for the gaming agreements. Professional services were insignificant during the three and nine months ended March 31, 2024 and 2023.</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980" w:right="160"/>
        <w:spacing w:after="0" w:line="261" w:lineRule="auto"/>
        <w:rPr>
          <w:sz w:val="20"/>
          <w:szCs w:val="20"/>
          <w:color w:val="auto"/>
        </w:rPr>
      </w:pPr>
      <w:r>
        <w:rPr>
          <w:rFonts w:ascii="Times New Roman" w:cs="Times New Roman" w:eastAsia="Times New Roman" w:hAnsi="Times New Roman"/>
          <w:sz w:val="18"/>
          <w:szCs w:val="18"/>
          <w:color w:val="auto"/>
        </w:rPr>
        <w:t>Our Presto Touch and Presto Voice solution are both considered to have a single performance obligation because each element of the Presto Touch and Presto Voice solution is interdependent and cannot function independently. The software and hardware for the Presto Touch and Presto Voice solution represents one combined output and the customer cannot benefit from the use of one element without the other.</w:t>
      </w:r>
    </w:p>
    <w:p>
      <w:pPr>
        <w:spacing w:after="0" w:line="180" w:lineRule="exact"/>
        <w:rPr>
          <w:sz w:val="20"/>
          <w:szCs w:val="20"/>
          <w:color w:val="auto"/>
        </w:rPr>
      </w:pPr>
    </w:p>
    <w:p>
      <w:pPr>
        <w:ind w:left="980" w:right="20"/>
        <w:spacing w:after="0" w:line="255" w:lineRule="auto"/>
        <w:rPr>
          <w:sz w:val="20"/>
          <w:szCs w:val="20"/>
          <w:color w:val="auto"/>
        </w:rPr>
      </w:pPr>
      <w:r>
        <w:rPr>
          <w:rFonts w:ascii="Times New Roman" w:cs="Times New Roman" w:eastAsia="Times New Roman" w:hAnsi="Times New Roman"/>
          <w:sz w:val="18"/>
          <w:szCs w:val="18"/>
          <w:color w:val="auto"/>
        </w:rPr>
        <w:t>When we enter into gaming agreements, our Presto Touch product includes the capability of providing entertainment services, provided by us via internet, that can be purchased by guests. The games are only accessible over the internet, and upon the guest making the decision to pay for the content, the guest receives the right to access the game on the Presto Touch product. Gaming fees are usage based through the guest’s use of the device and stipulated in a separate contract with the guest. Any fees that are incurred are collected by the restaurant as part of the normal payment for the dining check from the guest and remitted back to us, net of commissions paid to the restaurant as the sales. Premium content revenue, or gaming revenue, is therefore one performance obligation</w:t>
      </w:r>
    </w:p>
    <w:p>
      <w:pPr>
        <w:spacing w:after="0" w:line="189" w:lineRule="exact"/>
        <w:rPr>
          <w:sz w:val="20"/>
          <w:szCs w:val="20"/>
          <w:color w:val="auto"/>
        </w:rPr>
      </w:pPr>
    </w:p>
    <w:p>
      <w:pPr>
        <w:ind w:left="1000" w:right="80" w:hanging="317"/>
        <w:spacing w:after="0" w:line="255"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 — Our MSAs stipulate the terms and conditions of providing the Presto Touch and Presto Voice solutions, and separate license agreements dictate the transaction price, and typically outline a price per store location or number of Presto Touch devices used. The transaction price is generally a fixed fee, with a portion due upfront upon signing of the contract and the remainder due upon installation of the Presto Touch solutions. The transaction price for transaction revenue is a fixed fee charged per game. We occasionally provide consideration payable to a customer, which is recorded as a capitalized asset upon payment and included as part of deferred costs and amortized as contra-revenue over the expected customer life.</w:t>
      </w:r>
    </w:p>
    <w:p>
      <w:pPr>
        <w:spacing w:after="0" w:line="188" w:lineRule="exact"/>
        <w:rPr>
          <w:rFonts w:ascii="Times New Roman" w:cs="Times New Roman" w:eastAsia="Times New Roman" w:hAnsi="Times New Roman"/>
          <w:sz w:val="18"/>
          <w:szCs w:val="18"/>
          <w:color w:val="auto"/>
        </w:rPr>
      </w:pPr>
    </w:p>
    <w:p>
      <w:pPr>
        <w:ind w:left="1000" w:right="300" w:hanging="317"/>
        <w:spacing w:after="0" w:line="261"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 The Presto Touch and Presto Voice solutions are each comprised of one performance obligation and do not require reallocation of the contract price. Our premium content contract is comprised of one performance obligation and does not require reallocation of the contract price.</w:t>
      </w:r>
    </w:p>
    <w:p>
      <w:pPr>
        <w:spacing w:after="0" w:line="179" w:lineRule="exact"/>
        <w:rPr>
          <w:rFonts w:ascii="Times New Roman" w:cs="Times New Roman" w:eastAsia="Times New Roman" w:hAnsi="Times New Roman"/>
          <w:sz w:val="18"/>
          <w:szCs w:val="18"/>
          <w:color w:val="auto"/>
        </w:rPr>
      </w:pPr>
    </w:p>
    <w:p>
      <w:pPr>
        <w:ind w:left="1000" w:right="80" w:hanging="317"/>
        <w:spacing w:after="0" w:line="258"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we satisfy a performance obligation — As the customer simultaneously receives and consumes the benefits provided by us through continuous access to our SaaS platform, revenue from the Presto Touch and Presto Voice is satisfied ratably over the contract period as the service is provided, commencing when the subscription service is made available to the customer. Transaction revenue does not meet the criteria for ratable recognition and is recognized at a point in time when the gaming service is provided.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have a stock incentive plan under which incentive stock options and restricted stock units (“RSUs”) are granted to employees and directors and non-qualified stock options are granted to employees, investors, directors and consultants. The options and RSU’s granted vest over time with a specified service period, except for performance-based grants. Stock-based compensation expense related to equity awards is recognized based on the fair value of the awards granted. The RSUs grant date fair value is determined based on our stock price on the date of grant. We have granted only RSUs and have not granted stock options during the three and nine months ended March 31, 2024 and 2023.</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earnout shares are equity classified since they do not meet the liability classification criteria outlined in ASC</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and are under ASC 815-40 are both (i) indexed to our own shares and (ii) meet the criteria for equity classification. The initial fair value of the earnout shares is determined based on “Level 3” inputs, due to a lack of market data over inputs such as the volatility and the time incurred to meet the minimum volume weighted average price (“VWAP”). At initial recognition, the earnout shares were measured at fair value using the Monte Carlo valuation model. The valuation model utilized various key assumptions, such as volatility, discount rate and time incurred to meet the minimum VWAP.</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7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account for warrants in accordance with ASC 815-40 as either liabilities or as equity instruments depending on the specific terms of the warrant agreement. Warrants are classified as liabilities when there is variability in the number of shares, and when the variability is not related to an input in the valuation model of such warrants. Liability-classified warrants are remeasured at each reporting date until settlement, with changes in the fair value recognized in change in fair value of warrants and convertible promissory notes in the consolidated statement of operations and comprehensive income (loss). Warrants that meet the fixed-for-fixed</w:t>
      </w:r>
    </w:p>
    <w:p>
      <w:pPr>
        <w:sectPr>
          <w:pgSz w:w="11900" w:h="16838" w:orient="portrait"/>
          <w:cols w:equalWidth="0" w:num="1">
            <w:col w:w="9880"/>
          </w:cols>
          <w:pgMar w:left="980" w:top="513" w:right="1039" w:bottom="1440" w:gutter="0" w:footer="0" w:header="0"/>
        </w:sect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criteria or contain variability related to an implicit or explicit input to the valuation of our Company are classified as equity instruments.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classified as equity instruments are initially recognized at fair value and are not subsequently remeasured.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from the sale of an asset or paid to transfer a liability in the principal or most advantageous market for the asset or liability in an orderly transaction between market participants on the measurement date. We measure financial assets and liabilities at fair value at each reporting period using a fair value hierarchy which requires us to maximize the use of observable inputs and minimize the use of unobservable inputs when measuring fair value. A financial instrument’s classification within the fair value hierarchy is based upon the lowest level of input that is significant to the fair value measurement. Three levels of inputs may be used to measure fair value:</w:t>
      </w:r>
    </w:p>
    <w:p>
      <w:pPr>
        <w:spacing w:after="0" w:line="187" w:lineRule="exact"/>
        <w:rPr>
          <w:sz w:val="20"/>
          <w:szCs w:val="20"/>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identical assets as of the reporting date.</w:t>
      </w:r>
    </w:p>
    <w:p>
      <w:pPr>
        <w:spacing w:after="0" w:line="225" w:lineRule="exact"/>
        <w:rPr>
          <w:rFonts w:ascii="Times New Roman" w:cs="Times New Roman" w:eastAsia="Times New Roman" w:hAnsi="Times New Roman"/>
          <w:sz w:val="18"/>
          <w:szCs w:val="18"/>
          <w:color w:val="auto"/>
        </w:rPr>
      </w:pPr>
    </w:p>
    <w:p>
      <w:pPr>
        <w:ind w:left="680" w:hanging="321"/>
        <w:spacing w:after="0" w:line="266"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Level 1 that are observable, either directly or indirectly, such as quoted prices in active markets for similar assets, quoted prices for identical or similar assets in markets that are not active, or other inputs that are observable or can be corroborated by observable market data for substantially the full term of the assets.</w:t>
      </w:r>
    </w:p>
    <w:p>
      <w:pPr>
        <w:spacing w:after="0" w:line="175"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w:t>
      </w:r>
    </w:p>
    <w:p>
      <w:pPr>
        <w:spacing w:after="0" w:line="162"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Financial instruments consist of cash equivalents, accounts receivable, accounts payable, convertible promissory notes and embedded warrants, warrant liabilities, and Unvested Sponsor Share liability. Accounts receivable and accounts payable are stated at their carrying value, which approximates fair value due to the short time to the expected receipt or payment date.</w:t>
      </w:r>
    </w:p>
    <w:p>
      <w:pPr>
        <w:spacing w:after="0" w:line="17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fair value of the Unvested Sponsor Share liability was determined using a Monte Carlo valuation model, which requires estimates including the expected volatility of our common stock. The expected annual volatility of our common stock was estimated to be 68.3% and 70.4% as of March 31, 2024 and June 30, 2023, respectively, based on the historical volatility of comparable publicly traded companies.</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fair value of the Third Amendment Conversion Warrants and the Fifth Amendment Warrant liabilities with anti-dilution protection is determined using the Monte Carlo model based on “Level 3” inputs, due to the lack of relevant observable market data over fair value inputs (volatility, stock price, risk-free rate, expected term, and dividend yield) as well as estimated probability of financing scenarios.</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fair value of the convertible notes for which the fair value option was elected is estimated using the Monte Carlo model. The fair value of the convertible notes is determined based on “Level 3” inputs, due to a lack of relevant observable market data over fair value inputs (volatility, stock price, risk-free rate, expected term, and dividend yield) as well as estimated probability of financing scenarios and discount 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evaluate the carrying value of long-lived assets on an annual basis, or more frequently whenever circumstances indicate a long-lived asset may be impaired. When indicators of impairment exist, we estimate future undiscounted cash flows attributable to such assets. In the event cash flows are not expected to be sufficient to recover the recorded value of the assets, the assets are written down to their estimated fair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right="540" w:firstLine="648"/>
        <w:spacing w:after="0" w:line="267" w:lineRule="auto"/>
        <w:rPr>
          <w:sz w:val="20"/>
          <w:szCs w:val="20"/>
          <w:color w:val="auto"/>
        </w:rPr>
      </w:pPr>
      <w:r>
        <w:rPr>
          <w:rFonts w:ascii="Times New Roman" w:cs="Times New Roman" w:eastAsia="Times New Roman" w:hAnsi="Times New Roman"/>
          <w:sz w:val="18"/>
          <w:szCs w:val="18"/>
          <w:color w:val="auto"/>
        </w:rPr>
        <w:t>See the sections entitled “</w:t>
      </w:r>
      <w:r>
        <w:rPr>
          <w:rFonts w:ascii="Times New Roman" w:cs="Times New Roman" w:eastAsia="Times New Roman" w:hAnsi="Times New Roman"/>
          <w:sz w:val="18"/>
          <w:szCs w:val="18"/>
          <w:i w:val="1"/>
          <w:iCs w:val="1"/>
          <w:color w:val="auto"/>
        </w:rPr>
        <w:t>Recently Adopted Accounting Standards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Recently Issued Accounting Standards Not Yet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Adopted</w:t>
      </w:r>
      <w:r>
        <w:rPr>
          <w:rFonts w:ascii="Times New Roman" w:cs="Times New Roman" w:eastAsia="Times New Roman" w:hAnsi="Times New Roman"/>
          <w:sz w:val="18"/>
          <w:szCs w:val="18"/>
          <w:color w:val="auto"/>
        </w:rPr>
        <w:t>” in Note 1 of Part I, Item 1, of this Quarterly Report on Form 10-Q for recently adopted accounting pronouncements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recently issued accounting pronouncements not yet adopted as of the filing date of this Quarterly Report on Form 10-Q.</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240" w:firstLine="648"/>
        <w:spacing w:after="0" w:line="312" w:lineRule="auto"/>
        <w:rPr>
          <w:sz w:val="20"/>
          <w:szCs w:val="20"/>
          <w:color w:val="auto"/>
        </w:rPr>
      </w:pPr>
      <w:r>
        <w:rPr>
          <w:rFonts w:ascii="Times New Roman" w:cs="Times New Roman" w:eastAsia="Times New Roman" w:hAnsi="Times New Roman"/>
          <w:sz w:val="17"/>
          <w:szCs w:val="17"/>
          <w:color w:val="auto"/>
        </w:rPr>
        <w:t>We have operations in the United States and in Canada, and we are exposed to market risks in the ordinary course of our business. These risks primarily include interest rate, credit and inflation risks. We are not exposed to significant foreign exchange risk.</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Sensitivity</w:t>
      </w:r>
    </w:p>
    <w:p>
      <w:pPr>
        <w:spacing w:after="0" w:line="227"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Our cash and cash equivalents are held primarily in cash deposits and money market funds. The fair value of our cash and cash equivalents would not be significantly affected by either an increase or decrease in interest rates due mainly to the short-term nature of these instruments. A hypothetical 10% change in interest rates would not have a material impact on our current results of operations due to the short-term nature of our cash and cash equivalents. Additionally, changes to interest rates will not impact the cost of our currently outstanding borrowings. Interest rates on our debt instruments are fixed. Potential changes in interest rates would also not materially impact the interest expense associated with our financing obligations.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227"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We are exposed to credit risk on accounts receivable and merchant cash advance balances. A small number of customers represent significant portions of our consolidated accounts receivable and revenue. We evaluate the solvency of our customers on an ongoing basis to determine the provision for credit losses.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customers accounted for more than 10% of revenues during the following periods: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2360" w:type="dxa"/>
            <w:vAlign w:val="bottom"/>
            <w:gridSpan w:val="4"/>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80" w:type="dxa"/>
            <w:vAlign w:val="bottom"/>
            <w:gridSpan w:val="5"/>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r>
      <w:tr>
        <w:trPr>
          <w:trHeight w:val="142"/>
        </w:trPr>
        <w:tc>
          <w:tcPr>
            <w:tcW w:w="528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r>
      <w:tr>
        <w:trPr>
          <w:trHeight w:val="20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16 %</w:t>
            </w: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12 %</w:t>
            </w:r>
          </w:p>
        </w:tc>
        <w:tc>
          <w:tcPr>
            <w:tcW w:w="11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21 %</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20 %</w:t>
            </w:r>
          </w:p>
        </w:tc>
        <w:tc>
          <w:tcPr>
            <w:tcW w:w="12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18 %</w:t>
            </w: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Customer E</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11 %</w:t>
            </w: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r>
      <w:tr>
        <w:trPr>
          <w:trHeight w:val="203"/>
        </w:trPr>
        <w:tc>
          <w:tcPr>
            <w:tcW w:w="5280" w:type="dxa"/>
            <w:vAlign w:val="bottom"/>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w:t>
            </w:r>
          </w:p>
        </w:tc>
        <w:tc>
          <w:tcPr>
            <w:tcW w:w="24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96</w:t>
            </w:r>
          </w:p>
        </w:tc>
        <w:tc>
          <w:tcPr>
            <w:tcW w:w="32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w:t>
            </w:r>
          </w:p>
        </w:tc>
        <w:tc>
          <w:tcPr>
            <w:tcW w:w="24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97</w:t>
            </w:r>
          </w:p>
        </w:tc>
        <w:tc>
          <w:tcPr>
            <w:tcW w:w="320" w:type="dxa"/>
            <w:vAlign w:val="bottom"/>
            <w:gridSpan w:val="2"/>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9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-140970</wp:posOffset>
            </wp:positionV>
            <wp:extent cx="6292215"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146050"/>
                    </a:xfrm>
                    <a:prstGeom prst="rect">
                      <a:avLst/>
                    </a:prstGeom>
                    <a:noFill/>
                  </pic:spPr>
                </pic:pic>
              </a:graphicData>
            </a:graphic>
          </wp:anchor>
        </w:drawing>
      </w:r>
    </w:p>
    <w:p>
      <w:pPr>
        <w:ind w:left="340" w:hanging="332"/>
        <w:spacing w:after="0"/>
        <w:tabs>
          <w:tab w:leader="none" w:pos="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represents less than 10% of revenue for the period.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customers accounted for more than 10% of accounts receivable as of March 31, 2024 and June 30, 2023: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128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24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As of June 30,</w:t>
            </w:r>
          </w:p>
        </w:tc>
      </w:tr>
      <w:tr>
        <w:trPr>
          <w:trHeight w:val="173"/>
        </w:trPr>
        <w:tc>
          <w:tcPr>
            <w:tcW w:w="2480" w:type="dxa"/>
            <w:vAlign w:val="bottom"/>
            <w:tcBorders>
              <w:bottom w:val="single" w:sz="8" w:color="CCEEFF"/>
            </w:tcBorders>
          </w:tcPr>
          <w:p>
            <w:pPr>
              <w:spacing w:after="0"/>
              <w:rPr>
                <w:sz w:val="15"/>
                <w:szCs w:val="15"/>
                <w:color w:val="auto"/>
              </w:rPr>
            </w:pPr>
          </w:p>
        </w:tc>
        <w:tc>
          <w:tcPr>
            <w:tcW w:w="49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r>
      <w:tr>
        <w:trPr>
          <w:trHeight w:val="210"/>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16"/>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E</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9"/>
        </w:trPr>
        <w:tc>
          <w:tcPr>
            <w:tcW w:w="2480" w:type="dxa"/>
            <w:vAlign w:val="bottom"/>
            <w:tcBorders>
              <w:top w:val="single" w:sz="8" w:color="CCEEFF"/>
            </w:tcBorders>
            <w:shd w:val="clear" w:color="auto" w:fill="CCEEFF"/>
          </w:tcPr>
          <w:p>
            <w:pPr>
              <w:spacing w:after="0"/>
              <w:rPr>
                <w:sz w:val="18"/>
                <w:szCs w:val="18"/>
                <w:color w:val="auto"/>
              </w:rPr>
            </w:pPr>
          </w:p>
        </w:tc>
        <w:tc>
          <w:tcPr>
            <w:tcW w:w="49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108"/>
        </w:trPr>
        <w:tc>
          <w:tcPr>
            <w:tcW w:w="2480" w:type="dxa"/>
            <w:vAlign w:val="bottom"/>
            <w:tcBorders>
              <w:bottom w:val="single" w:sz="8" w:color="auto"/>
            </w:tcBorders>
          </w:tcPr>
          <w:p>
            <w:pPr>
              <w:spacing w:after="0"/>
              <w:rPr>
                <w:sz w:val="9"/>
                <w:szCs w:val="9"/>
                <w:color w:val="auto"/>
              </w:rPr>
            </w:pPr>
          </w:p>
        </w:tc>
        <w:tc>
          <w:tcPr>
            <w:tcW w:w="49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r>
    </w:tbl>
    <w:p>
      <w:pPr>
        <w:spacing w:after="0" w:line="72"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represents less than 10% of accounts receivable for the period.</w:t>
      </w:r>
    </w:p>
    <w:p>
      <w:pPr>
        <w:spacing w:after="0" w:line="208"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On October 30, 2023, Customer C provided notice of its intent to not renew its contract at the end of the expiration date of March 31, 2024. The customer also sought and was granted a limited transition extension period through June 30, 2024. In addition, in the three months ended December 31, 2023, Customer A notified us of their intent not to renew their contract which is scheduled to expire June 30, 2024. We also received notification of Customer B’s intent to not renew their contract that expires on February 29,</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2024. As a result of these notices, only Customers A and C contracts are being serviced through June 30, 2024 while Customer B’s contract was terminated on February 29, 2024.</w:t>
      </w:r>
    </w:p>
    <w:p>
      <w:pPr>
        <w:spacing w:after="0" w:line="18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We are exposed to vendor concentration risk as certain of our equipment is from one supplier. Our operating results could be adversely affected in the event that the vendor increases its prices or incurs disruptions in its supply of goods or services.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22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 We cannot assure you our business will not be affected in the future by inflation.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Institutions</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Financial instruments that potentially expose us to concentrations of credit risk consist principally of cash and cash equivalents on deposit with financial institutions, the balances of which frequently exceed federally insured limits. On March 10, 2023, Silicon Valley Bank was closed by the California Department of Financial Protection and Innovation, which appointed the FDIC as receiver. If any of the financial institutions with whom we do business were to be placed into receivership, we may be unable to access to the cash we have on deposit with such institutions. If we are unable to access our cash and cash equivalents as needed, our financial position and ability to operate our business could be adversely affected. The Company has $3.7 million in deposits in excess of the FDIC limits as of March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7"/>
          <w:szCs w:val="17"/>
          <w:color w:val="auto"/>
        </w:rPr>
        <w:t>Under the supervision and with the participation of our management, including our principle executive officer and principal financial officer, we conducted an evaluation of the effectiveness of our disclosure controls and procedures as of the end of the fiscal quarter ended March 31, 2024, as such term is defined in Rules 13a-15(e) and 15d-15(e) under Securities Exchange Act of 1934, as amended (the “Exchange Act”). Disclosure controls and procedures include, without limitation, controls and procedures designed to provide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 Based on this evaluation, our principal executive officer and principal financial officer have concluded that as of March 31, 2024, our disclosure controls and procedures were not effective due to material weaknesses in our internal control over financial reporting, as discussed in more detail below. A material weakness is a deficiency, or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79" w:lineRule="exact"/>
        <w:rPr>
          <w:sz w:val="20"/>
          <w:szCs w:val="20"/>
          <w:color w:val="auto"/>
        </w:rPr>
      </w:pPr>
    </w:p>
    <w:p>
      <w:pPr>
        <w:ind w:right="440"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identified material weaknesses, management, including our principal executive officer and principal financial officer, believes the condensed consolidated financial information included in this Quarterly Report on Form 10-Q fairly represent in all material respects our financial condition, results of operations and cash flows at and for the periods presented in accordance with U.S. GAAP.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We previously identified four material weaknesses, as disclosed in our Annual Report on Form 10-K, filed with the SEC on October 10, 2023. The material weaknesses as of June 30, 2023 that we have identified are listed below.</w:t>
      </w:r>
    </w:p>
    <w:p>
      <w:pPr>
        <w:spacing w:after="0" w:line="162" w:lineRule="exact"/>
        <w:rPr>
          <w:sz w:val="20"/>
          <w:szCs w:val="20"/>
          <w:color w:val="auto"/>
        </w:rPr>
      </w:pPr>
    </w:p>
    <w:p>
      <w:pPr>
        <w:ind w:left="1000" w:right="220" w:hanging="317"/>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maintain an effective control environment, including not having designed a risk assessment process and not having designed formalized internal controls, including a lack of policies supporting segregation of duties.</w:t>
      </w:r>
    </w:p>
    <w:p>
      <w:pPr>
        <w:spacing w:after="0" w:line="3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00"/>
          </w:cols>
          <w:pgMar w:left="980" w:top="513" w:right="11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right="120" w:hanging="317"/>
        <w:spacing w:after="0" w:line="26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to address the initial application of complex accounting standards and accounting of non-routine, unusual or complex events and transactions. Further, we did not maintain sufficient accounting resources with appropriate technical knowledge to support our financial reporting requirements.</w:t>
      </w:r>
    </w:p>
    <w:p>
      <w:pPr>
        <w:spacing w:after="0" w:line="175" w:lineRule="exact"/>
        <w:rPr>
          <w:rFonts w:ascii="Times New Roman" w:cs="Times New Roman" w:eastAsia="Times New Roman" w:hAnsi="Times New Roman"/>
          <w:sz w:val="18"/>
          <w:szCs w:val="18"/>
          <w:color w:val="auto"/>
        </w:rPr>
      </w:pPr>
    </w:p>
    <w:p>
      <w:pPr>
        <w:ind w:left="1000" w:right="340" w:hanging="317"/>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over our financial statement closing process. Specifically, we did not design and maintain effective controls over certain account analyses and account reconciliations.</w:t>
      </w:r>
    </w:p>
    <w:p>
      <w:pPr>
        <w:spacing w:after="0" w:line="161" w:lineRule="exact"/>
        <w:rPr>
          <w:rFonts w:ascii="Times New Roman" w:cs="Times New Roman" w:eastAsia="Times New Roman" w:hAnsi="Times New Roman"/>
          <w:sz w:val="18"/>
          <w:szCs w:val="18"/>
          <w:color w:val="auto"/>
        </w:rPr>
      </w:pPr>
    </w:p>
    <w:p>
      <w:pPr>
        <w:ind w:left="1000" w:right="100" w:hanging="317"/>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maintain internal accounting records to adequately support the reporting of certain transactions in our financial statements.</w:t>
      </w:r>
    </w:p>
    <w:p>
      <w:pPr>
        <w:spacing w:after="0" w:line="162"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These material weaknesses could result in a misstatement of account balances or disclosures that would result in a material misstatement to the annual or interim condensed consolidated financial statements that would not be prevented or detected.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Remediation Initiatives</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We are in the early stages of designing and implementing a plan to remediate the material weaknesses identified. Our plan includes the following actions:</w:t>
      </w:r>
    </w:p>
    <w:p>
      <w:pPr>
        <w:spacing w:after="0" w:line="162" w:lineRule="exact"/>
        <w:rPr>
          <w:sz w:val="20"/>
          <w:szCs w:val="20"/>
          <w:color w:val="auto"/>
        </w:rPr>
      </w:pPr>
    </w:p>
    <w:p>
      <w:pPr>
        <w:ind w:left="1000" w:hanging="31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a risk assessment process supporting the identification of risks facing Presto.</w:t>
      </w:r>
    </w:p>
    <w:p>
      <w:pPr>
        <w:spacing w:after="0" w:line="225" w:lineRule="exact"/>
        <w:rPr>
          <w:rFonts w:ascii="Times New Roman" w:cs="Times New Roman" w:eastAsia="Times New Roman" w:hAnsi="Times New Roman"/>
          <w:sz w:val="18"/>
          <w:szCs w:val="18"/>
          <w:color w:val="auto"/>
        </w:rPr>
      </w:pPr>
    </w:p>
    <w:p>
      <w:pPr>
        <w:ind w:left="1000" w:hanging="317"/>
        <w:spacing w:after="0" w:line="256"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controls to enhance our review of significant accounting transactions and other new technical accounting and financial reporting issues and preparing and reviewing accounting memoranda addressing these issues. Hiring additional experienced accounting, financial reporting and internal control personnel and changing roles and responsibilities of our personnel as we transition to complying with Section 404 of the Sarbanes Oxley Act of 2002. We have recently hired additional resources and we are engaging with a third-party consulting firm to assist us with our formal internal control plan and provide staff augmentation of our internal audit function.</w:t>
      </w:r>
    </w:p>
    <w:p>
      <w:pPr>
        <w:spacing w:after="0" w:line="18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controls to enable an effective and timely review of account analyses and account reconciliations.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controls to enable an accurate and timely review of accounting records that support our accounting processes and maintain documents for internal accounting reviews.</w:t>
      </w:r>
    </w:p>
    <w:p>
      <w:pPr>
        <w:spacing w:after="0" w:line="16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cannot assure you that these measures will significantly improve or remediate the material weaknesses described above. The implementation of these remediation measures is in the early stages and will require validation and testing of the design and operating effectiveness of our internal controls over a sustained period of financial reporting cycles and, as a result, the timing of when we will be able to fully remediate the material weaknesses is uncertain and we may not fully remediate these material weaknesses during the year ended June 30, 2024. If the steps we take do not remediate the material weaknesses in a timely manner, there could be a reasonable possibility that these control deficiencies or others may result in a material misstatement of our annual or interim financial statements that would not be prevented or detected on a timely basis. This, in turn, could jeopardize our ability to comply with our reporting obligations, limit our ability to access the capital markets and adversely impact our stock price.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100" w:firstLine="648"/>
        <w:spacing w:after="0" w:line="289" w:lineRule="auto"/>
        <w:rPr>
          <w:sz w:val="20"/>
          <w:szCs w:val="20"/>
          <w:color w:val="auto"/>
        </w:rPr>
      </w:pPr>
      <w:r>
        <w:rPr>
          <w:rFonts w:ascii="Times New Roman" w:cs="Times New Roman" w:eastAsia="Times New Roman" w:hAnsi="Times New Roman"/>
          <w:sz w:val="17"/>
          <w:szCs w:val="17"/>
          <w:color w:val="auto"/>
        </w:rPr>
        <w:t>Other than the actions taken as described in “Management’s Remediation Initiatives” above to improve the Company’s internal control over financial reporting, there have been no changes in our internal control over financial reporting during the most recent fiscal quarter that materially affected, or which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Discussion of legal matters is in Part I, Note 8, “Commitments and Contingencies,” of this document, and should be considered an integral part of this Part II, Item 1 “Legal Proceedings.”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A comprehensive discussion of our other risk factors is included in the “Risk Factors” section of our annual report on Form 10-K for the year ended June 30, 2023 which was filed with the SEC on October 11, 2023. The risks described in our Form 10-K are not the only risks we face. Additional risks and uncertainties not currently known to us or that we currently deem to be immaterial also may materially adversely affect our business, financial condition and/or operating results. During the period covered by this quarterly report on Form 10-Q, there have been no material changes in our risk factors as previously disclosed except the following:</w:t>
      </w:r>
    </w:p>
    <w:p>
      <w:pPr>
        <w:spacing w:after="0" w:line="179"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Our current liquidity resources raise substantial doubt about our ability to continue as a going concern and to comply with our debt covenants unless we raise additional capital to meet its obligations in the near term.</w:t>
      </w:r>
    </w:p>
    <w:p>
      <w:pPr>
        <w:spacing w:after="0" w:line="15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Since inception, we have incurred recurring net losses and negative cash flows from operating activities, and we have financed operations primarily through financing transactions, such as the issuance of convertible promissory notes and loans and sales of common stock and convertible preferred stock. The Company has incurred operating losses of $15.3 million and $48.3 million for the three and nine months ended March 31 2024, respectively. As of March 31, 2024, the Company had an accumulated deficit of $266.0 million and the Company expects to generate operating and net losses for the near term. Cash from operations is also affected by various risks and uncertainties, including, but not limited to, the timing of cash collections from customers and other risks.</w:t>
      </w:r>
    </w:p>
    <w:p>
      <w:pPr>
        <w:spacing w:after="0" w:line="187"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 xml:space="preserve">The Company faces severe liquidity challenges. While the Company raised net cash proceeds of $2.4 million from the issuance of new debt in the closing of the Third Amendment to the Credit Agreement, received $11.8 million net proceeds from the sale of common stock in private placements and registered direct offerings, raised $7.0 million from the issuance of subordinated convertible notes and a $4.0 million promissory note during the nine months ended March 31, 2024, the Company used cash from operating activities of $32.2 million and incurred a net loss of $31.0 million during the same period. In addition, on January 11, 2024, following notice of breaches of covenants contained in the Credit Agreement, the Lenders delivered an activation notice to the Company’s bank in which $10.0 million of restricted cash was deposited as collateral for the Term Loans and caused the bank to wire that amount to an account designated by the Lenders (refer to Note 7.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of Item 1 of this Quarterly Report on Form 10-Q for further details). The funds were applied to reduce the outstanding balance of the Term Loans which as of March 31, 2024 totaled $53.1 million in principal amount plus accrued interest.</w:t>
      </w:r>
    </w:p>
    <w:p>
      <w:pPr>
        <w:spacing w:after="0" w:line="18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As a result, additional capital infusions will be necessary in order to fund currently anticipated expenditures and to meet the Company’s obligations as they come due. In addition, the Company has entered into a forbearance agreement with the Agent and the Lenders pursuant to which the forbearance period with respect to defaults under the Credit Agreement expires on May 15, 2024. The Company’s future capital requirements will depend on many factors, including the revenue growth rate, the success of future product development, and the timing and extent of spending to support further sales and marketing and research and development efforts.</w:t>
      </w:r>
    </w:p>
    <w:p>
      <w:pPr>
        <w:spacing w:after="0" w:line="183"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If the Company cannot satisfy this or other requirements, the Lenders could accelerate repayment of our indebtedness which would give them the right to declare any and all debt outstanding, together with accrued and unpaid interest and fees, to be immediately due and payable. In addition, the Lenders under our credit facility would have the right to proceed against the collateral in which we granted a security interest to them, which consists of all owned goods and equipment, inventory, contract rights and general intangibles (including intellectual property), forms of obligations owing to us, cash and deposit accounts, and personal property. If our debt were to be accelerated, we are unlikely to have sufficient cash or be able to borrow sufficient funds to refinance the debt or sell sufficient assets to repay the debt, which would materially and adversely affect our cash flows, business, results of operations, and financial condition.</w:t>
      </w:r>
    </w:p>
    <w:p>
      <w:pPr>
        <w:spacing w:after="0" w:line="18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addition, the Company is party to a Stockholders Agreement, dated as of November 16, 2023, by and among the Company, Presto CA, LLC (“CA”) and KKG Enterprises LLC (“KKG”), each a related party, pursuant to which, CA and KKG have consent rights with respect to, among other things, any issuance of common stock or securities convertible into or exercisable for common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 subject to limited exceptions. Each of CA and KKG may have the ability to block any such future issuances the Company pursues and the Company may therefore not be able to raise capital as needed.</w:t>
      </w:r>
    </w:p>
    <w:p>
      <w:pPr>
        <w:spacing w:after="0" w:line="162"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Substantial doubt exists about the Company’s ability to continue as a going concern within one year after the date that the financial statements are available to be issued. The Company continues efforts to mitigate the conditions or events that raise this substantial doubt, however, as some components of these plans are outside of management’s control, the Company cannot offer any assurances they will be effectively implemented. The Company cannot offer any assurance that any additional financing will be available on acceptable terms or at all. If the Company is unable to raise additional capital it would likely lead to an event of default under the Credit Agreement and the potential exercise of remedies by the Agent and Lender, which would materially and adversely impact its business, results of operations and financial condition. The Company’s condensed consolidated financial statements have been prepared on a going concern basis, which contemplates the realization of assets and satisfaction of liabilities in the normal course of business.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We may be unable to realize the benefits we expect from our Touch business.</w:t>
      </w:r>
    </w:p>
    <w:p>
      <w:pPr>
        <w:spacing w:after="0" w:line="22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 xml:space="preserve">We are evaluating strategic alternatives for our Touch Business, which could include either a sale, partial sale or abandonment of the Touch Business in the coming months, to allow us to focus our efforts on our Presto Voice business. [On January 17, 2024, we entered into a non-binding MoU with respect to the formation of a Joint Venture for the purposes of the creation and joint investment in the Touch Business. For a more detailed description of the MoU and Joint Venture, refer to Note 1. </w:t>
      </w:r>
      <w:r>
        <w:rPr>
          <w:rFonts w:ascii="Times New Roman" w:cs="Times New Roman" w:eastAsia="Times New Roman" w:hAnsi="Times New Roman"/>
          <w:sz w:val="18"/>
          <w:szCs w:val="18"/>
          <w:i w:val="1"/>
          <w:iCs w:val="1"/>
          <w:color w:val="auto"/>
        </w:rPr>
        <w:t>Summary of Business and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Policies </w:t>
      </w:r>
      <w:r>
        <w:rPr>
          <w:rFonts w:ascii="Times New Roman" w:cs="Times New Roman" w:eastAsia="Times New Roman" w:hAnsi="Times New Roman"/>
          <w:sz w:val="18"/>
          <w:szCs w:val="18"/>
          <w:color w:val="auto"/>
        </w:rPr>
        <w:t>of Item 1 of this Quarterly Report on Form 10-Q for further details. Since the Touch Business is in the process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being wound down, the parties are in discussions to determine whether the MOU will be amended to effect the sale of the assets of that business.</w:t>
      </w:r>
    </w:p>
    <w:p>
      <w:pPr>
        <w:spacing w:after="0" w:line="189"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18"/>
          <w:szCs w:val="18"/>
          <w:color w:val="auto"/>
        </w:rPr>
        <w:t>The estimates of the savings that we hope to accrue and the non-recurring costs associated with these actions may be based on mistaken assumptions or may change as a result of intervening events. In addition, these actions will require management time and attention which could distract from our focus on our Presto Voice business. We may be unable to realize the benefits we expect from the wind-down of either a sale, partial sale or abandonment of the Touch Business, including the Joint Venture, which could adversely impact our overall business going forward.</w:t>
      </w:r>
    </w:p>
    <w:p>
      <w:pPr>
        <w:spacing w:after="0" w:line="98"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We granted anti-dilution protection to certain of our investors, which have and will cause additional significant dilution to our stockholders and may have a material adverse impact on the market price of our common stock and make it more difficult for us to raise funds through future equity offerings.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have granted anti-dilution protections as follows:</w:t>
      </w:r>
    </w:p>
    <w:p>
      <w:pPr>
        <w:spacing w:after="0" w:line="158" w:lineRule="exact"/>
        <w:rPr>
          <w:sz w:val="20"/>
          <w:szCs w:val="20"/>
          <w:color w:val="auto"/>
        </w:rPr>
      </w:pPr>
    </w:p>
    <w:p>
      <w:pPr>
        <w:jc w:val="both"/>
        <w:ind w:left="1000" w:hanging="317"/>
        <w:spacing w:after="0" w:line="253"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10, 2023, the Company entered into a Securities Purchase Agreement (as amended, the “CA Purchase Agreement”) with Presto CA LLC (“CA”), a related party, pursuant to which the Company sold 1,500,000 shares of common stock, at a purchase price of $2.00 per share, for an aggregate purchase price of $3.0 million (the “Private Placement”). The Private Placement closed on October 16, 2023. The CA Purchase Agreement includes anti-dilution provisions relating to future issuances or deemed issuances of the Company’s common stock from October 16, 2023 to April 1, 2024 at a price per share below $2.00, which would require the Company to issue additional shares of common stock to CA, upon the terms and subject to the conditions contained in the CA Purchase Agreement. On March 21, 2024, the Company entered into a second amendment (the “Second Amendment”) to the CA Purchase Agreement, pursuant to which (i) the period subject to anti-dilution protections was extended through September 30, 2024 and (ii) the current trigger price for anti-dilution protection was updated to $0.25 per share following other recent offerings by the Company.</w:t>
      </w:r>
    </w:p>
    <w:p>
      <w:pPr>
        <w:spacing w:after="0" w:line="126" w:lineRule="exact"/>
        <w:rPr>
          <w:rFonts w:ascii="Times New Roman" w:cs="Times New Roman" w:eastAsia="Times New Roman" w:hAnsi="Times New Roman"/>
          <w:sz w:val="18"/>
          <w:szCs w:val="18"/>
          <w:color w:val="auto"/>
        </w:rPr>
      </w:pPr>
    </w:p>
    <w:p>
      <w:pPr>
        <w:jc w:val="both"/>
        <w:ind w:left="1000" w:hanging="317"/>
        <w:spacing w:after="0" w:line="253"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10, 2023, the Company entered into a Third Amendment (the “Third Amendment”) to the Credit Agreement, pursuant to which the Lenders agreed to, among other things, exchange an aggregate of $6,000,000 of accrued and previously capitalized interest for warrants to purchase 3,000,000 shares of common stock at a purchase price of $0.01 per share (as amended, the “Third Amendment Conversion Warrants”). The Third Amendment Conversion Warrants are subject to anti-dilution provisions relating to future issuances or deemed issuances of the Company’s common stock from October 16, 2023 to April 1, 2024 at a price per share below $2.00, upon the terms and subject to the conditions contained in the Third Amendment Conversion Warrants. On March 21, 2024, the Company amended and restated the Third Amendment Conversion Warrants, pursuant to which (i) the period subject to anti-dilution protections was extended through September 30, 2024 and (ii) the current trigger price for anti-dilution protection was updated to $0.25 per share following other recent offerings by the Company.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000" w:hanging="317"/>
        <w:spacing w:after="0" w:line="255"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17, 2023, the Company entered into Purchase Agreements (the “November 2023 Purchase Agreements”) for the issuance of 7,750,000 shares of common stock for $7.0 million (the “November Offering”) including 750,000 shares issued to a related party. The November 2023 Purchase Agreements include anti-dilution provisions relating to future issuances or deemed issuances of the Company’s common stock from November 21, 2023 to April 1, 2024 at a price per share below $1.00, which required the Company to issue additional shares of common stock to the purchasers when this provision was triggered upon issuance of the January 2024 Convertible Notes, upon the terms and subject to the conditions contained in the November 2023 Purchase Agreements.</w:t>
      </w:r>
    </w:p>
    <w:p>
      <w:pPr>
        <w:spacing w:after="0" w:line="188" w:lineRule="exact"/>
        <w:rPr>
          <w:rFonts w:ascii="Times New Roman" w:cs="Times New Roman" w:eastAsia="Times New Roman" w:hAnsi="Times New Roman"/>
          <w:sz w:val="18"/>
          <w:szCs w:val="18"/>
          <w:color w:val="auto"/>
        </w:rPr>
      </w:pPr>
    </w:p>
    <w:p>
      <w:pPr>
        <w:jc w:val="both"/>
        <w:ind w:left="1000" w:hanging="317"/>
        <w:spacing w:after="0" w:line="253"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31, 2024, the Company entered into a Fifth Amendment (the “Fifth Amendment”) to the Credit Agreement, pursuant to which the Company issued to the Agent warrants to purchase 5,323,298 shares of common stock at a purchase price of $0.01 per share (as amended, the “Fifth Amendment Warrants”) in exchange for a reduction in interest rate on the outstanding loan under the Credit Agreement from 12% to 8%. The Fifth Amendment Warrants are subject to anti-dilution provisions relating to future issuances or deemed issuances of the Company’s common stock from January 31, 2024 to April 1, 2024 at a price per share below $0.40, upon the terms and subject to the conditions contained in the Fifth Amendment Conversion Warrants. On March 21, 2024, the Company amended and restated the Fifth Amendment Warrants, pursuant to which (i) the period subject to anti-dilution protections was extended through September 30, 2024 and (ii) the current trigger price for anti-dilution protection was updated to $0.25 per share following other recent offerings by the Company.</w:t>
      </w:r>
    </w:p>
    <w:p>
      <w:pPr>
        <w:spacing w:after="0" w:line="127"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November Offering triggered the anti-dilution provisions in the CA Purchase Agreement and the Third Amendment Conversion Warrants. The Company agreed with each of CA and the Lenders that the “New Issuance Price” (as defined in the CA Purchase Agreement and Third Amendment Conversion Warrants, respectively) would be $1.00. As a result, we were required to issue an additional 1,500,000 shares to CA and increase the amount of common stock issuable upon the exercise of the Third Amendment Conversion Warrants from 3,000,000 shares to 6,000,000 shares.</w:t>
      </w:r>
    </w:p>
    <w:p>
      <w:pPr>
        <w:spacing w:after="0" w:line="183"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The January 2024 Convertible Notes triggered the anti-dilution provisions in the CA Purchase Agreement, the Third Amendment Conversion Warrants and the November Purchase Agreements. In connection with the January 2024 Convertible Notes, the Lenders, CA and the holders of 3,000,000 out of the 4,000,000 shares issued in the November 2023 Offering that were not being forfeited agreed that the “New Issuance Price” for the purpose of anti-dilution protection regarding the January 2024 Convertible Notes would be $0.40 and not $0.25. For the one investor holding 1,000,000 shares, the “New Issuance Price” was $0.25. As a result, we were required to (i) issue an additional 4,500,000 shares to CA, (ii) increase the amount of common stock issuable upon the exercise of the Third Amendment Conversion Warrants from 6,000,000 shares to 15,000,000 shares and (iii) issue an additional 7,500,000 shares to the November 2023 Purchasers. Additional shares issued includes the one investor holding 1,000,000 shares who received 3,000,000 additional shares and excludes the Lead Investor holding 3,000,000 shares that were forfeited and exchanged for $3.0 million principal amount of subordinated notes.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February Offering triggered anti-dilution provisions in the CA Purchase Agreement, Third Amendment Conversion Warrants, the Fifth Amendment Warrants and the November Purchase Agreements (with respect to the November 2023 Purchasers that had previously agreed to the “New Issuance Price” of $0.40). The Company agreed with each of CA and the Lenders that the “New Issuance Price” (as defined in the CA Purchase Agreement, the Third Amendment Conversion Warrants and the Fifth Amendment Warrants, respectively) would be $0.25. As a result, we were required to (i) issue an additional 4,500,000 shares to CA, (ii) increase the amount of common stock issuable upon the exercise of the Third Amendment Conversion Warrants from 15,000,000 shares to 24,000,000 shares, (iii) increase the amount of common stock issuable upon the exercise of the Fifth Amendment Warrants from 5,323,298 shares to 8,517,278 shares, and (iv) issue an additional 4,500,000 shares to the November 2023 Purchasers that had previously agreed to the “New Issuance Price” of $0.40.</w:t>
      </w:r>
    </w:p>
    <w:p>
      <w:pPr>
        <w:spacing w:after="0" w:line="1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If the foregoing anti-dilution provisions are triggered again in the future, (for example, refer to </w:t>
      </w:r>
      <w:r>
        <w:rPr>
          <w:rFonts w:ascii="Times New Roman" w:cs="Times New Roman" w:eastAsia="Times New Roman" w:hAnsi="Times New Roman"/>
          <w:sz w:val="18"/>
          <w:szCs w:val="18"/>
          <w:color w:val="222222"/>
        </w:rPr>
        <w:t>Note 15 in</w:t>
      </w:r>
      <w:r>
        <w:rPr>
          <w:rFonts w:ascii="Times New Roman" w:cs="Times New Roman" w:eastAsia="Times New Roman" w:hAnsi="Times New Roman"/>
          <w:sz w:val="18"/>
          <w:szCs w:val="18"/>
          <w:color w:val="auto"/>
        </w:rPr>
        <w:t xml:space="preserve"> Part I, Item 1, of this Quarterly Report on Form 10-Q</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Triggering and Partial Waiver of Anti-dilution Protection Associated with Previously Issued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for details of the anti-dilution adjustment provision triggered upon the issuance of the January 2024 Convertible Notes and the February Offering) </w:t>
      </w:r>
      <w:r>
        <w:rPr>
          <w:rFonts w:ascii="Times New Roman" w:cs="Times New Roman" w:eastAsia="Times New Roman" w:hAnsi="Times New Roman"/>
          <w:sz w:val="18"/>
          <w:szCs w:val="18"/>
          <w:color w:val="000000"/>
        </w:rPr>
        <w:t>the issuance of additional shares thereunder will further dilute the percentage ownership interest of all stockholders, will dilute</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the book value per share of the Company’s common stock and will increase the number of the Company’s outstanding shares, which could depress the market price of the Company’s common stock.</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Company is not currently subject to a material default in the payment of principal, interest, a sinking or purchase fund installment in connection with its indebtedness or the indebtedness of any of its significant subsidiaries exceeding five percent of the total of their consolidated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17, 2024, the Agent and Lenders under the Credit Agreement asserted the following events of default:</w:t>
      </w:r>
    </w:p>
    <w:p>
      <w:pPr>
        <w:spacing w:after="0" w:line="225" w:lineRule="exact"/>
        <w:rPr>
          <w:sz w:val="20"/>
          <w:szCs w:val="20"/>
          <w:color w:val="auto"/>
        </w:rPr>
      </w:pPr>
    </w:p>
    <w:p>
      <w:pPr>
        <w:ind w:left="680" w:right="80" w:hanging="321"/>
        <w:spacing w:after="0" w:line="266"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replace its CEO with a chief restructuring officer or person with significant restructuring, turnaround and insolvency experience reasonably acceptable to the Agent within the time period required following the resignation of the prior CEO.</w:t>
      </w:r>
    </w:p>
    <w:p>
      <w:pPr>
        <w:spacing w:after="0" w:line="16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deliver certain financial reports to the Agent on a weekly basis as required by the Credit Agreement.</w:t>
      </w:r>
      <w:r>
        <w:rPr>
          <w:rFonts w:ascii="Times New Roman" w:cs="Times New Roman" w:eastAsia="Times New Roman" w:hAnsi="Times New Roman"/>
          <w:sz w:val="26"/>
          <w:szCs w:val="26"/>
          <w:u w:val="single" w:color="auto"/>
          <w:color w:val="0000EE"/>
          <w:vertAlign w:val="superscript"/>
        </w:rPr>
        <w:t>1</w:t>
      </w:r>
    </w:p>
    <w:p>
      <w:pPr>
        <w:spacing w:after="0" w:line="141"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These events of default are in addition to those disclosed by the Company in its Current Report on Form 8-K filed on January 22, 2024 that were the subject of the Forbearance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events of default occurring in the three months ended March 31, 2024 are as follows:</w:t>
      </w:r>
    </w:p>
    <w:p>
      <w:pPr>
        <w:spacing w:after="0" w:line="225" w:lineRule="exact"/>
        <w:rPr>
          <w:sz w:val="20"/>
          <w:szCs w:val="20"/>
          <w:color w:val="auto"/>
        </w:rPr>
      </w:pPr>
    </w:p>
    <w:p>
      <w:pPr>
        <w:ind w:left="680" w:right="260" w:hanging="321"/>
        <w:spacing w:after="0" w:line="261"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deliver certain financial reports to the Agent for the periods from the Fourth Amendment effective date until the Fifth Amendment effective date, resulting in an immediate event of default</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Fourth Amendment.</w:t>
      </w:r>
    </w:p>
    <w:p>
      <w:pPr>
        <w:spacing w:after="0" w:line="9" w:lineRule="exact"/>
        <w:rPr>
          <w:rFonts w:ascii="Times New Roman" w:cs="Times New Roman" w:eastAsia="Times New Roman" w:hAnsi="Times New Roman"/>
          <w:sz w:val="18"/>
          <w:szCs w:val="18"/>
          <w:color w:val="auto"/>
        </w:rPr>
      </w:pPr>
    </w:p>
    <w:p>
      <w:pPr>
        <w:ind w:left="680" w:right="20" w:hanging="321"/>
        <w:spacing w:after="0" w:line="262"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maintain unrestricted cash, measured as of the close of business on each of March 1, 2024 and March 8, 2024, at or above the minimum unrestricted cash amount</w:t>
      </w:r>
      <w:r>
        <w:rPr>
          <w:rFonts w:ascii="Times New Roman" w:cs="Times New Roman" w:eastAsia="Times New Roman" w:hAnsi="Times New Roman"/>
          <w:sz w:val="21"/>
          <w:szCs w:val="21"/>
          <w:color w:val="auto"/>
        </w:rPr>
        <w:t>.</w:t>
      </w:r>
    </w:p>
    <w:p>
      <w:pPr>
        <w:spacing w:after="0" w:line="167"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These events of default are subject to the March Forbearance Agreement. See information contained in Part I, Item I, of this quarterly report on Form 10-Q in Note 7 to the condensed consolidated financial statements.</w:t>
      </w:r>
    </w:p>
    <w:p>
      <w:pPr>
        <w:spacing w:after="0" w:line="158" w:lineRule="exact"/>
        <w:rPr>
          <w:sz w:val="20"/>
          <w:szCs w:val="20"/>
          <w:color w:val="auto"/>
        </w:rPr>
      </w:pPr>
    </w:p>
    <w:p>
      <w:pPr>
        <w:jc w:val="center"/>
        <w:ind w:right="742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jc w:val="center"/>
        <w:ind w:right="7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3" w:lineRule="exact"/>
        <w:rPr>
          <w:rFonts w:ascii="Times New Roman" w:cs="Times New Roman" w:eastAsia="Times New Roman" w:hAnsi="Times New Roman"/>
          <w:sz w:val="18"/>
          <w:szCs w:val="18"/>
          <w:color w:val="auto"/>
        </w:rPr>
      </w:pPr>
    </w:p>
    <w:p>
      <w:pPr>
        <w:ind w:left="720" w:hanging="262"/>
        <w:spacing w:after="0"/>
        <w:tabs>
          <w:tab w:leader="none" w:pos="7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None</w:t>
      </w:r>
    </w:p>
    <w:p>
      <w:pPr>
        <w:spacing w:after="0" w:line="225" w:lineRule="exact"/>
        <w:rPr>
          <w:rFonts w:ascii="Times New Roman" w:cs="Times New Roman" w:eastAsia="Times New Roman" w:hAnsi="Times New Roman"/>
          <w:sz w:val="18"/>
          <w:szCs w:val="18"/>
          <w:color w:val="auto"/>
        </w:rPr>
      </w:pPr>
    </w:p>
    <w:p>
      <w:pPr>
        <w:ind w:left="700" w:hanging="242"/>
        <w:spacing w:after="0"/>
        <w:tabs>
          <w:tab w:leader="none" w:pos="7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fiscal quarter ended </w:t>
      </w:r>
      <w:r>
        <w:rPr>
          <w:rFonts w:ascii="Times New Roman" w:cs="Times New Roman" w:eastAsia="Times New Roman" w:hAnsi="Times New Roman"/>
          <w:sz w:val="18"/>
          <w:szCs w:val="18"/>
          <w:i w:val="1"/>
          <w:iCs w:val="1"/>
          <w:color w:val="auto"/>
        </w:rPr>
        <w:t>March 31, 2024,</w:t>
      </w:r>
      <w:r>
        <w:rPr>
          <w:rFonts w:ascii="Times New Roman" w:cs="Times New Roman" w:eastAsia="Times New Roman" w:hAnsi="Times New Roman"/>
          <w:sz w:val="18"/>
          <w:szCs w:val="18"/>
          <w:color w:val="auto"/>
        </w:rPr>
        <w:t xml:space="preserve"> none of our directors or officers adopted, modified or terminated 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“Rule </w:t>
      </w:r>
      <w:r>
        <w:rPr>
          <w:rFonts w:ascii="Times New Roman" w:cs="Times New Roman" w:eastAsia="Times New Roman" w:hAnsi="Times New Roman"/>
          <w:sz w:val="17"/>
          <w:szCs w:val="17"/>
          <w:i w:val="1"/>
          <w:iCs w:val="1"/>
          <w:color w:val="auto"/>
        </w:rPr>
        <w:t>10b5</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1</w:t>
      </w:r>
      <w:r>
        <w:rPr>
          <w:rFonts w:ascii="Times New Roman" w:cs="Times New Roman" w:eastAsia="Times New Roman" w:hAnsi="Times New Roman"/>
          <w:sz w:val="17"/>
          <w:szCs w:val="17"/>
          <w:color w:val="auto"/>
        </w:rPr>
        <w:t xml:space="preserve"> trading arrangement” or “non-Rule </w:t>
      </w:r>
      <w:r>
        <w:rPr>
          <w:rFonts w:ascii="Times New Roman" w:cs="Times New Roman" w:eastAsia="Times New Roman" w:hAnsi="Times New Roman"/>
          <w:sz w:val="17"/>
          <w:szCs w:val="17"/>
          <w:i w:val="1"/>
          <w:iCs w:val="1"/>
          <w:color w:val="auto"/>
        </w:rPr>
        <w:t>10b5</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1</w:t>
      </w:r>
      <w:r>
        <w:rPr>
          <w:rFonts w:ascii="Times New Roman" w:cs="Times New Roman" w:eastAsia="Times New Roman" w:hAnsi="Times New Roman"/>
          <w:sz w:val="17"/>
          <w:szCs w:val="17"/>
          <w:color w:val="auto"/>
        </w:rPr>
        <w:t xml:space="preserve"> trading arrangement,” as each term is defined in Item </w:t>
      </w:r>
      <w:r>
        <w:rPr>
          <w:rFonts w:ascii="Times New Roman" w:cs="Times New Roman" w:eastAsia="Times New Roman" w:hAnsi="Times New Roman"/>
          <w:sz w:val="17"/>
          <w:szCs w:val="17"/>
          <w:i w:val="1"/>
          <w:iCs w:val="1"/>
          <w:color w:val="auto"/>
        </w:rPr>
        <w:t>408</w:t>
      </w:r>
      <w:r>
        <w:rPr>
          <w:rFonts w:ascii="Times New Roman" w:cs="Times New Roman" w:eastAsia="Times New Roman" w:hAnsi="Times New Roman"/>
          <w:sz w:val="17"/>
          <w:szCs w:val="17"/>
          <w:color w:val="auto"/>
        </w:rPr>
        <w:t>(a)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321945</wp:posOffset>
            </wp:positionV>
            <wp:extent cx="15684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filed or furnished as an exhibit to this Quarterly Report on Form 10-Q.</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740" w:type="dxa"/>
            <w:vAlign w:val="bottom"/>
            <w:gridSpan w:val="10"/>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740" w:type="dxa"/>
            <w:vAlign w:val="bottom"/>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8640" w:type="dxa"/>
            <w:vAlign w:val="bottom"/>
            <w:tcBorders>
              <w:bottom w:val="single" w:sz="8" w:color="0000EE"/>
            </w:tcBorders>
            <w:gridSpan w:val="8"/>
            <w:shd w:val="clear" w:color="auto" w:fill="CCEEFF"/>
          </w:tcPr>
          <w:p>
            <w:pPr>
              <w:spacing w:after="0" w:line="17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Merger Agreement, dated as of November 10, 2021, by and among VTAQ, Ventoux Merger Sub I, Ventoux Merger Sub</w:t>
              </w:r>
            </w:hyperlink>
          </w:p>
        </w:tc>
        <w:tc>
          <w:tcPr>
            <w:tcW w:w="100" w:type="dxa"/>
            <w:vAlign w:val="bottom"/>
            <w:tcBorders>
              <w:bottom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8740" w:type="dxa"/>
            <w:vAlign w:val="bottom"/>
            <w:tcBorders>
              <w:bottom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II and Legacy Presto (incorporated by reference to Exhibit 2.1 to the Current Report on Form 8-K filed on November 10,</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2021).</w:t>
              </w:r>
            </w:hyperlink>
          </w:p>
        </w:tc>
        <w:tc>
          <w:tcPr>
            <w:tcW w:w="4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5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50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8200" w:type="dxa"/>
            <w:vAlign w:val="bottom"/>
            <w:tcBorders>
              <w:bottom w:val="single" w:sz="8" w:color="0000EE"/>
            </w:tcBorders>
            <w:gridSpan w:val="5"/>
          </w:tcPr>
          <w:p>
            <w:pPr>
              <w:spacing w:after="0" w:line="17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Amendment No. 1 to Merger Agreement, dated as of April 1, 2022, by and among VTAQ, Ventoux Merger Sub I,</w:t>
              </w:r>
            </w:hyperlink>
          </w:p>
        </w:tc>
        <w:tc>
          <w:tcPr>
            <w:tcW w:w="54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Ventoux Merger Sub II and Presto (incorporated by reference to Exhibit 2.1 to the Current Report on Form 8-K filed on</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740" w:type="dxa"/>
            <w:vAlign w:val="bottom"/>
            <w:gridSpan w:val="10"/>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April 4, 2022).</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8740" w:type="dxa"/>
            <w:vAlign w:val="bottom"/>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Amendment No. 2 to Merger Agreement, dated as of July 25, 2022, by and among VTAQ, Ventoux Merger Sub I,</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5060" w:type="dxa"/>
            <w:vAlign w:val="bottom"/>
            <w:shd w:val="clear" w:color="auto" w:fill="0000EE"/>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8620" w:type="dxa"/>
            <w:vAlign w:val="bottom"/>
            <w:tcBorders>
              <w:bottom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Ventoux Merger Sub II and Presto (incorporated by reference to Exhibit 2.1 to the Current Report on Form 8-K filed on</w:t>
              </w:r>
            </w:hyperlink>
          </w:p>
        </w:tc>
        <w:tc>
          <w:tcPr>
            <w:tcW w:w="120" w:type="dxa"/>
            <w:vAlign w:val="bottom"/>
            <w:tcBorders>
              <w:bottom w:val="single" w:sz="8" w:color="CCEEFF"/>
            </w:tcBorders>
            <w:gridSpan w:val="3"/>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740" w:type="dxa"/>
            <w:vAlign w:val="bottom"/>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July 26, 2022).</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50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8720" w:type="dxa"/>
            <w:vAlign w:val="bottom"/>
            <w:tcBorders>
              <w:bottom w:val="single" w:sz="8" w:color="0000EE"/>
            </w:tcBorders>
            <w:gridSpan w:val="9"/>
          </w:tcPr>
          <w:p>
            <w:pPr>
              <w:spacing w:after="0" w:line="17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Second Amended &amp; Restated Certificate of Incorporation (incorporated by reference to Exhibit 3.1 to the Current Report</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740" w:type="dxa"/>
            <w:vAlign w:val="bottom"/>
            <w:gridSpan w:val="10"/>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on Form 8-K filed on September 27, 2022).</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1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3.2</w:t>
            </w:r>
          </w:p>
        </w:tc>
        <w:tc>
          <w:tcPr>
            <w:tcW w:w="8740" w:type="dxa"/>
            <w:vAlign w:val="bottom"/>
            <w:gridSpan w:val="10"/>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Amendment to Second Amended and Restated Certificate of Incorporation (incorporated by reference to Exhibit 3.1 to</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7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Current Report on Form 8-K filed on February 29, 2024).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8740" w:type="dxa"/>
            <w:vAlign w:val="bottom"/>
            <w:gridSpan w:val="10"/>
          </w:tcPr>
          <w:p>
            <w:pPr>
              <w:spacing w:after="0" w:line="17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Bylaws of Presto Automation Inc. (incorporated by reference to Exhibit 3.2 to the Current Report on Form 8-K filed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September 27, 2022).</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1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8740" w:type="dxa"/>
            <w:vAlign w:val="bottom"/>
            <w:gridSpan w:val="10"/>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Engagement Letter, dated February 20, 2024, between Presto Automation Inc. and Teneo Capital LLC (incorporated by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7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reference to Exhibit 10.23 to the quarterly report on Form 10-Q filed on February 21, 2024).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10.2</w:t>
            </w:r>
          </w:p>
        </w:tc>
        <w:tc>
          <w:tcPr>
            <w:tcW w:w="8740" w:type="dxa"/>
            <w:vAlign w:val="bottom"/>
            <w:gridSpan w:val="10"/>
          </w:tcPr>
          <w:p>
            <w:pPr>
              <w:spacing w:after="0" w:line="198" w:lineRule="exact"/>
              <w:rPr>
                <w:sz w:val="20"/>
                <w:szCs w:val="20"/>
                <w:color w:val="auto"/>
              </w:rPr>
            </w:pPr>
            <w:r>
              <w:rPr>
                <w:rFonts w:ascii="Times New Roman" w:cs="Times New Roman" w:eastAsia="Times New Roman" w:hAnsi="Times New Roman"/>
                <w:sz w:val="18"/>
                <w:szCs w:val="18"/>
                <w:color w:val="auto"/>
              </w:rPr>
              <w:t>Forbearance Agreement and Fourth Amendment to Credit Agreement dated January 18, 2024, by and among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Metropolitan Partners Group Administration, LLC, the Company and the other parties thereto (incorporated by reference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to Exhibit 10.1 to the Current Report on Form 8-K filed on January 22, 2024).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10.3</w:t>
            </w:r>
          </w:p>
        </w:tc>
        <w:tc>
          <w:tcPr>
            <w:tcW w:w="8740" w:type="dxa"/>
            <w:vAlign w:val="bottom"/>
            <w:gridSpan w:val="10"/>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Form of Securities Purchase Agreement, dated as of January 30, 2024, by and between Presto Automation Inc. and the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7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buyers thereto (incorporated by reference to Exhibit 10.1 to the Current Report on Form 8-K filed on February 2, 2024).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8740" w:type="dxa"/>
            <w:vAlign w:val="bottom"/>
            <w:gridSpan w:val="10"/>
          </w:tcPr>
          <w:p>
            <w:pPr>
              <w:spacing w:after="0" w:line="198" w:lineRule="exact"/>
              <w:rPr>
                <w:sz w:val="20"/>
                <w:szCs w:val="20"/>
                <w:color w:val="auto"/>
              </w:rPr>
            </w:pPr>
            <w:r>
              <w:rPr>
                <w:rFonts w:ascii="Times New Roman" w:cs="Times New Roman" w:eastAsia="Times New Roman" w:hAnsi="Times New Roman"/>
                <w:sz w:val="18"/>
                <w:szCs w:val="18"/>
                <w:color w:val="auto"/>
              </w:rPr>
              <w:t>Form of Subordinated Convertible Note, dated as of January 30, 2024 (incorporated by reference to Exhibit 10.2 to the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Current Report on Form 8-K filed on February 2, 2024).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10.5</w:t>
            </w:r>
          </w:p>
        </w:tc>
        <w:tc>
          <w:tcPr>
            <w:tcW w:w="8740" w:type="dxa"/>
            <w:vAlign w:val="bottom"/>
            <w:gridSpan w:val="10"/>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Form of Registration Rights Agreement, dated as of January 30, 2024, by and between Presto Automation Inc. and the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7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holders thereto (incorporated by reference to Exhibit 10.3 to the Current Report on Form 8-K filed on February 2, 2024).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10.6</w:t>
            </w:r>
          </w:p>
        </w:tc>
        <w:tc>
          <w:tcPr>
            <w:tcW w:w="8740" w:type="dxa"/>
            <w:vAlign w:val="bottom"/>
            <w:gridSpan w:val="10"/>
          </w:tcPr>
          <w:p>
            <w:pPr>
              <w:spacing w:after="0" w:line="198" w:lineRule="exact"/>
              <w:rPr>
                <w:sz w:val="20"/>
                <w:szCs w:val="20"/>
                <w:color w:val="auto"/>
              </w:rPr>
            </w:pPr>
            <w:r>
              <w:rPr>
                <w:rFonts w:ascii="Times New Roman" w:cs="Times New Roman" w:eastAsia="Times New Roman" w:hAnsi="Times New Roman"/>
                <w:sz w:val="18"/>
                <w:szCs w:val="18"/>
                <w:color w:val="auto"/>
              </w:rPr>
              <w:t>Fifth Amendment to Credit Agreement, dated as of January 31, 2024, by and among Presto Automation LLC, Presto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Automation Inc., the lenders party thereto and Metropolitan Partners Group Administration, LLC (incorporated by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reference to Exhibit 10.4 to the Current Report on Form 8-K filed on February 2, 2024).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10.7</w:t>
            </w:r>
          </w:p>
        </w:tc>
        <w:tc>
          <w:tcPr>
            <w:tcW w:w="8740" w:type="dxa"/>
            <w:vAlign w:val="bottom"/>
            <w:gridSpan w:val="10"/>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Amended and Restated Warrant to Purchase Common Stock, dated March 21, 2024 (originally issued on January 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7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by and between Presto Automation Inc. and Metropolitan Levered Partners Fund VII, LP (incorporated by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7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reference to Exhibit 10.6 to the Current Report on Form 8-K filed on March 21, 2024).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10.8</w:t>
            </w:r>
          </w:p>
        </w:tc>
        <w:tc>
          <w:tcPr>
            <w:tcW w:w="8740" w:type="dxa"/>
            <w:vAlign w:val="bottom"/>
            <w:gridSpan w:val="10"/>
          </w:tcPr>
          <w:p>
            <w:pPr>
              <w:spacing w:after="0" w:line="198" w:lineRule="exact"/>
              <w:rPr>
                <w:sz w:val="20"/>
                <w:szCs w:val="20"/>
                <w:color w:val="auto"/>
              </w:rPr>
            </w:pPr>
            <w:r>
              <w:rPr>
                <w:rFonts w:ascii="Times New Roman" w:cs="Times New Roman" w:eastAsia="Times New Roman" w:hAnsi="Times New Roman"/>
                <w:sz w:val="18"/>
                <w:szCs w:val="18"/>
                <w:color w:val="auto"/>
              </w:rPr>
              <w:t>Warrant to Purchase Common Stock, dated March 21, 2024 (originally issued on January 30, 2024), by and between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9"/>
              </w:rPr>
              <w:t>Presto Automation Inc. and Metropolitan Partners Fund VII, LP (incorporated by reference to Exhibit 10.7 to the Current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Report on Form 8-K filed on March 21, 2024).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10.9</w:t>
            </w:r>
          </w:p>
        </w:tc>
        <w:tc>
          <w:tcPr>
            <w:tcW w:w="8740" w:type="dxa"/>
            <w:vAlign w:val="bottom"/>
            <w:gridSpan w:val="10"/>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 to Purchase Common Stock, dated March 21, 2024 (originally issued on January 30, 2024), by and between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7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Presto Automation Inc. and Metropolitan Offshore Partners Fund VII, LP (incorporated by reference to Exhibit 10.8 to</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7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Current Report on Form 8-K filed on March 21, 2024).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10.10</w:t>
            </w:r>
          </w:p>
        </w:tc>
        <w:tc>
          <w:tcPr>
            <w:tcW w:w="8740" w:type="dxa"/>
            <w:vAlign w:val="bottom"/>
            <w:gridSpan w:val="10"/>
          </w:tcPr>
          <w:p>
            <w:pPr>
              <w:spacing w:after="0" w:line="198" w:lineRule="exact"/>
              <w:rPr>
                <w:sz w:val="20"/>
                <w:szCs w:val="20"/>
                <w:color w:val="auto"/>
              </w:rPr>
            </w:pPr>
            <w:r>
              <w:rPr>
                <w:rFonts w:ascii="Times New Roman" w:cs="Times New Roman" w:eastAsia="Times New Roman" w:hAnsi="Times New Roman"/>
                <w:sz w:val="18"/>
                <w:szCs w:val="18"/>
                <w:color w:val="auto"/>
              </w:rPr>
              <w:t>Warrant to Purchase Common Stock, dated March 21, 2024 (originally issued on January 30, 2024), by and between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Presto Automation Inc. and CEOF Holdings, LP (incorporated by reference to Exhibit 10.9 to the Current Report 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Form 8-K filed on March 21, 2024).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10.11</w:t>
            </w:r>
          </w:p>
        </w:tc>
        <w:tc>
          <w:tcPr>
            <w:tcW w:w="8740" w:type="dxa"/>
            <w:vAlign w:val="bottom"/>
            <w:gridSpan w:val="10"/>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Amended and Restated Warrant to Purchase Common Stock, dated March 21, 2024 (originally issued on October 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7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by and between Presto Automation Inc. and Metropolitan Levered Partners Fund VII, LP (incorporated by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7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reference to Exhibit 10.10 to the Current Report on Form 8-K filed on March 21, 2024).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10.12</w:t>
            </w:r>
          </w:p>
        </w:tc>
        <w:tc>
          <w:tcPr>
            <w:tcW w:w="8740" w:type="dxa"/>
            <w:vAlign w:val="bottom"/>
            <w:gridSpan w:val="10"/>
          </w:tcPr>
          <w:p>
            <w:pPr>
              <w:spacing w:after="0" w:line="198" w:lineRule="exact"/>
              <w:rPr>
                <w:sz w:val="20"/>
                <w:szCs w:val="20"/>
                <w:color w:val="auto"/>
              </w:rPr>
            </w:pPr>
            <w:r>
              <w:rPr>
                <w:rFonts w:ascii="Times New Roman" w:cs="Times New Roman" w:eastAsia="Times New Roman" w:hAnsi="Times New Roman"/>
                <w:sz w:val="18"/>
                <w:szCs w:val="18"/>
                <w:color w:val="auto"/>
              </w:rPr>
              <w:t>Amended and Restated Warrant to Purchase Common Stock, dated March 21, 2024 (originally issued on October 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2023), by and between Presto Automation Inc. and Metropolitan Partners Fund VII, LP (incorporated by reference to</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Exhibit 10.11 to the Current Report on Form 8-K filed on March 21, 2024).</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0" w:type="dxa"/>
            <w:vAlign w:val="bottom"/>
            <w:gridSpan w:val="5"/>
          </w:tcPr>
          <w:p>
            <w:pPr>
              <w:ind w:left="3700"/>
              <w:spacing w:after="0"/>
              <w:rPr>
                <w:sz w:val="20"/>
                <w:szCs w:val="20"/>
                <w:color w:val="auto"/>
              </w:rPr>
            </w:pPr>
            <w:r>
              <w:rPr>
                <w:rFonts w:ascii="Times New Roman" w:cs="Times New Roman" w:eastAsia="Times New Roman" w:hAnsi="Times New Roman"/>
                <w:sz w:val="18"/>
                <w:szCs w:val="18"/>
                <w:color w:val="auto"/>
              </w:rPr>
              <w:t>78</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10.13</w:t>
            </w:r>
          </w:p>
        </w:tc>
        <w:tc>
          <w:tcPr>
            <w:tcW w:w="87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Amended and Restated Warrant to Purchase Common Stock, dated January 30, 2024 (originally issued on October 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7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by and between Presto Automation Inc. and Metropolitan Offshore Partners Fund VII, LP (incorporated by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7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reference to Exhibit 10.12 to the Current Report on Form 8-K filed on March 21, 2024).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10.14</w:t>
            </w:r>
          </w:p>
        </w:tc>
        <w:tc>
          <w:tcPr>
            <w:tcW w:w="8740" w:type="dxa"/>
            <w:vAlign w:val="bottom"/>
            <w:gridSpan w:val="10"/>
          </w:tcPr>
          <w:p>
            <w:pPr>
              <w:spacing w:after="0" w:line="198" w:lineRule="exact"/>
              <w:rPr>
                <w:sz w:val="20"/>
                <w:szCs w:val="20"/>
                <w:color w:val="auto"/>
              </w:rPr>
            </w:pPr>
            <w:r>
              <w:rPr>
                <w:rFonts w:ascii="Times New Roman" w:cs="Times New Roman" w:eastAsia="Times New Roman" w:hAnsi="Times New Roman"/>
                <w:sz w:val="18"/>
                <w:szCs w:val="18"/>
                <w:color w:val="auto"/>
              </w:rPr>
              <w:t>Amended and Restated Warrant to Purchase Common Stock, dated January 30, 2024 (originally issued on October 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2023), by and between Presto Automation Inc. and CEOF Holdings, LP (incorporated by reference to Exhibit 10.13 to</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Current Report on Form 8-K filed on March 21, 2024).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10.15</w:t>
            </w:r>
          </w:p>
        </w:tc>
        <w:tc>
          <w:tcPr>
            <w:tcW w:w="8740" w:type="dxa"/>
            <w:vAlign w:val="bottom"/>
            <w:gridSpan w:val="10"/>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Form of Securities Purchase Agreement, dated as of February 29, 2024, by and between Presto Automation Inc. and the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7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buyers thereto (incorporated by reference to Exhibit 10.1 to the Current Report on Form 8-K filed on March 4, 2024).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10.16</w:t>
            </w:r>
          </w:p>
        </w:tc>
        <w:tc>
          <w:tcPr>
            <w:tcW w:w="8740" w:type="dxa"/>
            <w:vAlign w:val="bottom"/>
            <w:gridSpan w:val="10"/>
          </w:tcPr>
          <w:p>
            <w:pPr>
              <w:spacing w:after="0" w:line="198" w:lineRule="exact"/>
              <w:rPr>
                <w:sz w:val="20"/>
                <w:szCs w:val="20"/>
                <w:color w:val="auto"/>
              </w:rPr>
            </w:pPr>
            <w:r>
              <w:rPr>
                <w:rFonts w:ascii="Times New Roman" w:cs="Times New Roman" w:eastAsia="Times New Roman" w:hAnsi="Times New Roman"/>
                <w:sz w:val="18"/>
                <w:szCs w:val="18"/>
                <w:color w:val="auto"/>
              </w:rPr>
              <w:t>Form of Subordinated Convertible Note, dated as of March 1, 2024 (incorporated by reference to Exhibit 10.2 to the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Current Report on Form 8-K filed on March 4, 2024).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10.17</w:t>
            </w:r>
          </w:p>
        </w:tc>
        <w:tc>
          <w:tcPr>
            <w:tcW w:w="8740" w:type="dxa"/>
            <w:vAlign w:val="bottom"/>
            <w:gridSpan w:val="10"/>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Forbearance Agreement and Sixth Amendment to Credit Agreement, dated as of March 1, 2024, by and among Presto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7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Automation LLC, Presto Automation Inc., the lenders party thereto and Metropolitan Partners Group Administration,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7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LLC (incorporated by reference to Exhibit 10.3 to the Current Report on Form 8-K filed on March 4, 2024).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10.18</w:t>
            </w:r>
          </w:p>
        </w:tc>
        <w:tc>
          <w:tcPr>
            <w:tcW w:w="8740" w:type="dxa"/>
            <w:vAlign w:val="bottom"/>
            <w:gridSpan w:val="10"/>
          </w:tcPr>
          <w:p>
            <w:pPr>
              <w:spacing w:after="0" w:line="198" w:lineRule="exact"/>
              <w:rPr>
                <w:sz w:val="20"/>
                <w:szCs w:val="20"/>
                <w:color w:val="auto"/>
              </w:rPr>
            </w:pPr>
            <w:r>
              <w:rPr>
                <w:rFonts w:ascii="Times New Roman" w:cs="Times New Roman" w:eastAsia="Times New Roman" w:hAnsi="Times New Roman"/>
                <w:sz w:val="18"/>
                <w:szCs w:val="18"/>
                <w:color w:val="auto"/>
              </w:rPr>
              <w:t>Form of Registration Rights Agreement, dated as of March 1, 2024 (incorporated by reference to Exhibit 10.4 to the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Current Report on Form 8-K filed on March 4, 2024).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10.19</w:t>
            </w:r>
          </w:p>
        </w:tc>
        <w:tc>
          <w:tcPr>
            <w:tcW w:w="8740" w:type="dxa"/>
            <w:vAlign w:val="bottom"/>
            <w:gridSpan w:val="10"/>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Form of Securities Purchase Agreement, dated as of March 14, 2024, by and between Presto Automation Inc. and the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7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buyers thereto (incorporated by reference to Exhibit 10.1 to the Current Report on Form 8-K filed on March 18, 2024).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10.20</w:t>
            </w:r>
          </w:p>
        </w:tc>
        <w:tc>
          <w:tcPr>
            <w:tcW w:w="8740" w:type="dxa"/>
            <w:vAlign w:val="bottom"/>
            <w:gridSpan w:val="10"/>
          </w:tcPr>
          <w:p>
            <w:pPr>
              <w:spacing w:after="0" w:line="198" w:lineRule="exact"/>
              <w:rPr>
                <w:sz w:val="20"/>
                <w:szCs w:val="20"/>
                <w:color w:val="auto"/>
              </w:rPr>
            </w:pPr>
            <w:r>
              <w:rPr>
                <w:rFonts w:ascii="Times New Roman" w:cs="Times New Roman" w:eastAsia="Times New Roman" w:hAnsi="Times New Roman"/>
                <w:sz w:val="18"/>
                <w:szCs w:val="18"/>
                <w:color w:val="auto"/>
              </w:rPr>
              <w:t>Senior Secured Promissory Note, dated as of March 21, 2024, by and between Presto Automation, LLC, Presto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Automation Inc. and Presto CA, LLC (incorporated by reference to Exhibit 10.1 to the Current Report on Form 8-K filed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on March 21, 2024).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10.21</w:t>
            </w:r>
          </w:p>
        </w:tc>
        <w:tc>
          <w:tcPr>
            <w:tcW w:w="8740" w:type="dxa"/>
            <w:vAlign w:val="bottom"/>
            <w:gridSpan w:val="10"/>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Security Agreement, dated as of March 21, 2024, by and between Presto Automation, LLC, Presto Automation Inc. and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7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Presto CA, LLC (incorporated by reference to Exhibit 10.2 to the Current Report on Form 8-K filed on March 21, 2024).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10.22+</w:t>
            </w:r>
          </w:p>
        </w:tc>
        <w:tc>
          <w:tcPr>
            <w:tcW w:w="8740" w:type="dxa"/>
            <w:vAlign w:val="bottom"/>
            <w:gridSpan w:val="10"/>
          </w:tcPr>
          <w:p>
            <w:pPr>
              <w:spacing w:after="0" w:line="198" w:lineRule="exact"/>
              <w:rPr>
                <w:sz w:val="20"/>
                <w:szCs w:val="20"/>
                <w:color w:val="auto"/>
              </w:rPr>
            </w:pPr>
            <w:r>
              <w:rPr>
                <w:rFonts w:ascii="Times New Roman" w:cs="Times New Roman" w:eastAsia="Times New Roman" w:hAnsi="Times New Roman"/>
                <w:sz w:val="18"/>
                <w:szCs w:val="18"/>
                <w:color w:val="auto"/>
              </w:rPr>
              <w:t>Subordination Agreement, dated as of March 21, 2024, by and between Metropolitan Partners Group Administration,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LLC, Presto CA LLC, Presto Automation Inc., and Presto Automation LLC (incorporated by reference to Exhibit 10.3 to</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Current Report on Form 8-K filed on March 21, 2024).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10.23</w:t>
            </w:r>
          </w:p>
        </w:tc>
        <w:tc>
          <w:tcPr>
            <w:tcW w:w="8740" w:type="dxa"/>
            <w:vAlign w:val="bottom"/>
            <w:gridSpan w:val="10"/>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Amendment No. 2 to Securities Purchase Agreement, dated as March 21, 2024, by and between Presto Automation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7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Presto CA, LLC (incorporated by reference to Exhibit 10.4 to the Current Report on Form 8-K filed on March 21,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32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10.24</w:t>
            </w:r>
          </w:p>
        </w:tc>
        <w:tc>
          <w:tcPr>
            <w:tcW w:w="8740" w:type="dxa"/>
            <w:vAlign w:val="bottom"/>
            <w:gridSpan w:val="10"/>
          </w:tcPr>
          <w:p>
            <w:pPr>
              <w:spacing w:after="0" w:line="198" w:lineRule="exact"/>
              <w:rPr>
                <w:sz w:val="20"/>
                <w:szCs w:val="20"/>
                <w:color w:val="auto"/>
              </w:rPr>
            </w:pPr>
            <w:r>
              <w:rPr>
                <w:rFonts w:ascii="Times New Roman" w:cs="Times New Roman" w:eastAsia="Times New Roman" w:hAnsi="Times New Roman"/>
                <w:sz w:val="18"/>
                <w:szCs w:val="18"/>
                <w:color w:val="auto"/>
              </w:rPr>
              <w:t>Seventh Amendment to Credit Agreement, dated as of March 21, 2024, by and among Presto Automation LLC, Presto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Automation Inc., the lenders party thereto and Metropolitan Partners Group Administration, LLC (incorporated by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reference to Exhibit 10.5 to the Current Report on Form 8-K filed on March 21, 2024).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10.25</w:t>
            </w:r>
          </w:p>
        </w:tc>
        <w:tc>
          <w:tcPr>
            <w:tcW w:w="8740" w:type="dxa"/>
            <w:vAlign w:val="bottom"/>
            <w:gridSpan w:val="10"/>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Waiver and Extension of Registration Rights, dated as of March 21, 2024, by and among Presto Automation Inc., Presto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7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CA LLC, CEOF Holdings LP and certain entities affiliated with Metropolitan Partners Group Administration, LLC</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7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(incorporated by reference to Exhibit 10.14 to the Current Report on Form 8-K filed on March 21, 2024).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8600" w:type="dxa"/>
            <w:vAlign w:val="bottom"/>
            <w:tcBorders>
              <w:bottom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Chief Executive Officer (Principal Executive Officer) Pursuant to Rules 13a-14(a) and 15d-14(a) under</w:t>
            </w:r>
          </w:p>
        </w:tc>
        <w:tc>
          <w:tcPr>
            <w:tcW w:w="1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7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the Securities Exchange Act of 1934, as Adopted Pursuant to Section 302 of the Sarbanes-Oxley Act of 2002.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92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226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848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Chief Financial Officer (Principal Financial and Accounting Officer) Pursuant to Rules 13a-14(a) and</w:t>
            </w:r>
          </w:p>
        </w:tc>
        <w:tc>
          <w:tcPr>
            <w:tcW w:w="260" w:type="dxa"/>
            <w:vAlign w:val="bottom"/>
            <w:tcBorders>
              <w:bottom w:val="single" w:sz="8" w:color="CCEEFF"/>
            </w:tcBorders>
            <w:gridSpan w:val="4"/>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740" w:type="dxa"/>
            <w:vAlign w:val="bottom"/>
            <w:gridSpan w:val="1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15d-14(a) under the Securities Exchange Act of 1934, as Adopted Pursuant to Section 302 of the Sarbanes-Oxley Act of</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4320" w:type="dxa"/>
            <w:vAlign w:val="bottom"/>
            <w:tcBorders>
              <w:top w:val="single" w:sz="8" w:color="0000EE"/>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2002.</w:t>
            </w:r>
          </w:p>
        </w:tc>
        <w:tc>
          <w:tcPr>
            <w:tcW w:w="1320" w:type="dxa"/>
            <w:vAlign w:val="bottom"/>
            <w:tcBorders>
              <w:top w:val="single" w:sz="8" w:color="0000EE"/>
            </w:tcBorders>
            <w:shd w:val="clear" w:color="auto" w:fill="CCEEFF"/>
          </w:tcPr>
          <w:p>
            <w:pPr>
              <w:spacing w:after="0"/>
              <w:rPr>
                <w:sz w:val="17"/>
                <w:szCs w:val="17"/>
                <w:color w:val="auto"/>
              </w:rPr>
            </w:pPr>
          </w:p>
        </w:tc>
        <w:tc>
          <w:tcPr>
            <w:tcW w:w="2260" w:type="dxa"/>
            <w:vAlign w:val="bottom"/>
            <w:tcBorders>
              <w:top w:val="single" w:sz="8" w:color="0000EE"/>
            </w:tcBorders>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874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(Principal Executive Officer) Pursuant to 18 U.S.C. Section 1350, as Adopted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5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906 of the Sarbanes-Oxley Act of 2002.</w:t>
            </w:r>
          </w:p>
        </w:tc>
        <w:tc>
          <w:tcPr>
            <w:tcW w:w="2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920" w:type="dxa"/>
            <w:vAlign w:val="bottom"/>
            <w:tcBorders>
              <w:top w:val="single" w:sz="8" w:color="0000EE"/>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874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(Principal Financial and Accounting Officer) Pursuant to 18 U.S.C. Section</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5640" w:type="dxa"/>
            <w:vAlign w:val="bottom"/>
            <w:tcBorders>
              <w:top w:val="single" w:sz="8" w:color="0000EE"/>
              <w:bottom w:val="single" w:sz="8" w:color="0000EE"/>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1350, as Adopted Pursuant to Section 906 of the Sarbanes-Oxley Act of 2002.</w:t>
            </w:r>
          </w:p>
        </w:tc>
        <w:tc>
          <w:tcPr>
            <w:tcW w:w="2660" w:type="dxa"/>
            <w:vAlign w:val="bottom"/>
            <w:tcBorders>
              <w:top w:val="single" w:sz="8" w:color="0000EE"/>
              <w:bottom w:val="single" w:sz="8" w:color="CCEEFF"/>
            </w:tcBorders>
            <w:gridSpan w:val="2"/>
            <w:shd w:val="clear" w:color="auto" w:fill="CCEEFF"/>
          </w:tcPr>
          <w:p>
            <w:pPr>
              <w:spacing w:after="0"/>
              <w:rPr>
                <w:sz w:val="18"/>
                <w:szCs w:val="18"/>
                <w:color w:val="auto"/>
              </w:rPr>
            </w:pPr>
          </w:p>
        </w:tc>
        <w:tc>
          <w:tcPr>
            <w:tcW w:w="440" w:type="dxa"/>
            <w:vAlign w:val="bottom"/>
            <w:tcBorders>
              <w:top w:val="single" w:sz="8" w:color="CCEEFF"/>
              <w:bottom w:val="single" w:sz="8" w:color="CCEEFF"/>
            </w:tcBorders>
            <w:gridSpan w:val="5"/>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87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87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87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left="1180" w:hanging="1171"/>
        <w:spacing w:after="0"/>
        <w:tabs>
          <w:tab w:leader="none" w:pos="11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and included in Exhibit)</w:t>
      </w:r>
    </w:p>
    <w:p>
      <w:pPr>
        <w:spacing w:after="0" w:line="206" w:lineRule="exact"/>
        <w:rPr>
          <w:rFonts w:ascii="Times New Roman" w:cs="Times New Roman" w:eastAsia="Times New Roman" w:hAnsi="Times New Roman"/>
          <w:sz w:val="18"/>
          <w:szCs w:val="18"/>
          <w:color w:val="auto"/>
        </w:rPr>
      </w:pPr>
    </w:p>
    <w:p>
      <w:pPr>
        <w:ind w:left="340" w:right="460" w:hanging="332"/>
        <w:spacing w:after="0" w:line="282"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601(a)(5). The Company agrees to furnish a copy of all omitted exhibits and schedules to the SEC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-365125</wp:posOffset>
            </wp:positionV>
            <wp:extent cx="156845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42"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25" w:lineRule="exact"/>
        <w:rPr>
          <w:sz w:val="20"/>
          <w:szCs w:val="20"/>
          <w:color w:val="auto"/>
        </w:rPr>
      </w:pPr>
    </w:p>
    <w:p>
      <w:pPr>
        <w:ind w:left="200" w:hanging="192"/>
        <w:spacing w:after="0"/>
        <w:tabs>
          <w:tab w:leader="none" w:pos="2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Denotes management contract of compensatory plan or arrangement.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00" w:lineRule="exact"/>
        <w:rPr>
          <w:rFonts w:ascii="Times New Roman" w:cs="Times New Roman" w:eastAsia="Times New Roman" w:hAnsi="Times New Roman"/>
          <w:sz w:val="17"/>
          <w:szCs w:val="17"/>
          <w:color w:val="auto"/>
        </w:rPr>
      </w:pPr>
    </w:p>
    <w:p>
      <w:pPr>
        <w:ind w:left="48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20, 2024</w:t>
      </w:r>
    </w:p>
    <w:p>
      <w:pPr>
        <w:spacing w:after="0" w:line="2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07" w:lineRule="exact"/>
        <w:rPr>
          <w:sz w:val="20"/>
          <w:szCs w:val="20"/>
          <w:color w:val="auto"/>
        </w:rPr>
      </w:pPr>
    </w:p>
    <w:p>
      <w:pPr>
        <w:ind w:left="5140"/>
        <w:spacing w:after="0"/>
        <w:tabs>
          <w:tab w:leader="none" w:pos="5620" w:val="left"/>
        </w:tabs>
        <w:rPr>
          <w:sz w:val="20"/>
          <w:szCs w:val="20"/>
          <w:color w:val="auto"/>
        </w:rPr>
      </w:pPr>
      <w:r>
        <w:rPr>
          <w:rFonts w:ascii="Times New Roman" w:cs="Times New Roman" w:eastAsia="Times New Roman" w:hAnsi="Times New Roman"/>
          <w:sz w:val="18"/>
          <w:szCs w:val="18"/>
          <w:color w:val="auto"/>
        </w:rPr>
        <w:t>By:</w:t>
        <w:tab/>
        <w:t>/s/ Guillaume Lefevre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17145</wp:posOffset>
            </wp:positionV>
            <wp:extent cx="271716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Name:Guillaume Lefevre</w:t>
      </w:r>
    </w:p>
    <w:p>
      <w:pPr>
        <w:spacing w:after="0" w:line="2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Title:  Interim Chief Executive Officer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5140"/>
        <w:spacing w:after="0"/>
        <w:tabs>
          <w:tab w:leader="none" w:pos="5620" w:val="left"/>
        </w:tabs>
        <w:rPr>
          <w:sz w:val="20"/>
          <w:szCs w:val="20"/>
          <w:color w:val="auto"/>
        </w:rPr>
      </w:pPr>
      <w:r>
        <w:rPr>
          <w:rFonts w:ascii="Times New Roman" w:cs="Times New Roman" w:eastAsia="Times New Roman" w:hAnsi="Times New Roman"/>
          <w:sz w:val="18"/>
          <w:szCs w:val="18"/>
          <w:color w:val="auto"/>
        </w:rPr>
        <w:t>By:</w:t>
        <w:tab/>
        <w:t>/s/ Stanley Mbugua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17145</wp:posOffset>
            </wp:positionV>
            <wp:extent cx="27171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Name:Stanley Mbugua</w:t>
      </w:r>
    </w:p>
    <w:p>
      <w:pPr>
        <w:spacing w:after="0" w:line="2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Title:  Interim Chief Financial Officer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40"/>
          </w:cols>
          <w:pgMar w:left="980" w:top="513" w:right="117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Amended</w:t>
      </w:r>
    </w:p>
    <w:p>
      <w:pPr>
        <w:spacing w:after="0" w:line="20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Guillaume Lefevre, certify that:</w:t>
      </w:r>
    </w:p>
    <w:p>
      <w:pPr>
        <w:spacing w:after="0" w:line="198"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2024 of Presto Automation Inc.;</w:t>
      </w:r>
    </w:p>
    <w:p>
      <w:pPr>
        <w:spacing w:after="0" w:line="184"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420" w:hanging="324"/>
        <w:spacing w:after="0" w:line="289" w:lineRule="auto"/>
        <w:tabs>
          <w:tab w:leader="none" w:pos="98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Times New Roman" w:cs="Times New Roman" w:eastAsia="Times New Roman" w:hAnsi="Times New Roman"/>
          <w:sz w:val="17"/>
          <w:szCs w:val="17"/>
          <w:color w:val="auto"/>
        </w:rPr>
      </w:pPr>
    </w:p>
    <w:p>
      <w:pPr>
        <w:ind w:left="980" w:right="280" w:hanging="324"/>
        <w:spacing w:after="0" w:line="266" w:lineRule="auto"/>
        <w:tabs>
          <w:tab w:leader="none" w:pos="9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660" w:right="560" w:hanging="328"/>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Date: May 20, 2024</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/s/Guillaume Lefevre</w:t>
            </w:r>
          </w:p>
        </w:tc>
      </w:tr>
      <w:tr>
        <w:trPr>
          <w:trHeight w:val="191"/>
        </w:trPr>
        <w:tc>
          <w:tcPr>
            <w:tcW w:w="4860" w:type="dxa"/>
            <w:vAlign w:val="bottom"/>
          </w:tcPr>
          <w:p>
            <w:pPr>
              <w:spacing w:after="0"/>
              <w:rPr>
                <w:sz w:val="16"/>
                <w:szCs w:val="16"/>
                <w:color w:val="auto"/>
              </w:rPr>
            </w:pPr>
          </w:p>
        </w:tc>
        <w:tc>
          <w:tcPr>
            <w:tcW w:w="50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Guillaume Lefevre</w:t>
            </w:r>
          </w:p>
        </w:tc>
      </w:tr>
      <w:tr>
        <w:trPr>
          <w:trHeight w:val="216"/>
        </w:trPr>
        <w:tc>
          <w:tcPr>
            <w:tcW w:w="48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w:t>
            </w:r>
          </w:p>
        </w:tc>
      </w:tr>
      <w:tr>
        <w:trPr>
          <w:trHeight w:val="234"/>
        </w:trPr>
        <w:tc>
          <w:tcPr>
            <w:tcW w:w="486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6"/>
        </w:trPr>
        <w:tc>
          <w:tcPr>
            <w:tcW w:w="486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13a-14(a)/15d-14(a)</w:t>
      </w: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Amended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Stanley Mbugua, certify that:</w:t>
      </w:r>
    </w:p>
    <w:p>
      <w:pPr>
        <w:spacing w:after="0" w:line="185"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2024 of Presto Automation Inc.;</w:t>
      </w:r>
    </w:p>
    <w:p>
      <w:pPr>
        <w:spacing w:after="0" w:line="184"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660" w:right="280" w:hanging="328"/>
        <w:spacing w:after="0" w:line="258"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980" w:right="420" w:hanging="324"/>
        <w:spacing w:after="0" w:line="280" w:lineRule="auto"/>
        <w:tabs>
          <w:tab w:leader="none" w:pos="98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7"/>
          <w:szCs w:val="17"/>
          <w:color w:val="auto"/>
        </w:rPr>
      </w:pPr>
    </w:p>
    <w:p>
      <w:pPr>
        <w:ind w:left="980" w:right="280" w:hanging="324"/>
        <w:spacing w:after="0" w:line="266" w:lineRule="auto"/>
        <w:tabs>
          <w:tab w:leader="none" w:pos="9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660" w:right="560" w:hanging="328"/>
        <w:spacing w:after="0" w:line="258"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Date: May 20, 2024</w:t>
            </w:r>
          </w:p>
        </w:tc>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Stanley Mbugua</w:t>
            </w:r>
          </w:p>
        </w:tc>
      </w:tr>
      <w:tr>
        <w:trPr>
          <w:trHeight w:val="191"/>
        </w:trPr>
        <w:tc>
          <w:tcPr>
            <w:tcW w:w="4080" w:type="dxa"/>
            <w:vAlign w:val="bottom"/>
          </w:tcPr>
          <w:p>
            <w:pPr>
              <w:spacing w:after="0"/>
              <w:rPr>
                <w:sz w:val="16"/>
                <w:szCs w:val="16"/>
                <w:color w:val="auto"/>
              </w:rPr>
            </w:pPr>
          </w:p>
        </w:tc>
        <w:tc>
          <w:tcPr>
            <w:tcW w:w="5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Stanley Mbugua</w:t>
            </w:r>
          </w:p>
        </w:tc>
      </w:tr>
      <w:tr>
        <w:trPr>
          <w:trHeight w:val="216"/>
        </w:trPr>
        <w:tc>
          <w:tcPr>
            <w:tcW w:w="408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34"/>
        </w:trPr>
        <w:tc>
          <w:tcPr>
            <w:tcW w:w="408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63"/>
        </w:trPr>
        <w:tc>
          <w:tcPr>
            <w:tcW w:w="408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66"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Guillaume Lefevre, Interim Chief Executive Officer of Presto Automation Inc. (the “Company”), hereby certify, that, to my knowledge:</w:t>
      </w:r>
    </w:p>
    <w:p>
      <w:pPr>
        <w:spacing w:after="0" w:line="135" w:lineRule="exact"/>
        <w:rPr>
          <w:sz w:val="20"/>
          <w:szCs w:val="20"/>
          <w:color w:val="auto"/>
        </w:rPr>
      </w:pPr>
    </w:p>
    <w:p>
      <w:pPr>
        <w:ind w:left="660" w:right="24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 ended March 31, 2024 (the “Report”) of the Company fully complies with the requirements of Section 13(a) or 15(d) of the Securities Exchange Act of 1934 (15 U.S.C. 78m(a) or 78o(d)); and</w:t>
      </w:r>
    </w:p>
    <w:p>
      <w:pPr>
        <w:spacing w:after="0" w:line="12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Date: May 20, 2024</w:t>
            </w: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Guillaume D. Lefevre</w:t>
            </w:r>
          </w:p>
        </w:tc>
      </w:tr>
      <w:tr>
        <w:trPr>
          <w:trHeight w:val="191"/>
        </w:trPr>
        <w:tc>
          <w:tcPr>
            <w:tcW w:w="5040" w:type="dxa"/>
            <w:vAlign w:val="bottom"/>
          </w:tcPr>
          <w:p>
            <w:pPr>
              <w:spacing w:after="0"/>
              <w:rPr>
                <w:sz w:val="16"/>
                <w:szCs w:val="16"/>
                <w:color w:val="auto"/>
              </w:rPr>
            </w:pPr>
          </w:p>
        </w:tc>
        <w:tc>
          <w:tcPr>
            <w:tcW w:w="4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Guillaume D. Lefevre</w:t>
            </w:r>
          </w:p>
        </w:tc>
      </w:tr>
      <w:tr>
        <w:trPr>
          <w:trHeight w:val="216"/>
        </w:trPr>
        <w:tc>
          <w:tcPr>
            <w:tcW w:w="504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w:t>
            </w:r>
          </w:p>
        </w:tc>
      </w:tr>
      <w:tr>
        <w:trPr>
          <w:trHeight w:val="234"/>
        </w:trPr>
        <w:tc>
          <w:tcPr>
            <w:tcW w:w="504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63"/>
        </w:trPr>
        <w:tc>
          <w:tcPr>
            <w:tcW w:w="504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80"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Stanley Mbugua, Interim Chief Financial Officer of Presto Automation Inc. (the “Company”), hereby certify, that, to my knowledge:</w:t>
      </w:r>
    </w:p>
    <w:p>
      <w:pPr>
        <w:spacing w:after="0" w:line="121" w:lineRule="exact"/>
        <w:rPr>
          <w:sz w:val="20"/>
          <w:szCs w:val="20"/>
          <w:color w:val="auto"/>
        </w:rPr>
      </w:pPr>
    </w:p>
    <w:p>
      <w:pPr>
        <w:ind w:left="660" w:right="24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 ended March 31, 2023 (the “Report”) of the Company fully complies with the requirements of Section 13(a) or 15(d) of the Securities Exchange Act of 1934 (15 U.S.C. 78m(a) or 78o(d)); and</w:t>
      </w:r>
    </w:p>
    <w:p>
      <w:pPr>
        <w:spacing w:after="0" w:line="12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Date: May 20, 2024</w:t>
            </w: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Stanley Mbugua</w:t>
            </w:r>
          </w:p>
        </w:tc>
      </w:tr>
      <w:tr>
        <w:trPr>
          <w:trHeight w:val="191"/>
        </w:trPr>
        <w:tc>
          <w:tcPr>
            <w:tcW w:w="5040" w:type="dxa"/>
            <w:vAlign w:val="bottom"/>
          </w:tcPr>
          <w:p>
            <w:pPr>
              <w:spacing w:after="0"/>
              <w:rPr>
                <w:sz w:val="16"/>
                <w:szCs w:val="16"/>
                <w:color w:val="auto"/>
              </w:rPr>
            </w:pPr>
          </w:p>
        </w:tc>
        <w:tc>
          <w:tcPr>
            <w:tcW w:w="4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Stanley Mbugua</w:t>
            </w:r>
          </w:p>
        </w:tc>
      </w:tr>
      <w:tr>
        <w:trPr>
          <w:trHeight w:val="216"/>
        </w:trPr>
        <w:tc>
          <w:tcPr>
            <w:tcW w:w="504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34"/>
        </w:trPr>
        <w:tc>
          <w:tcPr>
            <w:tcW w:w="504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992"/>
        </w:trPr>
        <w:tc>
          <w:tcPr>
            <w:tcW w:w="504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1)"/>
      <w:numFmt w:val="lowerRoman"/>
      <w:start w:val="1"/>
    </w:lvl>
  </w:abstractNum>
  <w:abstractNum w:abstractNumId="9">
    <w:nsid w:val="54E49EB4"/>
    <w:multiLevelType w:val="hybridMultilevel"/>
    <w:lvl w:ilvl="0">
      <w:lvlJc w:val="left"/>
      <w:lvlText w:val="%1."/>
      <w:numFmt w:val="decimal"/>
      <w:start w:val="1"/>
    </w:lvl>
  </w:abstractNum>
  <w:abstractNum w:abstractNumId="10">
    <w:nsid w:val="71F32454"/>
    <w:multiLevelType w:val="hybridMultilevel"/>
    <w:lvl w:ilvl="0">
      <w:lvlJc w:val="left"/>
      <w:lvlText w:val="%1."/>
      <w:numFmt w:val="decimal"/>
      <w:start w:val="3"/>
    </w:lvl>
  </w:abstractNum>
  <w:abstractNum w:abstractNumId="11">
    <w:nsid w:val="2CA88611"/>
    <w:multiLevelType w:val="hybridMultilevel"/>
    <w:lvl w:ilvl="0">
      <w:lvlJc w:val="left"/>
      <w:lvlText w:val="(%1)"/>
      <w:numFmt w:val="decimal"/>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1)"/>
      <w:numFmt w:val="lowerRoman"/>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1)"/>
      <w:numFmt w:val="lowerLetter"/>
      <w:start w:val="2"/>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1]"/>
      <w:numFmt w:val="upperLetter"/>
      <w:start w:val="1"/>
    </w:lvl>
  </w:abstractNum>
  <w:abstractNum w:abstractNumId="18">
    <w:nsid w:val="737B8DDC"/>
    <w:multiLevelType w:val="hybridMultilevel"/>
    <w:lvl w:ilvl="0">
      <w:lvlJc w:val="left"/>
      <w:lvlText w:val="[%1]"/>
      <w:numFmt w:val="upperLetter"/>
      <w:start w:val="3"/>
    </w:lvl>
  </w:abstractNum>
  <w:abstractNum w:abstractNumId="19">
    <w:nsid w:val="6CEAF087"/>
    <w:multiLevelType w:val="hybridMultilevel"/>
    <w:lvl w:ilvl="0">
      <w:lvlJc w:val="left"/>
      <w:lvlText w:val="[%1]"/>
      <w:numFmt w:val="upperLetter"/>
      <w:start w:val="1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1)"/>
      <w:numFmt w:val="decimal"/>
      <w:start w:val="1"/>
    </w:lvl>
  </w:abstractNum>
  <w:abstractNum w:abstractNumId="24">
    <w:nsid w:val="419AC241"/>
    <w:multiLevelType w:val="hybridMultilevel"/>
    <w:lvl w:ilvl="0">
      <w:lvlJc w:val="left"/>
      <w:lvlText w:val="%1."/>
      <w:numFmt w:val="decimal"/>
      <w:start w:val="1"/>
    </w:lvl>
  </w:abstractNum>
  <w:abstractNum w:abstractNumId="25">
    <w:nsid w:val="5577F8E1"/>
    <w:multiLevelType w:val="hybridMultilevel"/>
    <w:lvl w:ilvl="0">
      <w:lvlJc w:val="left"/>
      <w:lvlText w:val="%1."/>
      <w:numFmt w:val="decimal"/>
      <w:start w:val="3"/>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1)"/>
      <w:numFmt w:val="lowerLetter"/>
      <w:start w:val="1"/>
    </w:lvl>
    <w:lvl w:ilvl="1">
      <w:lvlJc w:val="left"/>
      <w:lvlText w:val="(%2)"/>
      <w:numFmt w:val="lowerLetter"/>
      <w:start w:val="2"/>
    </w:lvl>
  </w:abstractNum>
  <w:abstractNum w:abstractNumId="37">
    <w:nsid w:val="153EA438"/>
    <w:multiLevelType w:val="hybridMultilevel"/>
    <w:lvl w:ilvl="0">
      <w:lvlJc w:val="left"/>
      <w:lvlText w:val="†"/>
      <w:numFmt w:val="bullet"/>
      <w:start w:val="1"/>
    </w:lvl>
    <w:lvl w:ilvl="1">
      <w:lvlJc w:val="left"/>
      <w:lvlText w:val="%2"/>
      <w:numFmt w:val="decimal"/>
      <w:start w:val="104"/>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92" Type="http://schemas.openxmlformats.org/officeDocument/2006/relationships/hyperlink" Target="https://www.sec.gov/Archives/edgar/data/1822145/000121390021058217/ea150262ex2-1_ventouxccm.htm" TargetMode="External"/><Relationship Id="rId93" Type="http://schemas.openxmlformats.org/officeDocument/2006/relationships/hyperlink" Target="https://www.sec.gov/Archives/edgar/data/1822145/000121390022017828/ea157923ex2-1_ventoux.htm" TargetMode="External"/><Relationship Id="rId94" Type="http://schemas.openxmlformats.org/officeDocument/2006/relationships/hyperlink" Target="https://www.sec.gov/Archives/edgar/data/1822145/000121390022041523/ea163294ex2-1_ventoux.htm" TargetMode="External"/><Relationship Id="rId95" Type="http://schemas.openxmlformats.org/officeDocument/2006/relationships/hyperlink" Target="https://www.sec.gov/Archives/edgar/data/1822145/000121390022059478/ea166244ex3-1_prestoauto.htm" TargetMode="External"/><Relationship Id="rId96" Type="http://schemas.openxmlformats.org/officeDocument/2006/relationships/hyperlink" Target="https://www.sec.gov/Archives/edgar/data/1822145/000121390022059478/ea166244ex3-2_prestoaut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2024-05-21T05:26:30Z</dcterms:created>
  <dcterms:modified xsi:type="dcterms:W3CDTF">2024-05-21T05:26:30Z</dcterms:modified>
</cp:coreProperties>
</file>