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May 28,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020" w:type="dxa"/>
            <w:vAlign w:val="bottom"/>
          </w:tcPr>
          <w:p>
            <w:pPr>
              <w:spacing w:after="0"/>
              <w:rPr>
                <w:sz w:val="20"/>
                <w:szCs w:val="20"/>
                <w:color w:val="auto"/>
              </w:rPr>
            </w:pPr>
          </w:p>
        </w:tc>
      </w:tr>
      <w:tr>
        <w:trPr>
          <w:trHeight w:val="421"/>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2900" w:type="dxa"/>
            <w:vAlign w:val="bottom"/>
            <w:tcBorders>
              <w:top w:val="single" w:sz="8" w:color="auto"/>
            </w:tcBorders>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900" w:type="dxa"/>
            <w:vAlign w:val="bottom"/>
          </w:tcPr>
          <w:p>
            <w:pPr>
              <w:spacing w:after="0"/>
              <w:rPr>
                <w:sz w:val="24"/>
                <w:szCs w:val="24"/>
                <w:color w:val="auto"/>
              </w:rPr>
            </w:pPr>
          </w:p>
        </w:tc>
        <w:tc>
          <w:tcPr>
            <w:tcW w:w="532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0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532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30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9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2"/>
        </w:trPr>
        <w:tc>
          <w:tcPr>
            <w:tcW w:w="2900" w:type="dxa"/>
            <w:vAlign w:val="bottom"/>
          </w:tcPr>
          <w:p>
            <w:pPr>
              <w:spacing w:after="0"/>
              <w:rPr>
                <w:sz w:val="20"/>
                <w:szCs w:val="20"/>
                <w:color w:val="auto"/>
              </w:rPr>
            </w:pPr>
          </w:p>
        </w:tc>
        <w:tc>
          <w:tcPr>
            <w:tcW w:w="532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2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28, 2024, Presto Automation Inc. (“Presto” or the “Company”) entered into a Common Stock Purchase Agreement (the “CSPA”) with Triton Funds, LP, a Delaware limited partnership (“Triton”). Pursuant to the CSPA, the Company has the right, but not the obligation, to sell to Triton up to $5,000,000 of shares of the Company’s common stock, par value $0.0001 per share (the “Common Stock”), from time to time during the commitment period commencing on May 28, 2024 and terminating on the earlier of (i) December 31, 2024 or (ii) the date on which Triton shall have purchased shares of the Company’s Common Stock pursuant to the CSPA equal to the investment amount of $5,000,000 (the “Commitment Period”).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sale the Company requests under the CSPA (a “Purchase Notice”) may be for a number of shares of the Company’s Common Stock that does not exceed 9.9% of our outstanding shares as of the date of the CSPA which amount is 9,988,465 shares as of the date hereof (the “Commitment Shares”). Triton has committed to purchase the Commitment Shares at the lowest of </w:t>
      </w:r>
      <w:r>
        <w:rPr>
          <w:rFonts w:ascii="Times New Roman" w:cs="Times New Roman" w:eastAsia="Times New Roman" w:hAnsi="Times New Roman"/>
          <w:sz w:val="18"/>
          <w:szCs w:val="18"/>
          <w:color w:val="050505"/>
        </w:rPr>
        <w:t>(i) the official closing price of</w:t>
      </w:r>
      <w:r>
        <w:rPr>
          <w:rFonts w:ascii="Times New Roman" w:cs="Times New Roman" w:eastAsia="Times New Roman" w:hAnsi="Times New Roman"/>
          <w:sz w:val="18"/>
          <w:szCs w:val="18"/>
          <w:color w:val="auto"/>
        </w:rPr>
        <w:t xml:space="preserve"> the Company’s Common Stock </w:t>
      </w:r>
      <w:r>
        <w:rPr>
          <w:rFonts w:ascii="Times New Roman" w:cs="Times New Roman" w:eastAsia="Times New Roman" w:hAnsi="Times New Roman"/>
          <w:sz w:val="18"/>
          <w:szCs w:val="18"/>
          <w:color w:val="050505"/>
        </w:rPr>
        <w:t>on the</w:t>
      </w:r>
      <w:r>
        <w:rPr>
          <w:rFonts w:ascii="Times New Roman" w:cs="Times New Roman" w:eastAsia="Times New Roman" w:hAnsi="Times New Roman"/>
          <w:sz w:val="18"/>
          <w:szCs w:val="18"/>
          <w:color w:val="auto"/>
        </w:rPr>
        <w:t xml:space="preserve"> Nasdaq Stock Market </w:t>
      </w:r>
      <w:r>
        <w:rPr>
          <w:rFonts w:ascii="Times New Roman" w:cs="Times New Roman" w:eastAsia="Times New Roman" w:hAnsi="Times New Roman"/>
          <w:sz w:val="18"/>
          <w:szCs w:val="18"/>
          <w:color w:val="050505"/>
        </w:rPr>
        <w:t>on the trading day immediately preceding our submission of a Purchase Notice to Triton, (ii) the average official closing price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 xml:space="preserve">Company’s common stock on the </w:t>
      </w:r>
      <w:r>
        <w:rPr>
          <w:rFonts w:ascii="Times New Roman" w:cs="Times New Roman" w:eastAsia="Times New Roman" w:hAnsi="Times New Roman"/>
          <w:sz w:val="18"/>
          <w:szCs w:val="18"/>
          <w:color w:val="000000"/>
        </w:rPr>
        <w:t>Nasdaq Stock Market</w:t>
      </w:r>
      <w:r>
        <w:rPr>
          <w:rFonts w:ascii="Times New Roman" w:cs="Times New Roman" w:eastAsia="Times New Roman" w:hAnsi="Times New Roman"/>
          <w:sz w:val="18"/>
          <w:szCs w:val="18"/>
          <w:color w:val="050505"/>
        </w:rPr>
        <w:t xml:space="preserve"> for the five consecutive trading days ending on the business day immediately preceding the Company’s submission of a Purchase Notice to Triton, and (iii) 75% of the lowest traded price of the Common Stock five days prior to the closing date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color w:val="000000"/>
        </w:rPr>
        <w:t>The price in (i) and (ii) is referred to as the “Minimum Price” and the price in (i), (ii) and (iii) are referred to as the Purchase Price.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completing the purchase of 18.9% of the Company’s outstanding shares, Triton has committed to purchase a number of additional shares such that the total proceeds to be received by the Company on or before June 7, 2024 pursuant to the CSPA will exceed $3,000,000 (such shares, the “Backstop Shares”). The Backstop Shares will be purchased at (x) the Purchase Price, if relief provided by Nasdaq Rule 5635(f) (the “Financial Viability Relief”) has been sought and granted to us and such relief permits the receipt of proceeds from the sale of common stock on or before June 7, 2024, or</w:t>
      </w:r>
    </w:p>
    <w:p>
      <w:pPr>
        <w:spacing w:after="0" w:line="3" w:lineRule="exact"/>
        <w:rPr>
          <w:sz w:val="20"/>
          <w:szCs w:val="20"/>
          <w:color w:val="auto"/>
        </w:rPr>
      </w:pPr>
    </w:p>
    <w:p>
      <w:pPr>
        <w:jc w:val="both"/>
        <w:ind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Price, if the Financial Viability Relief has not been sought or granted or cannot generate such proceeds on or before June 7, 2024. Triton’s obligation with respect to purchasing the Backstop Shares is conditioned on (i) the Company having timely delivered a first Purchase Notice for 9.9% of our outstanding shares within one business day of the execution of the CSPA, and (ii) the Company having timely delivered a second Purchase Notice for 9.9% of our outstanding shares to Triton within one business day after the closing related to such first Purchase Notice.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a prospectus supplement to the Company’s prospectus, dated May 28, 2024, filed as part of the Company’s effective shelf registration statement on Form S-3, File No. 333-275112, registering the shares of Common Stock that are to be offered and sold to Triton pursuant to the CSPA.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CSPA. For a full description of all terms, please refer to the copy of the CSPA that is filed herewith as Exhibit 10.1 to this Current Report on Form 8-K and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shares of common stock, nor shall there be any sale of shares of common stock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7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Common Stock Purchase Agreement, dated May 28, 2024, by and between Presto Automation Inc. and Triton Funds LP.</w:t>
            </w:r>
          </w:p>
        </w:tc>
        <w:tc>
          <w:tcPr>
            <w:tcW w:w="1320" w:type="dxa"/>
            <w:vAlign w:val="bottom"/>
            <w:tcBorders>
              <w:top w:val="single" w:sz="8" w:color="auto"/>
            </w:tcBorders>
          </w:tcPr>
          <w:p>
            <w:pPr>
              <w:spacing w:after="0"/>
              <w:rPr>
                <w:sz w:val="24"/>
                <w:szCs w:val="24"/>
                <w:color w:val="auto"/>
              </w:rPr>
            </w:pPr>
          </w:p>
        </w:tc>
      </w:tr>
    </w:tbl>
    <w:p>
      <w:pPr>
        <w:spacing w:after="0" w:line="22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Susan Shinoff</w:t>
            </w:r>
          </w:p>
        </w:tc>
      </w:tr>
      <w:tr>
        <w:trPr>
          <w:trHeight w:val="191"/>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Susan Shinoff</w:t>
            </w:r>
          </w:p>
        </w:tc>
      </w:tr>
      <w:tr>
        <w:trPr>
          <w:trHeight w:val="234"/>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Corporate Secretary</w:t>
            </w:r>
          </w:p>
        </w:tc>
      </w:tr>
      <w:tr>
        <w:trPr>
          <w:trHeight w:val="648"/>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050505"/>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50505"/>
        </w:rPr>
        <w:t>COMMON STOCK PURCHASE AGREEMENT</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050505"/>
        </w:rPr>
        <w:t>The PURCHASE AGREEMENT (the “Agreement”), dated as of May 28, 2024, by and between PRESTO AUTOMATION INC., a Delaware corporation (the “Company”), and TRITON FUNDS LP, a Delaware limited partnership (the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RECITALS</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050505"/>
        </w:rPr>
        <w:t>WHEREAS, subject to the terms and conditions set forth in this Agreement, the Company wishes to sell to the Investor, and the Investor wishes to buy from the Company, up to $5,000,000 of the Company’s registered Common Stock, $0.01 par value per share (the “Common Stock”). The shares of Common Stock to be acquired hereunder are referred to herein as the “Securities.”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050505"/>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CERTAIN DEFINITIONS</w:t>
      </w:r>
    </w:p>
    <w:p>
      <w:pPr>
        <w:spacing w:after="0" w:line="20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1.1 </w:t>
      </w:r>
      <w:r>
        <w:rPr>
          <w:rFonts w:ascii="Times New Roman" w:cs="Times New Roman" w:eastAsia="Times New Roman" w:hAnsi="Times New Roman"/>
          <w:sz w:val="18"/>
          <w:szCs w:val="18"/>
          <w:u w:val="single" w:color="auto"/>
          <w:color w:val="050505"/>
        </w:rPr>
        <w:t>DEFINED TERMS</w:t>
      </w:r>
      <w:r>
        <w:rPr>
          <w:rFonts w:ascii="Times New Roman" w:cs="Times New Roman" w:eastAsia="Times New Roman" w:hAnsi="Times New Roman"/>
          <w:sz w:val="18"/>
          <w:szCs w:val="18"/>
          <w:color w:val="050505"/>
        </w:rPr>
        <w:t>. As used in this Agreement, the following terms shall have the following meanings specified or indicated (such meanings to be equally applicable to both the singular and plural forms of the terms defined):</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Affiliate</w:t>
      </w:r>
      <w:r>
        <w:rPr>
          <w:rFonts w:ascii="Times New Roman" w:cs="Times New Roman" w:eastAsia="Times New Roman" w:hAnsi="Times New Roman"/>
          <w:sz w:val="18"/>
          <w:szCs w:val="18"/>
          <w:color w:val="050505"/>
        </w:rPr>
        <w:t>” shall mean, with respect to a Party, any individual, a corporation or any other legal entity, directly or indirectly, controlling, controlled by or under common control with such Party. For purpose of this definition, the term “</w:t>
      </w:r>
      <w:r>
        <w:rPr>
          <w:rFonts w:ascii="Times New Roman" w:cs="Times New Roman" w:eastAsia="Times New Roman" w:hAnsi="Times New Roman"/>
          <w:sz w:val="18"/>
          <w:szCs w:val="18"/>
          <w:i w:val="1"/>
          <w:iCs w:val="1"/>
          <w:color w:val="050505"/>
        </w:rPr>
        <w:t>control</w:t>
      </w:r>
      <w:r>
        <w:rPr>
          <w:rFonts w:ascii="Times New Roman" w:cs="Times New Roman" w:eastAsia="Times New Roman" w:hAnsi="Times New Roman"/>
          <w:sz w:val="18"/>
          <w:szCs w:val="18"/>
          <w:color w:val="050505"/>
        </w:rPr>
        <w:t>,” as used with respect to any corporation or other entity, means</w:t>
      </w:r>
    </w:p>
    <w:p>
      <w:pPr>
        <w:ind w:right="140" w:firstLine="8"/>
        <w:spacing w:after="0" w:line="255" w:lineRule="auto"/>
        <w:tabs>
          <w:tab w:leader="none" w:pos="245" w:val="left"/>
        </w:tabs>
        <w:numPr>
          <w:ilvl w:val="0"/>
          <w:numId w:val="4"/>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direct or indirect ownership of fifty percent (50%) or more of the securities or other ownership interests representing the equity voting stock or general partnership or membership interest of such corporation or other entity or (b) the power to direct or cause the direction of the management or policies of such corporation or other entity, whether through the ownership of voting securities, by contract or otherwise.</w:t>
      </w:r>
    </w:p>
    <w:p>
      <w:pPr>
        <w:spacing w:after="0" w:line="18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Administrative Fee</w:t>
      </w:r>
      <w:r>
        <w:rPr>
          <w:rFonts w:ascii="Times New Roman" w:cs="Times New Roman" w:eastAsia="Times New Roman" w:hAnsi="Times New Roman"/>
          <w:sz w:val="18"/>
          <w:szCs w:val="18"/>
          <w:color w:val="050505"/>
        </w:rPr>
        <w:t>” shall have the meaning of a $25,000 fee immediately due payable by the Company to the Investor on the date of the first Closing under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Agreement</w:t>
      </w:r>
      <w:r>
        <w:rPr>
          <w:rFonts w:ascii="Times New Roman" w:cs="Times New Roman" w:eastAsia="Times New Roman" w:hAnsi="Times New Roman"/>
          <w:sz w:val="18"/>
          <w:szCs w:val="18"/>
          <w:color w:val="050505"/>
        </w:rPr>
        <w:t>” shall have the meaning specified in the preamble hereof.</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Backstop Shares</w:t>
      </w:r>
      <w:r>
        <w:rPr>
          <w:rFonts w:ascii="Times New Roman" w:cs="Times New Roman" w:eastAsia="Times New Roman" w:hAnsi="Times New Roman"/>
          <w:sz w:val="18"/>
          <w:szCs w:val="18"/>
          <w:color w:val="050505"/>
        </w:rPr>
        <w:t xml:space="preserve">” has the meaning set forth in </w:t>
      </w:r>
      <w:r>
        <w:rPr>
          <w:rFonts w:ascii="Times New Roman" w:cs="Times New Roman" w:eastAsia="Times New Roman" w:hAnsi="Times New Roman"/>
          <w:sz w:val="18"/>
          <w:szCs w:val="18"/>
          <w:u w:val="single" w:color="auto"/>
          <w:color w:val="050505"/>
        </w:rPr>
        <w:t>Section 2.1(b)</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Bankruptcy Law</w:t>
      </w:r>
      <w:r>
        <w:rPr>
          <w:rFonts w:ascii="Times New Roman" w:cs="Times New Roman" w:eastAsia="Times New Roman" w:hAnsi="Times New Roman"/>
          <w:sz w:val="18"/>
          <w:szCs w:val="18"/>
          <w:color w:val="050505"/>
        </w:rPr>
        <w:t>” means Title 11, U.S. Code, or any similar federal or state law for the relief of debtors.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7.2(g)</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Business Day</w:t>
      </w:r>
      <w:r>
        <w:rPr>
          <w:rFonts w:ascii="Times New Roman" w:cs="Times New Roman" w:eastAsia="Times New Roman" w:hAnsi="Times New Roman"/>
          <w:sz w:val="18"/>
          <w:szCs w:val="18"/>
          <w:color w:val="050505"/>
        </w:rPr>
        <w:t>” shall mean a day on which the Principal Market shall be open for business.</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Clearing Costs</w:t>
      </w:r>
      <w:r>
        <w:rPr>
          <w:rFonts w:ascii="Times New Roman" w:cs="Times New Roman" w:eastAsia="Times New Roman" w:hAnsi="Times New Roman"/>
          <w:sz w:val="18"/>
          <w:szCs w:val="18"/>
          <w:color w:val="050505"/>
        </w:rPr>
        <w:t>” shall mean all of the Investor’s broker and Transfer Agent costs with respect to the deposit of the Purchase Notice Shares, the Backstop Shares and the True-Up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Closing</w:t>
      </w:r>
      <w:r>
        <w:rPr>
          <w:rFonts w:ascii="Times New Roman" w:cs="Times New Roman" w:eastAsia="Times New Roman" w:hAnsi="Times New Roman"/>
          <w:sz w:val="18"/>
          <w:szCs w:val="18"/>
          <w:color w:val="050505"/>
        </w:rPr>
        <w:t>” shall mean any one of the closings of a purchase and sale of shares of Common Stock pursuant to Section 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Closing Date</w:t>
      </w:r>
      <w:r>
        <w:rPr>
          <w:rFonts w:ascii="Times New Roman" w:cs="Times New Roman" w:eastAsia="Times New Roman" w:hAnsi="Times New Roman"/>
          <w:sz w:val="18"/>
          <w:szCs w:val="18"/>
          <w:color w:val="050505"/>
        </w:rPr>
        <w:t>” shall mean the date a Closing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Commitment Period</w:t>
      </w:r>
      <w:r>
        <w:rPr>
          <w:rFonts w:ascii="Times New Roman" w:cs="Times New Roman" w:eastAsia="Times New Roman" w:hAnsi="Times New Roman"/>
          <w:sz w:val="18"/>
          <w:szCs w:val="18"/>
          <w:color w:val="050505"/>
        </w:rPr>
        <w:t>” shall mean the period commencing on the date hereof and ending on the earlier of (i) December 31, 2024, or (ii) the date on which the Investor shall have purchased Purchase Notice Shares or Backstop Shares pursuant to this Agreement for an aggregate purchase price of the Investment Amount.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Common Stock</w:t>
      </w:r>
      <w:r>
        <w:rPr>
          <w:rFonts w:ascii="Times New Roman" w:cs="Times New Roman" w:eastAsia="Times New Roman" w:hAnsi="Times New Roman"/>
          <w:sz w:val="18"/>
          <w:szCs w:val="18"/>
          <w:color w:val="050505"/>
        </w:rPr>
        <w:t>” shall mean the Company’s common stock, $0.01 par value per share.</w:t>
      </w:r>
    </w:p>
    <w:p>
      <w:pPr>
        <w:spacing w:after="0" w:line="22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Common Stock Equivalents</w:t>
      </w:r>
      <w:r>
        <w:rPr>
          <w:rFonts w:ascii="Times New Roman" w:cs="Times New Roman" w:eastAsia="Times New Roman" w:hAnsi="Times New Roman"/>
          <w:sz w:val="18"/>
          <w:szCs w:val="18"/>
          <w:color w:val="050505"/>
        </w:rPr>
        <w:t>” means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Company</w:t>
      </w:r>
      <w:r>
        <w:rPr>
          <w:rFonts w:ascii="Times New Roman" w:cs="Times New Roman" w:eastAsia="Times New Roman" w:hAnsi="Times New Roman"/>
          <w:sz w:val="18"/>
          <w:szCs w:val="18"/>
          <w:color w:val="050505"/>
        </w:rPr>
        <w:t>” shall have the meaning specified in the preamble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Custodian</w:t>
      </w:r>
      <w:r>
        <w:rPr>
          <w:rFonts w:ascii="Times New Roman" w:cs="Times New Roman" w:eastAsia="Times New Roman" w:hAnsi="Times New Roman"/>
          <w:sz w:val="18"/>
          <w:szCs w:val="18"/>
          <w:color w:val="050505"/>
        </w:rPr>
        <w:t>” means any receiver, trustee, assignee, liquidator, or similar official under any Bankruptcy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Current Report</w:t>
      </w:r>
      <w:r>
        <w:rPr>
          <w:rFonts w:ascii="Times New Roman" w:cs="Times New Roman" w:eastAsia="Times New Roman" w:hAnsi="Times New Roman"/>
          <w:sz w:val="18"/>
          <w:szCs w:val="18"/>
          <w:color w:val="050505"/>
        </w:rPr>
        <w:t xml:space="preserve">” has the meaning set forth in </w:t>
      </w:r>
      <w:r>
        <w:rPr>
          <w:rFonts w:ascii="Times New Roman" w:cs="Times New Roman" w:eastAsia="Times New Roman" w:hAnsi="Times New Roman"/>
          <w:sz w:val="18"/>
          <w:szCs w:val="18"/>
          <w:u w:val="single" w:color="auto"/>
          <w:color w:val="050505"/>
        </w:rPr>
        <w:t>Section 6.2</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Damages</w:t>
      </w:r>
      <w:r>
        <w:rPr>
          <w:rFonts w:ascii="Times New Roman" w:cs="Times New Roman" w:eastAsia="Times New Roman" w:hAnsi="Times New Roman"/>
          <w:sz w:val="18"/>
          <w:szCs w:val="18"/>
          <w:color w:val="050505"/>
        </w:rPr>
        <w:t>” shall mean any loss, claim, damage, liability, cost and expense (including, without limitation, reasonable attorneys’ fees and disbursements and costs and expenses of expert witnesses and investigation).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DTC</w:t>
      </w:r>
      <w:r>
        <w:rPr>
          <w:rFonts w:ascii="Times New Roman" w:cs="Times New Roman" w:eastAsia="Times New Roman" w:hAnsi="Times New Roman"/>
          <w:sz w:val="18"/>
          <w:szCs w:val="18"/>
          <w:color w:val="050505"/>
        </w:rPr>
        <w:t>” shall mean The Depository Trust Company, or any successor performing substantially the same function for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DTC/FAST Program</w:t>
      </w:r>
      <w:r>
        <w:rPr>
          <w:rFonts w:ascii="Times New Roman" w:cs="Times New Roman" w:eastAsia="Times New Roman" w:hAnsi="Times New Roman"/>
          <w:sz w:val="18"/>
          <w:szCs w:val="18"/>
          <w:color w:val="050505"/>
        </w:rPr>
        <w:t>” shall mean the DTC’s Fast Automated Securities Transfer Program.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w:t>
      </w:r>
      <w:r>
        <w:rPr>
          <w:rFonts w:ascii="Times New Roman" w:cs="Times New Roman" w:eastAsia="Times New Roman" w:hAnsi="Times New Roman"/>
          <w:sz w:val="18"/>
          <w:szCs w:val="18"/>
          <w:color w:val="050505"/>
        </w:rPr>
        <w:t>” shall mean Deposit Withdrawal at Custodian as defined by the DTC.</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 Eligible</w:t>
      </w:r>
      <w:r>
        <w:rPr>
          <w:rFonts w:ascii="Times New Roman" w:cs="Times New Roman" w:eastAsia="Times New Roman" w:hAnsi="Times New Roman"/>
          <w:sz w:val="18"/>
          <w:szCs w:val="18"/>
          <w:color w:val="050505"/>
        </w:rPr>
        <w:t>” shall mean that (a) the Common Stock is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Securities are otherwise eligible for delivery via DWAC, and (e) the Transfer Agent does not have a policy prohibiting or limiting delivery of the Securities, as applicable, via DWAC.</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DWAC Shares</w:t>
      </w:r>
      <w:r>
        <w:rPr>
          <w:rFonts w:ascii="Times New Roman" w:cs="Times New Roman" w:eastAsia="Times New Roman" w:hAnsi="Times New Roman"/>
          <w:sz w:val="18"/>
          <w:szCs w:val="18"/>
          <w:color w:val="050505"/>
        </w:rPr>
        <w:t>” means shares of Common Stock that are (i) issued in electronic form, (ii) freely tradable and transferable and without restriction on resale and (iii) timely credited by the Company to the Investor’s or its designee’s specified DWAC account with DTC under the DTC/FAST Program, or any similar program hereafter adopted by DTC performing substantially the same function.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Exchange Act</w:t>
      </w:r>
      <w:r>
        <w:rPr>
          <w:rFonts w:ascii="Times New Roman" w:cs="Times New Roman" w:eastAsia="Times New Roman" w:hAnsi="Times New Roman"/>
          <w:sz w:val="18"/>
          <w:szCs w:val="18"/>
          <w:color w:val="050505"/>
        </w:rPr>
        <w:t>” shall mean the Securities Exchange Act of 1934, as amended, and the rules and regulations promulgated thereunder.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Exchange Cap</w:t>
      </w:r>
      <w:r>
        <w:rPr>
          <w:rFonts w:ascii="Times New Roman" w:cs="Times New Roman" w:eastAsia="Times New Roman" w:hAnsi="Times New Roman"/>
          <w:sz w:val="18"/>
          <w:szCs w:val="18"/>
          <w:color w:val="050505"/>
        </w:rPr>
        <w:t xml:space="preserve">” shall have the meaning set forth in </w:t>
      </w:r>
      <w:r>
        <w:rPr>
          <w:rFonts w:ascii="Times New Roman" w:cs="Times New Roman" w:eastAsia="Times New Roman" w:hAnsi="Times New Roman"/>
          <w:sz w:val="18"/>
          <w:szCs w:val="18"/>
          <w:u w:val="single" w:color="auto"/>
          <w:color w:val="050505"/>
        </w:rPr>
        <w:t>Section 2.3</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Execution Date</w:t>
      </w:r>
      <w:r>
        <w:rPr>
          <w:rFonts w:ascii="Times New Roman" w:cs="Times New Roman" w:eastAsia="Times New Roman" w:hAnsi="Times New Roman"/>
          <w:sz w:val="18"/>
          <w:szCs w:val="18"/>
          <w:color w:val="050505"/>
        </w:rPr>
        <w:t>” shall mean the date of the last signature of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Financial Viability Exception</w:t>
      </w:r>
      <w:r>
        <w:rPr>
          <w:rFonts w:ascii="Times New Roman" w:cs="Times New Roman" w:eastAsia="Times New Roman" w:hAnsi="Times New Roman"/>
          <w:sz w:val="18"/>
          <w:szCs w:val="18"/>
          <w:color w:val="050505"/>
        </w:rPr>
        <w:t xml:space="preserve">” shall have the meaning set forth in </w:t>
      </w:r>
      <w:r>
        <w:rPr>
          <w:rFonts w:ascii="Times New Roman" w:cs="Times New Roman" w:eastAsia="Times New Roman" w:hAnsi="Times New Roman"/>
          <w:sz w:val="18"/>
          <w:szCs w:val="18"/>
          <w:u w:val="single" w:color="auto"/>
          <w:color w:val="050505"/>
        </w:rPr>
        <w:t>Section 2.1(b)</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First Purchase Notice</w:t>
      </w:r>
      <w:r>
        <w:rPr>
          <w:rFonts w:ascii="Times New Roman" w:cs="Times New Roman" w:eastAsia="Times New Roman" w:hAnsi="Times New Roman"/>
          <w:sz w:val="18"/>
          <w:szCs w:val="18"/>
          <w:color w:val="050505"/>
        </w:rPr>
        <w:t xml:space="preserve">” shall have the meaning set forth in </w:t>
      </w:r>
      <w:r>
        <w:rPr>
          <w:rFonts w:ascii="Times New Roman" w:cs="Times New Roman" w:eastAsia="Times New Roman" w:hAnsi="Times New Roman"/>
          <w:sz w:val="18"/>
          <w:szCs w:val="18"/>
          <w:u w:val="single" w:color="auto"/>
          <w:color w:val="050505"/>
        </w:rPr>
        <w:t>Section 2.1(b)</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Investment Amount</w:t>
      </w:r>
      <w:r>
        <w:rPr>
          <w:rFonts w:ascii="Times New Roman" w:cs="Times New Roman" w:eastAsia="Times New Roman" w:hAnsi="Times New Roman"/>
          <w:sz w:val="18"/>
          <w:szCs w:val="18"/>
          <w:color w:val="050505"/>
        </w:rPr>
        <w:t>” shall mean $5,000,000.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Investor</w:t>
      </w:r>
      <w:r>
        <w:rPr>
          <w:rFonts w:ascii="Times New Roman" w:cs="Times New Roman" w:eastAsia="Times New Roman" w:hAnsi="Times New Roman"/>
          <w:sz w:val="18"/>
          <w:szCs w:val="18"/>
          <w:color w:val="050505"/>
        </w:rPr>
        <w:t>” shall have the meaning specified in the preamble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Lien</w:t>
      </w:r>
      <w:r>
        <w:rPr>
          <w:rFonts w:ascii="Times New Roman" w:cs="Times New Roman" w:eastAsia="Times New Roman" w:hAnsi="Times New Roman"/>
          <w:sz w:val="18"/>
          <w:szCs w:val="18"/>
          <w:color w:val="050505"/>
        </w:rPr>
        <w:t>” means a lien, charge, pledge, security interest, encumbrance, right of first refusal, preemptive right, or other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320" w:firstLine="324"/>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Material Adverse Effect</w:t>
      </w:r>
      <w:r>
        <w:rPr>
          <w:rFonts w:ascii="Times New Roman" w:cs="Times New Roman" w:eastAsia="Times New Roman" w:hAnsi="Times New Roman"/>
          <w:sz w:val="18"/>
          <w:szCs w:val="18"/>
          <w:color w:val="050505"/>
        </w:rPr>
        <w:t>” shall mean any effect on the business, operations, properties, or financial condition of the Company that is material and adverse to the Company and/or any condition, circumstance, or situation that would prohibit or otherwise materially interfere with the ability of the Company to enter into and perform its obligations under any Transaction Document.</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xml:space="preserve">” shall mean the lower of (i) the official closing price of the Common Stock on the Principal Market (as reflected on </w:t>
      </w:r>
      <w:r>
        <w:rPr>
          <w:rFonts w:ascii="Times New Roman" w:cs="Times New Roman" w:eastAsia="Times New Roman" w:hAnsi="Times New Roman"/>
          <w:sz w:val="18"/>
          <w:szCs w:val="18"/>
          <w:u w:val="single" w:color="auto"/>
          <w:color w:val="auto"/>
        </w:rPr>
        <w:t>Nasdaq.com</w:t>
      </w:r>
      <w:r>
        <w:rPr>
          <w:rFonts w:ascii="Times New Roman" w:cs="Times New Roman" w:eastAsia="Times New Roman" w:hAnsi="Times New Roman"/>
          <w:sz w:val="18"/>
          <w:szCs w:val="18"/>
          <w:color w:val="auto"/>
        </w:rPr>
        <w:t xml:space="preserve">) on the trading day immediately preceding the date of a Purchase Notice Date and (ii) the average official closing price of the Common Stock on the Principal Market (as reflected on </w:t>
      </w:r>
      <w:r>
        <w:rPr>
          <w:rFonts w:ascii="Times New Roman" w:cs="Times New Roman" w:eastAsia="Times New Roman" w:hAnsi="Times New Roman"/>
          <w:sz w:val="18"/>
          <w:szCs w:val="18"/>
          <w:u w:val="single" w:color="auto"/>
          <w:color w:val="auto"/>
        </w:rPr>
        <w:t>Nasdaq.com</w:t>
      </w:r>
      <w:r>
        <w:rPr>
          <w:rFonts w:ascii="Times New Roman" w:cs="Times New Roman" w:eastAsia="Times New Roman" w:hAnsi="Times New Roman"/>
          <w:sz w:val="18"/>
          <w:szCs w:val="18"/>
          <w:color w:val="auto"/>
        </w:rPr>
        <w:t>) for the five (5) consecutive trading days ending on the Business Day immediately preceding the a Purchase Notice Date (in each case, subject to adjustment for any reorganization, recapitalization, non-cash dividend, stock splits, or other similar transaction that occurs on or after the date of this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Party</w:t>
      </w:r>
      <w:r>
        <w:rPr>
          <w:rFonts w:ascii="Times New Roman" w:cs="Times New Roman" w:eastAsia="Times New Roman" w:hAnsi="Times New Roman"/>
          <w:sz w:val="18"/>
          <w:szCs w:val="18"/>
          <w:color w:val="050505"/>
        </w:rPr>
        <w:t>” shall mean a party to this Agreement.</w:t>
      </w:r>
    </w:p>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Person</w:t>
      </w:r>
      <w:r>
        <w:rPr>
          <w:rFonts w:ascii="Times New Roman" w:cs="Times New Roman" w:eastAsia="Times New Roman" w:hAnsi="Times New Roman"/>
          <w:sz w:val="18"/>
          <w:szCs w:val="18"/>
          <w:color w:val="050505"/>
        </w:rPr>
        <w:t>” shall mean an individual, a corporation, a partnership, an association, a trust or other entity or organization, including a government or political subdivision or an agency or instrumentality thereof.</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Principal Market</w:t>
      </w:r>
      <w:r>
        <w:rPr>
          <w:rFonts w:ascii="Times New Roman" w:cs="Times New Roman" w:eastAsia="Times New Roman" w:hAnsi="Times New Roman"/>
          <w:sz w:val="18"/>
          <w:szCs w:val="18"/>
          <w:color w:val="050505"/>
        </w:rPr>
        <w:t>” shall mean any of the national exchanges (i.e., NYSE, AMEX, Nasdaq), or principal quotation systems (i.e., OTCQX, OTCQB, OTC Pink, the OTC Bulletin Board), or other principal exchange or recognized quotation system which is at the time the principal trading platform or market for the Common Stock.</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Amount</w:t>
      </w:r>
      <w:r>
        <w:rPr>
          <w:rFonts w:ascii="Times New Roman" w:cs="Times New Roman" w:eastAsia="Times New Roman" w:hAnsi="Times New Roman"/>
          <w:sz w:val="18"/>
          <w:szCs w:val="18"/>
          <w:color w:val="050505"/>
        </w:rPr>
        <w:t xml:space="preserve">” shall mean the Purchase Notice Shares referenced in the Purchase Notice multiplied by the Purchase Price in accordance with </w:t>
      </w:r>
      <w:r>
        <w:rPr>
          <w:rFonts w:ascii="Times New Roman" w:cs="Times New Roman" w:eastAsia="Times New Roman" w:hAnsi="Times New Roman"/>
          <w:sz w:val="18"/>
          <w:szCs w:val="18"/>
          <w:u w:val="single" w:color="auto"/>
          <w:color w:val="050505"/>
        </w:rPr>
        <w:t>Section 2.1</w:t>
      </w:r>
      <w:r>
        <w:rPr>
          <w:rFonts w:ascii="Times New Roman" w:cs="Times New Roman" w:eastAsia="Times New Roman" w:hAnsi="Times New Roman"/>
          <w:sz w:val="18"/>
          <w:szCs w:val="18"/>
          <w:color w:val="050505"/>
        </w:rPr>
        <w:t>.</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w:t>
      </w:r>
      <w:r>
        <w:rPr>
          <w:rFonts w:ascii="Times New Roman" w:cs="Times New Roman" w:eastAsia="Times New Roman" w:hAnsi="Times New Roman"/>
          <w:sz w:val="18"/>
          <w:szCs w:val="18"/>
          <w:color w:val="050505"/>
        </w:rPr>
        <w:t xml:space="preserve">” shall mean a written notice from Company, substantially in the form of </w:t>
      </w:r>
      <w:r>
        <w:rPr>
          <w:rFonts w:ascii="Times New Roman" w:cs="Times New Roman" w:eastAsia="Times New Roman" w:hAnsi="Times New Roman"/>
          <w:sz w:val="18"/>
          <w:szCs w:val="18"/>
          <w:u w:val="single" w:color="auto"/>
          <w:color w:val="050505"/>
        </w:rPr>
        <w:t>Exhibit A</w:t>
      </w:r>
      <w:r>
        <w:rPr>
          <w:rFonts w:ascii="Times New Roman" w:cs="Times New Roman" w:eastAsia="Times New Roman" w:hAnsi="Times New Roman"/>
          <w:sz w:val="18"/>
          <w:szCs w:val="18"/>
          <w:color w:val="050505"/>
        </w:rPr>
        <w:t xml:space="preserve"> hereto, to the Investor setting forth the Purchase Notice Shares which the Company requires the Investor to purchase pursuant to the terms of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Date</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2.2(a)</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Notice Shares</w:t>
      </w:r>
      <w:r>
        <w:rPr>
          <w:rFonts w:ascii="Times New Roman" w:cs="Times New Roman" w:eastAsia="Times New Roman" w:hAnsi="Times New Roman"/>
          <w:sz w:val="18"/>
          <w:szCs w:val="18"/>
          <w:color w:val="050505"/>
        </w:rPr>
        <w:t>” shall mean all shares of Common Stock that the Company shall be entitled to issue as set forth in all Purchase Notices in accordance with the terms and conditions of this Agreement.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Purchase Price</w:t>
      </w:r>
      <w:r>
        <w:rPr>
          <w:rFonts w:ascii="Times New Roman" w:cs="Times New Roman" w:eastAsia="Times New Roman" w:hAnsi="Times New Roman"/>
          <w:sz w:val="18"/>
          <w:szCs w:val="18"/>
          <w:color w:val="050505"/>
        </w:rPr>
        <w:t>” shall mean the lessor of either a) Minimum Price or b) 75% of the lowest traded price of the Common Stock five (5) days prior to the Closing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Registration Statement</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6.3</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Regulation D</w:t>
      </w:r>
      <w:r>
        <w:rPr>
          <w:rFonts w:ascii="Times New Roman" w:cs="Times New Roman" w:eastAsia="Times New Roman" w:hAnsi="Times New Roman"/>
          <w:sz w:val="18"/>
          <w:szCs w:val="18"/>
          <w:color w:val="050505"/>
        </w:rPr>
        <w:t>” shall mean Regulation D promulgated under the Securities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Rule 144</w:t>
      </w:r>
      <w:r>
        <w:rPr>
          <w:rFonts w:ascii="Times New Roman" w:cs="Times New Roman" w:eastAsia="Times New Roman" w:hAnsi="Times New Roman"/>
          <w:sz w:val="18"/>
          <w:szCs w:val="18"/>
          <w:color w:val="050505"/>
        </w:rPr>
        <w:t>” shall mean Rule 144 under the Securities Act or any similar provision then in force under the Securities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w:t>
      </w:r>
      <w:r>
        <w:rPr>
          <w:rFonts w:ascii="Times New Roman" w:cs="Times New Roman" w:eastAsia="Times New Roman" w:hAnsi="Times New Roman"/>
          <w:sz w:val="18"/>
          <w:szCs w:val="18"/>
          <w:color w:val="050505"/>
        </w:rPr>
        <w:t>” shall mean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xml:space="preserve">” shall have the meaning specified in </w:t>
      </w:r>
      <w:r>
        <w:rPr>
          <w:rFonts w:ascii="Times New Roman" w:cs="Times New Roman" w:eastAsia="Times New Roman" w:hAnsi="Times New Roman"/>
          <w:sz w:val="18"/>
          <w:szCs w:val="18"/>
          <w:u w:val="single" w:color="auto"/>
          <w:color w:val="050505"/>
        </w:rPr>
        <w:t>Section 4.5</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Securities</w:t>
      </w:r>
      <w:r>
        <w:rPr>
          <w:rFonts w:ascii="Times New Roman" w:cs="Times New Roman" w:eastAsia="Times New Roman" w:hAnsi="Times New Roman"/>
          <w:sz w:val="18"/>
          <w:szCs w:val="18"/>
          <w:color w:val="050505"/>
        </w:rPr>
        <w:t>” mean the Purchase Notice Shares and any Backstop Shares or True-Up Shares to be issued to the Investor pursuant to the terms of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Securities Act</w:t>
      </w:r>
      <w:r>
        <w:rPr>
          <w:rFonts w:ascii="Times New Roman" w:cs="Times New Roman" w:eastAsia="Times New Roman" w:hAnsi="Times New Roman"/>
          <w:sz w:val="18"/>
          <w:szCs w:val="18"/>
          <w:color w:val="050505"/>
        </w:rPr>
        <w:t>” shall mean the Securities Act of 1933, as amended.</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Shareholder Approval</w:t>
      </w:r>
      <w:r>
        <w:rPr>
          <w:rFonts w:ascii="Times New Roman" w:cs="Times New Roman" w:eastAsia="Times New Roman" w:hAnsi="Times New Roman"/>
          <w:sz w:val="18"/>
          <w:szCs w:val="18"/>
          <w:color w:val="050505"/>
        </w:rPr>
        <w:t>” shall mean, without derogating from Section 2.1(b), the approval of the holders of a majority of the Company’s outstanding voting Common Stock that are present or represented by proxy at a meeting, to effectuate the transactions contemplated by this Agreement, the issuance of all of the Purchase Notice Shares and any Backstop Shares in excess the Exchange Cap, subject to appropriate adjustment for any stock dividend, stock split, stock combination, rights offerings, reclassification or similar transaction that proportionately decreases or increases the Common Stock). The Company agrees to file the PRE 14A by May 31, 2024, the DEF 14A by June 11, 2024, and a special meeting of stockholders scheduled for no later than 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ind w:right="20" w:firstLine="324"/>
        <w:spacing w:after="0" w:line="312" w:lineRule="auto"/>
        <w:rPr>
          <w:sz w:val="20"/>
          <w:szCs w:val="20"/>
          <w:color w:val="auto"/>
        </w:rPr>
      </w:pPr>
      <w:r>
        <w:rPr>
          <w:rFonts w:ascii="Times New Roman" w:cs="Times New Roman" w:eastAsia="Times New Roman" w:hAnsi="Times New Roman"/>
          <w:sz w:val="17"/>
          <w:szCs w:val="17"/>
          <w:color w:val="050505"/>
        </w:rPr>
        <w:t>“</w:t>
      </w:r>
      <w:r>
        <w:rPr>
          <w:rFonts w:ascii="Times New Roman" w:cs="Times New Roman" w:eastAsia="Times New Roman" w:hAnsi="Times New Roman"/>
          <w:sz w:val="17"/>
          <w:szCs w:val="17"/>
          <w:u w:val="single" w:color="auto"/>
          <w:color w:val="050505"/>
        </w:rPr>
        <w:t>Subsidiary</w:t>
      </w:r>
      <w:r>
        <w:rPr>
          <w:rFonts w:ascii="Times New Roman" w:cs="Times New Roman" w:eastAsia="Times New Roman" w:hAnsi="Times New Roman"/>
          <w:sz w:val="17"/>
          <w:szCs w:val="17"/>
          <w:color w:val="050505"/>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Transaction Documents</w:t>
      </w:r>
      <w:r>
        <w:rPr>
          <w:rFonts w:ascii="Times New Roman" w:cs="Times New Roman" w:eastAsia="Times New Roman" w:hAnsi="Times New Roman"/>
          <w:sz w:val="18"/>
          <w:szCs w:val="18"/>
          <w:color w:val="050505"/>
        </w:rPr>
        <w:t>” shall mean this Agreement and all exhibits hereto and thereto.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Transfer Agent</w:t>
      </w:r>
      <w:r>
        <w:rPr>
          <w:rFonts w:ascii="Times New Roman" w:cs="Times New Roman" w:eastAsia="Times New Roman" w:hAnsi="Times New Roman"/>
          <w:sz w:val="18"/>
          <w:szCs w:val="18"/>
          <w:color w:val="050505"/>
        </w:rPr>
        <w:t>” shall mean the current transfer agent of the Company, and any successor transfer agent of the Company.</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050505"/>
        </w:rPr>
        <w:t>All such determinations shall be appropriately adjusted for any share dividend, share split, share combination, recapitalization, or other similar transaction during such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PURCHASE AND SALE OF COMMON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 xml:space="preserve">Section 2.1 </w:t>
      </w:r>
      <w:r>
        <w:rPr>
          <w:rFonts w:ascii="Times New Roman" w:cs="Times New Roman" w:eastAsia="Times New Roman" w:hAnsi="Times New Roman"/>
          <w:sz w:val="18"/>
          <w:szCs w:val="18"/>
          <w:u w:val="single" w:color="auto"/>
          <w:color w:val="050505"/>
        </w:rPr>
        <w:t>PURCHASE NOTICES</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80" w:firstLine="656"/>
        <w:spacing w:after="0" w:line="258" w:lineRule="auto"/>
        <w:tabs>
          <w:tab w:leader="none" w:pos="892" w:val="left"/>
        </w:tabs>
        <w:numPr>
          <w:ilvl w:val="0"/>
          <w:numId w:val="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PURCHASE NOTICES</w:t>
      </w:r>
      <w:r>
        <w:rPr>
          <w:rFonts w:ascii="Times New Roman" w:cs="Times New Roman" w:eastAsia="Times New Roman" w:hAnsi="Times New Roman"/>
          <w:sz w:val="18"/>
          <w:szCs w:val="18"/>
          <w:color w:val="050505"/>
        </w:rPr>
        <w:t>. Subject to the conditions set forth herein, at any time during the Commitment Period, the Company shall have the right, but not the obligation, to direct the Investor, by its delivery to the Investor of a Purchase Notice from time to time, to purchase, and the Investor shall have the obligation to purchase from the Company, the number of Purchase Notice Shares set forth on the Purchase Notice at the Purchase Price, provided that the amount of Purchase Notice Shares shall not exceed the Beneficial Ownership Limitation set forth in Section 7.2(g). The Company may not deliver a subsequent Purchase Notice until the Closing of an active Purchase Notice, except if waived by the Investor in writing.</w:t>
      </w:r>
    </w:p>
    <w:p>
      <w:pPr>
        <w:spacing w:after="0" w:line="183" w:lineRule="exact"/>
        <w:rPr>
          <w:rFonts w:ascii="Times New Roman" w:cs="Times New Roman" w:eastAsia="Times New Roman" w:hAnsi="Times New Roman"/>
          <w:sz w:val="18"/>
          <w:szCs w:val="18"/>
          <w:color w:val="050505"/>
        </w:rPr>
      </w:pPr>
    </w:p>
    <w:p>
      <w:pPr>
        <w:ind w:firstLine="656"/>
        <w:spacing w:after="0" w:line="253" w:lineRule="auto"/>
        <w:tabs>
          <w:tab w:leader="none" w:pos="903" w:val="left"/>
        </w:tabs>
        <w:numPr>
          <w:ilvl w:val="0"/>
          <w:numId w:val="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BACKSTOP COMMITMENT</w:t>
      </w:r>
      <w:r>
        <w:rPr>
          <w:rFonts w:ascii="Times New Roman" w:cs="Times New Roman" w:eastAsia="Times New Roman" w:hAnsi="Times New Roman"/>
          <w:sz w:val="18"/>
          <w:szCs w:val="18"/>
          <w:color w:val="050505"/>
        </w:rPr>
        <w:t>. The Investor agrees to purchase for (1) the Purchase Price (if the relief provided by Nasdaq Rule 5635(f) (the “</w:t>
      </w:r>
      <w:r>
        <w:rPr>
          <w:rFonts w:ascii="Times New Roman" w:cs="Times New Roman" w:eastAsia="Times New Roman" w:hAnsi="Times New Roman"/>
          <w:sz w:val="18"/>
          <w:szCs w:val="18"/>
          <w:u w:val="single" w:color="auto"/>
          <w:color w:val="050505"/>
        </w:rPr>
        <w:t>Financial Viability Relief</w:t>
      </w:r>
      <w:r>
        <w:rPr>
          <w:rFonts w:ascii="Times New Roman" w:cs="Times New Roman" w:eastAsia="Times New Roman" w:hAnsi="Times New Roman"/>
          <w:sz w:val="18"/>
          <w:szCs w:val="18"/>
          <w:color w:val="050505"/>
        </w:rPr>
        <w:t>”) has been granted to the Company and can be used on or before June 7, 2024) or if the purchase can be made using the Purchase Price without violating Nasdaq Rule 5635 or (2) the Minimum Price (if the Financial Viability Relief has not been granted or cannot be used on or before June 7, 2024) that number of shares of Common Stock (the “</w:t>
      </w:r>
      <w:r>
        <w:rPr>
          <w:rFonts w:ascii="Times New Roman" w:cs="Times New Roman" w:eastAsia="Times New Roman" w:hAnsi="Times New Roman"/>
          <w:sz w:val="18"/>
          <w:szCs w:val="18"/>
          <w:u w:val="single" w:color="auto"/>
          <w:color w:val="050505"/>
        </w:rPr>
        <w:t>Backstop Shares</w:t>
      </w:r>
      <w:r>
        <w:rPr>
          <w:rFonts w:ascii="Times New Roman" w:cs="Times New Roman" w:eastAsia="Times New Roman" w:hAnsi="Times New Roman"/>
          <w:sz w:val="18"/>
          <w:szCs w:val="18"/>
          <w:color w:val="050505"/>
        </w:rPr>
        <w:t>”) as would result in the total proceeds received by the Company on or before June 7, 2024 pursuant to this Agreement exceeding $3.0 million. The Investor’s obligation to do this is conditioned on (i) the Company having timely delivered a first Purchase Notice (the “</w:t>
      </w:r>
      <w:r>
        <w:rPr>
          <w:rFonts w:ascii="Times New Roman" w:cs="Times New Roman" w:eastAsia="Times New Roman" w:hAnsi="Times New Roman"/>
          <w:sz w:val="18"/>
          <w:szCs w:val="18"/>
          <w:u w:val="single" w:color="auto"/>
          <w:color w:val="050505"/>
        </w:rPr>
        <w:t>First Purchase Notice</w:t>
      </w:r>
      <w:r>
        <w:rPr>
          <w:rFonts w:ascii="Times New Roman" w:cs="Times New Roman" w:eastAsia="Times New Roman" w:hAnsi="Times New Roman"/>
          <w:sz w:val="18"/>
          <w:szCs w:val="18"/>
          <w:color w:val="050505"/>
        </w:rPr>
        <w:t>”) for 9.9% of the Company’s outstanding shares within one Business Day of the execution of this Agreement and having otherwise complied with its obligations here under with respect to the delivery of Common Stock pursuant to the First Purchase Notice, and (ii) the Company having timely delivered a second Purchase Notice (the “</w:t>
      </w:r>
      <w:r>
        <w:rPr>
          <w:rFonts w:ascii="Times New Roman" w:cs="Times New Roman" w:eastAsia="Times New Roman" w:hAnsi="Times New Roman"/>
          <w:sz w:val="18"/>
          <w:szCs w:val="18"/>
          <w:u w:val="single" w:color="auto"/>
          <w:color w:val="050505"/>
        </w:rPr>
        <w:t>Second Purchase Notice</w:t>
      </w:r>
      <w:r>
        <w:rPr>
          <w:rFonts w:ascii="Times New Roman" w:cs="Times New Roman" w:eastAsia="Times New Roman" w:hAnsi="Times New Roman"/>
          <w:sz w:val="18"/>
          <w:szCs w:val="18"/>
          <w:color w:val="050505"/>
        </w:rPr>
        <w:t>”) for 9.9% of the Company’s outstanding shares to the Investor within one Business Day after the Closing related to such first Purchase Notice; provided, however, that the Company shall be relieved of this obligation if the Investor has not complied with its obligations hereunder to consummate the purchase of shares pursuant to the First Purchase Note and the Second Purchase Notice. For the avoidance of doubt, any Purchase Notice other than the First Purchase Notice and the Second Purchase Notice shall be governed by Section 2.1(a).</w:t>
      </w:r>
    </w:p>
    <w:p>
      <w:pPr>
        <w:spacing w:after="0" w:line="189" w:lineRule="exact"/>
        <w:rPr>
          <w:rFonts w:ascii="Times New Roman" w:cs="Times New Roman" w:eastAsia="Times New Roman" w:hAnsi="Times New Roman"/>
          <w:sz w:val="18"/>
          <w:szCs w:val="18"/>
          <w:color w:val="050505"/>
        </w:rPr>
      </w:pPr>
    </w:p>
    <w:p>
      <w:pPr>
        <w:ind w:right="20" w:firstLine="656"/>
        <w:spacing w:after="0" w:line="261" w:lineRule="auto"/>
        <w:tabs>
          <w:tab w:leader="none" w:pos="892" w:val="left"/>
        </w:tabs>
        <w:numPr>
          <w:ilvl w:val="0"/>
          <w:numId w:val="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TRUE-UP</w:t>
      </w:r>
      <w:r>
        <w:rPr>
          <w:rFonts w:ascii="Times New Roman" w:cs="Times New Roman" w:eastAsia="Times New Roman" w:hAnsi="Times New Roman"/>
          <w:sz w:val="18"/>
          <w:szCs w:val="18"/>
          <w:color w:val="050505"/>
        </w:rPr>
        <w:t>. Subject to Shareholder Approval, the Investor shall be entitled to additional shares of Common Stock (“</w:t>
      </w:r>
      <w:r>
        <w:rPr>
          <w:rFonts w:ascii="Times New Roman" w:cs="Times New Roman" w:eastAsia="Times New Roman" w:hAnsi="Times New Roman"/>
          <w:sz w:val="18"/>
          <w:szCs w:val="18"/>
          <w:u w:val="single" w:color="auto"/>
          <w:color w:val="050505"/>
        </w:rPr>
        <w:t>True-Up Shares</w:t>
      </w:r>
      <w:r>
        <w:rPr>
          <w:rFonts w:ascii="Times New Roman" w:cs="Times New Roman" w:eastAsia="Times New Roman" w:hAnsi="Times New Roman"/>
          <w:sz w:val="18"/>
          <w:szCs w:val="18"/>
          <w:color w:val="050505"/>
        </w:rPr>
        <w:t>”), if the Backstop Shares were purchased for the Minimum Price and before the Closing Date the Purchase Price for the Backstop Shares that would have applied at</w:t>
      </w:r>
    </w:p>
    <w:p>
      <w:pPr>
        <w:ind w:right="920"/>
        <w:spacing w:after="0" w:line="209" w:lineRule="auto"/>
        <w:rPr>
          <w:sz w:val="20"/>
          <w:szCs w:val="20"/>
          <w:color w:val="auto"/>
        </w:rPr>
      </w:pPr>
      <w:r>
        <w:rPr>
          <w:rFonts w:ascii="Times New Roman" w:cs="Times New Roman" w:eastAsia="Times New Roman" w:hAnsi="Times New Roman"/>
          <w:sz w:val="18"/>
          <w:szCs w:val="18"/>
          <w:color w:val="050505"/>
        </w:rPr>
        <w:t>Closing is lower than the Minimum Price payable to the Investor. The True Up Shares shall be issued on the third (3</w:t>
      </w:r>
      <w:r>
        <w:rPr>
          <w:rFonts w:ascii="Times New Roman" w:cs="Times New Roman" w:eastAsia="Times New Roman" w:hAnsi="Times New Roman"/>
          <w:sz w:val="29"/>
          <w:szCs w:val="29"/>
          <w:color w:val="050505"/>
          <w:vertAlign w:val="superscript"/>
        </w:rPr>
        <w:t>rd</w:t>
      </w:r>
      <w:r>
        <w:rPr>
          <w:rFonts w:ascii="Times New Roman" w:cs="Times New Roman" w:eastAsia="Times New Roman" w:hAnsi="Times New Roman"/>
          <w:sz w:val="18"/>
          <w:szCs w:val="18"/>
          <w:color w:val="050505"/>
        </w:rPr>
        <w:t>) Business Day following Shareholder Approval and shall themselves be priced based on the Minimum Price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050505"/>
        </w:rPr>
        <w:t xml:space="preserve">Section 2.2 </w:t>
      </w:r>
      <w:r>
        <w:rPr>
          <w:rFonts w:ascii="Times New Roman" w:cs="Times New Roman" w:eastAsia="Times New Roman" w:hAnsi="Times New Roman"/>
          <w:sz w:val="18"/>
          <w:szCs w:val="18"/>
          <w:u w:val="single" w:color="auto"/>
          <w:color w:val="050505"/>
        </w:rPr>
        <w:t>MECHANICS</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300" w:firstLine="656"/>
        <w:spacing w:after="0" w:line="258" w:lineRule="auto"/>
        <w:tabs>
          <w:tab w:leader="none" w:pos="892"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PURCHASE NOTICE</w:t>
      </w:r>
      <w:r>
        <w:rPr>
          <w:rFonts w:ascii="Times New Roman" w:cs="Times New Roman" w:eastAsia="Times New Roman" w:hAnsi="Times New Roman"/>
          <w:sz w:val="18"/>
          <w:szCs w:val="18"/>
          <w:color w:val="050505"/>
        </w:rPr>
        <w:t>. In accordance with Section 2.1 and 2.2(b) below, and subject to the satisfaction of the conditions set forth in Section 7.2, the Company shall deliver the Purchase Notice Shares, as DWAC Shares to the Investor, alongside the delivery of each Purchase Notice by email. A Purchase Notice shall be deemed delivered on (i) the Business Day that the Purchase Notice has been received by email by the Investor if both conditions are met on or prior to 8:00 a.m. New York time or (ii) the next Business Day if the conditions are met after 8:00 a.m. New York time on a Business Day or at any time on a day which is not a Business Day (the “</w:t>
      </w:r>
      <w:r>
        <w:rPr>
          <w:rFonts w:ascii="Times New Roman" w:cs="Times New Roman" w:eastAsia="Times New Roman" w:hAnsi="Times New Roman"/>
          <w:sz w:val="18"/>
          <w:szCs w:val="18"/>
          <w:u w:val="single" w:color="auto"/>
          <w:color w:val="050505"/>
        </w:rPr>
        <w:t>Purchase Notice Date</w:t>
      </w:r>
      <w:r>
        <w:rPr>
          <w:rFonts w:ascii="Times New Roman" w:cs="Times New Roman" w:eastAsia="Times New Roman" w:hAnsi="Times New Roman"/>
          <w:sz w:val="18"/>
          <w:szCs w:val="18"/>
          <w:color w:val="050505"/>
        </w:rPr>
        <w:t>”).</w:t>
      </w:r>
    </w:p>
    <w:p>
      <w:pPr>
        <w:spacing w:after="0" w:line="183" w:lineRule="exact"/>
        <w:rPr>
          <w:rFonts w:ascii="Times New Roman" w:cs="Times New Roman" w:eastAsia="Times New Roman" w:hAnsi="Times New Roman"/>
          <w:sz w:val="18"/>
          <w:szCs w:val="18"/>
          <w:color w:val="050505"/>
        </w:rPr>
      </w:pPr>
    </w:p>
    <w:p>
      <w:pPr>
        <w:ind w:right="220" w:firstLine="656"/>
        <w:spacing w:after="0" w:line="282" w:lineRule="auto"/>
        <w:tabs>
          <w:tab w:leader="none" w:pos="903"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DELIVERY OF PURCHASE NOTICE SHARES</w:t>
      </w:r>
      <w:r>
        <w:rPr>
          <w:rFonts w:ascii="Times New Roman" w:cs="Times New Roman" w:eastAsia="Times New Roman" w:hAnsi="Times New Roman"/>
          <w:sz w:val="18"/>
          <w:szCs w:val="18"/>
          <w:color w:val="050505"/>
        </w:rPr>
        <w:t>. No later than 8:00 a.m. New York time on the Business Day of the Purchase Notice Date, the Company shall deliver the Purchase Notice Shares as DWAC Shares to the Investor.</w:t>
      </w:r>
    </w:p>
    <w:p>
      <w:pPr>
        <w:spacing w:after="0" w:line="161" w:lineRule="exact"/>
        <w:rPr>
          <w:rFonts w:ascii="Times New Roman" w:cs="Times New Roman" w:eastAsia="Times New Roman" w:hAnsi="Times New Roman"/>
          <w:sz w:val="18"/>
          <w:szCs w:val="18"/>
          <w:color w:val="050505"/>
        </w:rPr>
      </w:pPr>
    </w:p>
    <w:p>
      <w:pPr>
        <w:ind w:right="60" w:firstLine="656"/>
        <w:spacing w:after="0" w:line="256" w:lineRule="auto"/>
        <w:tabs>
          <w:tab w:leader="none" w:pos="892"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CLOSING</w:t>
      </w:r>
      <w:r>
        <w:rPr>
          <w:rFonts w:ascii="Times New Roman" w:cs="Times New Roman" w:eastAsia="Times New Roman" w:hAnsi="Times New Roman"/>
          <w:sz w:val="18"/>
          <w:szCs w:val="18"/>
          <w:color w:val="050505"/>
        </w:rPr>
        <w:t>. The Closing of a Purchase Notice shall occur no later than four (4) Business Days after a Purchase Notice Date. For each Purchase Notice, upon the terms and subject to the conditions set forth herein, the Investor will pay the Purchase Notice Amount via wire transfer of immediately available funds on the Closing Date.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187" w:lineRule="exact"/>
        <w:rPr>
          <w:rFonts w:ascii="Times New Roman" w:cs="Times New Roman" w:eastAsia="Times New Roman" w:hAnsi="Times New Roman"/>
          <w:sz w:val="18"/>
          <w:szCs w:val="18"/>
          <w:color w:val="050505"/>
        </w:rPr>
      </w:pPr>
    </w:p>
    <w:p>
      <w:pPr>
        <w:ind w:right="40" w:firstLine="656"/>
        <w:spacing w:after="0" w:line="254" w:lineRule="auto"/>
        <w:tabs>
          <w:tab w:leader="none" w:pos="903" w:val="left"/>
        </w:tabs>
        <w:numPr>
          <w:ilvl w:val="0"/>
          <w:numId w:val="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PRINCIPAL MARKET REGULATION</w:t>
      </w:r>
      <w:r>
        <w:rPr>
          <w:rFonts w:ascii="Times New Roman" w:cs="Times New Roman" w:eastAsia="Times New Roman" w:hAnsi="Times New Roman"/>
          <w:sz w:val="18"/>
          <w:szCs w:val="18"/>
          <w:color w:val="050505"/>
        </w:rPr>
        <w:t>. Until the Company has obtained the Shareholder Approval, the Company shall have no right to issue and the Investor shall have no obligation to purchase any Purchase Notice Shares if the issuance of aggregate Purchase Notice Shares would exceed 23,354,972 shares of Common Stock (the “</w:t>
      </w:r>
      <w:r>
        <w:rPr>
          <w:rFonts w:ascii="Times New Roman" w:cs="Times New Roman" w:eastAsia="Times New Roman" w:hAnsi="Times New Roman"/>
          <w:sz w:val="18"/>
          <w:szCs w:val="18"/>
          <w:u w:val="single" w:color="auto"/>
          <w:color w:val="050505"/>
        </w:rPr>
        <w:t>Exchange Cap</w:t>
      </w:r>
      <w:r>
        <w:rPr>
          <w:rFonts w:ascii="Times New Roman" w:cs="Times New Roman" w:eastAsia="Times New Roman" w:hAnsi="Times New Roman"/>
          <w:sz w:val="18"/>
          <w:szCs w:val="18"/>
          <w:color w:val="050505"/>
        </w:rPr>
        <w:t>”), subject to appropriate adjustment for any stock dividend, stock split, stock combination, rights offerings, reclassification or similar transaction that proportionately decreases or increases the Common Stock), provided further that, the Exchange Cap will not apply (i) solely to the extent that (and only for so long as) the Purchase Price shall equal or exceed the Minimum Price (it being hereby acknowledged and agreed that the Exchange Cap shall be applicable for all purposes of this Agreement and the transactions contemplated hereby at all other times during the term of this Agreement, unless the Shareholder Approval referred to above is obtained or (ii) in connection with the Backstop Purchase.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50505"/>
        </w:rPr>
        <w:t>REPRESENTATIONS AND WARRANTIES OF INVESTOR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The Investor represents and warrants the following to the Company:</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050505"/>
        </w:rPr>
        <w:t xml:space="preserve">Section 3.1 </w:t>
      </w:r>
      <w:r>
        <w:rPr>
          <w:rFonts w:ascii="Times New Roman" w:cs="Times New Roman" w:eastAsia="Times New Roman" w:hAnsi="Times New Roman"/>
          <w:sz w:val="18"/>
          <w:szCs w:val="18"/>
          <w:u w:val="single" w:color="auto"/>
          <w:color w:val="050505"/>
        </w:rPr>
        <w:t>INTENT</w:t>
      </w:r>
      <w:r>
        <w:rPr>
          <w:rFonts w:ascii="Times New Roman" w:cs="Times New Roman" w:eastAsia="Times New Roman" w:hAnsi="Times New Roman"/>
          <w:sz w:val="18"/>
          <w:szCs w:val="18"/>
          <w:color w:val="050505"/>
        </w:rPr>
        <w:t xml:space="preserve">. The Investor is entering into this Agreement for its own account and the Investor has no present arrangement (whether or not legally binding) at any time to sell the Securities to or through any Person in violation of the Securities Act or any applicable state securities laws; </w:t>
      </w:r>
      <w:r>
        <w:rPr>
          <w:rFonts w:ascii="Times New Roman" w:cs="Times New Roman" w:eastAsia="Times New Roman" w:hAnsi="Times New Roman"/>
          <w:sz w:val="18"/>
          <w:szCs w:val="18"/>
          <w:u w:val="single" w:color="auto"/>
          <w:color w:val="050505"/>
        </w:rPr>
        <w:t>provided</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u w:val="single" w:color="auto"/>
          <w:color w:val="050505"/>
        </w:rPr>
        <w:t>however</w:t>
      </w:r>
      <w:r>
        <w:rPr>
          <w:rFonts w:ascii="Times New Roman" w:cs="Times New Roman" w:eastAsia="Times New Roman" w:hAnsi="Times New Roman"/>
          <w:sz w:val="18"/>
          <w:szCs w:val="18"/>
          <w:color w:val="050505"/>
        </w:rPr>
        <w:t>, that the Investor reserves the right to dispose of the Securities at any time in accordance with federal and state securities laws applicable to such disposition.</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050505"/>
        </w:rPr>
        <w:t xml:space="preserve">Section 3.2 </w:t>
      </w:r>
      <w:r>
        <w:rPr>
          <w:rFonts w:ascii="Times New Roman" w:cs="Times New Roman" w:eastAsia="Times New Roman" w:hAnsi="Times New Roman"/>
          <w:sz w:val="18"/>
          <w:szCs w:val="18"/>
          <w:u w:val="single" w:color="auto"/>
          <w:color w:val="050505"/>
        </w:rPr>
        <w:t>NO LEGAL ADVICE FROM THE COMPANY</w:t>
      </w:r>
      <w:r>
        <w:rPr>
          <w:rFonts w:ascii="Times New Roman" w:cs="Times New Roman" w:eastAsia="Times New Roman" w:hAnsi="Times New Roman"/>
          <w:sz w:val="18"/>
          <w:szCs w:val="18"/>
          <w:color w:val="050505"/>
        </w:rPr>
        <w:t>. The Investor acknowledges that it has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3.3 </w:t>
      </w:r>
      <w:r>
        <w:rPr>
          <w:rFonts w:ascii="Times New Roman" w:cs="Times New Roman" w:eastAsia="Times New Roman" w:hAnsi="Times New Roman"/>
          <w:sz w:val="18"/>
          <w:szCs w:val="18"/>
          <w:u w:val="single" w:color="auto"/>
          <w:color w:val="050505"/>
        </w:rPr>
        <w:t>ACCREDITED INVESTOR</w:t>
      </w:r>
      <w:r>
        <w:rPr>
          <w:rFonts w:ascii="Times New Roman" w:cs="Times New Roman" w:eastAsia="Times New Roman" w:hAnsi="Times New Roman"/>
          <w:sz w:val="18"/>
          <w:szCs w:val="18"/>
          <w:color w:val="050505"/>
        </w:rPr>
        <w:t>. The Investor is an accredited investor as defined in Rule 501(a)(3) of Regulation D, and the Investor has such experience in business and financial matters that it is capable of evaluating the merits and risks of an investment in Securities. The Investor acknowledges that an investment in the Securities is speculative and involves a high degree of risk.</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050505"/>
        </w:rPr>
        <w:t xml:space="preserve">Section 3.4 </w:t>
      </w:r>
      <w:r>
        <w:rPr>
          <w:rFonts w:ascii="Times New Roman" w:cs="Times New Roman" w:eastAsia="Times New Roman" w:hAnsi="Times New Roman"/>
          <w:sz w:val="18"/>
          <w:szCs w:val="18"/>
          <w:u w:val="single" w:color="auto"/>
          <w:color w:val="050505"/>
        </w:rPr>
        <w:t>AUTHORITY</w:t>
      </w:r>
      <w:r>
        <w:rPr>
          <w:rFonts w:ascii="Times New Roman" w:cs="Times New Roman" w:eastAsia="Times New Roman" w:hAnsi="Times New Roman"/>
          <w:sz w:val="18"/>
          <w:szCs w:val="18"/>
          <w:color w:val="050505"/>
        </w:rPr>
        <w:t>. The Investor has the requisite power and authority to enter into and perform its obligations under the Transaction Documents and to consummate the transactions contemplated hereby and thereby. The execution and delivery of the Transaction Documents and the consummation by it of the transactions contemplated hereby and thereby have been duly authorized by all necessary action and no further consent or authorization of the Investor is required. The Transaction Documents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3.5 </w:t>
      </w:r>
      <w:r>
        <w:rPr>
          <w:rFonts w:ascii="Times New Roman" w:cs="Times New Roman" w:eastAsia="Times New Roman" w:hAnsi="Times New Roman"/>
          <w:sz w:val="18"/>
          <w:szCs w:val="18"/>
          <w:u w:val="single" w:color="auto"/>
          <w:color w:val="050505"/>
        </w:rPr>
        <w:t>NOT AN AFFILIATE</w:t>
      </w:r>
      <w:r>
        <w:rPr>
          <w:rFonts w:ascii="Times New Roman" w:cs="Times New Roman" w:eastAsia="Times New Roman" w:hAnsi="Times New Roman"/>
          <w:sz w:val="18"/>
          <w:szCs w:val="18"/>
          <w:color w:val="050505"/>
        </w:rPr>
        <w:t>. The Investor is not an officer, director or “affiliate” (as that term is defined in Rule 405 of the Securities Act) of the Company.</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3.6 </w:t>
      </w:r>
      <w:r>
        <w:rPr>
          <w:rFonts w:ascii="Times New Roman" w:cs="Times New Roman" w:eastAsia="Times New Roman" w:hAnsi="Times New Roman"/>
          <w:sz w:val="18"/>
          <w:szCs w:val="18"/>
          <w:u w:val="single" w:color="auto"/>
          <w:color w:val="050505"/>
        </w:rPr>
        <w:t>ORGANIZATION AND STANDING</w:t>
      </w:r>
      <w:r>
        <w:rPr>
          <w:rFonts w:ascii="Times New Roman" w:cs="Times New Roman" w:eastAsia="Times New Roman" w:hAnsi="Times New Roman"/>
          <w:sz w:val="18"/>
          <w:szCs w:val="18"/>
          <w:color w:val="050505"/>
        </w:rPr>
        <w:t>. The Investor is an entity duly formed, validly existing, and in good standing under the laws of the State of Delaware with full right and limited partnership or similar power and authority to enter into and to consummate the transactions contemplated by the Transaction Documents.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050505"/>
        </w:rPr>
        <w:t xml:space="preserve">Section 3.7 </w:t>
      </w:r>
      <w:r>
        <w:rPr>
          <w:rFonts w:ascii="Times New Roman" w:cs="Times New Roman" w:eastAsia="Times New Roman" w:hAnsi="Times New Roman"/>
          <w:sz w:val="18"/>
          <w:szCs w:val="18"/>
          <w:u w:val="single" w:color="auto"/>
          <w:color w:val="050505"/>
        </w:rPr>
        <w:t>ABSENCE OF CONFLICTS</w:t>
      </w:r>
      <w:r>
        <w:rPr>
          <w:rFonts w:ascii="Times New Roman" w:cs="Times New Roman" w:eastAsia="Times New Roman" w:hAnsi="Times New Roman"/>
          <w:sz w:val="18"/>
          <w:szCs w:val="18"/>
          <w:color w:val="050505"/>
        </w:rPr>
        <w:t>. The execution and delivery of the Transaction Documents and the consummation of the transactions 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3.8 </w:t>
      </w:r>
      <w:r>
        <w:rPr>
          <w:rFonts w:ascii="Times New Roman" w:cs="Times New Roman" w:eastAsia="Times New Roman" w:hAnsi="Times New Roman"/>
          <w:sz w:val="18"/>
          <w:szCs w:val="18"/>
          <w:u w:val="single" w:color="auto"/>
          <w:color w:val="050505"/>
        </w:rPr>
        <w:t>DISCLOSURE; ACCESS TO INFORMATION</w:t>
      </w:r>
      <w:r>
        <w:rPr>
          <w:rFonts w:ascii="Times New Roman" w:cs="Times New Roman" w:eastAsia="Times New Roman" w:hAnsi="Times New Roman"/>
          <w:sz w:val="18"/>
          <w:szCs w:val="18"/>
          <w:color w:val="050505"/>
        </w:rPr>
        <w:t>. The Investor had an opportunity to review copies of the SEC Documents filed on behalf of the Company and has had access to all publicly available information with respect to the Company.</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3.9 </w:t>
      </w:r>
      <w:r>
        <w:rPr>
          <w:rFonts w:ascii="Times New Roman" w:cs="Times New Roman" w:eastAsia="Times New Roman" w:hAnsi="Times New Roman"/>
          <w:sz w:val="18"/>
          <w:szCs w:val="18"/>
          <w:u w:val="single" w:color="auto"/>
          <w:color w:val="050505"/>
        </w:rPr>
        <w:t>MANNER OF SALE</w:t>
      </w:r>
      <w:r>
        <w:rPr>
          <w:rFonts w:ascii="Times New Roman" w:cs="Times New Roman" w:eastAsia="Times New Roman" w:hAnsi="Times New Roman"/>
          <w:sz w:val="18"/>
          <w:szCs w:val="18"/>
          <w:color w:val="050505"/>
        </w:rPr>
        <w:t>. At no time was the Investor presented with or solicited by or through any leaflet, public promotional meeting, television advertisement or any other form of general solicitation or advertising.</w:t>
      </w:r>
    </w:p>
    <w:p>
      <w:pPr>
        <w:spacing w:after="0" w:line="162" w:lineRule="exact"/>
        <w:rPr>
          <w:sz w:val="20"/>
          <w:szCs w:val="20"/>
          <w:color w:val="auto"/>
        </w:rPr>
      </w:pPr>
    </w:p>
    <w:p>
      <w:pPr>
        <w:ind w:right="180" w:firstLine="324"/>
        <w:spacing w:after="0" w:line="270" w:lineRule="auto"/>
        <w:rPr>
          <w:sz w:val="20"/>
          <w:szCs w:val="20"/>
          <w:color w:val="auto"/>
        </w:rPr>
      </w:pPr>
      <w:r>
        <w:rPr>
          <w:rFonts w:ascii="Times New Roman" w:cs="Times New Roman" w:eastAsia="Times New Roman" w:hAnsi="Times New Roman"/>
          <w:sz w:val="17"/>
          <w:szCs w:val="17"/>
          <w:color w:val="050505"/>
        </w:rPr>
        <w:t xml:space="preserve">Section 3.10 </w:t>
      </w:r>
      <w:r>
        <w:rPr>
          <w:rFonts w:ascii="Times New Roman" w:cs="Times New Roman" w:eastAsia="Times New Roman" w:hAnsi="Times New Roman"/>
          <w:sz w:val="17"/>
          <w:szCs w:val="17"/>
          <w:u w:val="single" w:color="auto"/>
          <w:color w:val="050505"/>
        </w:rPr>
        <w:t>NO DISQUALIFICATION EVENTS</w:t>
      </w:r>
      <w:r>
        <w:rPr>
          <w:rFonts w:ascii="Times New Roman" w:cs="Times New Roman" w:eastAsia="Times New Roman" w:hAnsi="Times New Roman"/>
          <w:sz w:val="17"/>
          <w:szCs w:val="17"/>
          <w:color w:val="050505"/>
        </w:rPr>
        <w:t>. None of the Investor, any of its predecessors, any affiliated issuer, any director, executive officer, other officer of the Investor participating in the offering contemplated hereby, any beneficial owner of 20% or more of the Investor’s outstanding voting equity securities, calculated on the basis of voting power (each, an “Investor Covered Person”) is subject to any of the “Bad Actor” disqualifications described in Rule 506(d)(1)(i) to (viii) under the Securities Act (a “Disqualification Event”), except for a Disqualification Event covered by Rule 506(d)</w:t>
      </w:r>
    </w:p>
    <w:p>
      <w:pPr>
        <w:spacing w:after="0" w:line="3" w:lineRule="exact"/>
        <w:rPr>
          <w:sz w:val="20"/>
          <w:szCs w:val="20"/>
          <w:color w:val="auto"/>
        </w:rPr>
      </w:pPr>
    </w:p>
    <w:p>
      <w:pPr>
        <w:ind w:right="680" w:firstLine="8"/>
        <w:spacing w:after="0" w:line="260" w:lineRule="auto"/>
        <w:tabs>
          <w:tab w:leader="none" w:pos="255" w:val="left"/>
        </w:tabs>
        <w:numPr>
          <w:ilvl w:val="0"/>
          <w:numId w:val="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or (d)(3) under the Securities Act. The Investor has exercised reasonable care to determine whether any Investor Covered Person is subject to a Disqualification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40" w:firstLine="324"/>
        <w:spacing w:after="0" w:line="254" w:lineRule="auto"/>
        <w:rPr>
          <w:sz w:val="20"/>
          <w:szCs w:val="20"/>
          <w:color w:val="auto"/>
        </w:rPr>
      </w:pPr>
      <w:r>
        <w:rPr>
          <w:rFonts w:ascii="Times New Roman" w:cs="Times New Roman" w:eastAsia="Times New Roman" w:hAnsi="Times New Roman"/>
          <w:sz w:val="18"/>
          <w:szCs w:val="18"/>
          <w:color w:val="050505"/>
        </w:rPr>
        <w:t xml:space="preserve">Section 3.11 </w:t>
      </w:r>
      <w:r>
        <w:rPr>
          <w:rFonts w:ascii="Times New Roman" w:cs="Times New Roman" w:eastAsia="Times New Roman" w:hAnsi="Times New Roman"/>
          <w:sz w:val="18"/>
          <w:szCs w:val="18"/>
          <w:u w:val="single" w:color="auto"/>
          <w:color w:val="050505"/>
        </w:rPr>
        <w:t>RELIANCE ON EXEMPTIONS</w:t>
      </w:r>
      <w:r>
        <w:rPr>
          <w:rFonts w:ascii="Times New Roman" w:cs="Times New Roman" w:eastAsia="Times New Roman" w:hAnsi="Times New Roman"/>
          <w:sz w:val="18"/>
          <w:szCs w:val="18"/>
          <w:color w:val="050505"/>
        </w:rPr>
        <w:t>. The Investor understands that the Securities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The Investor understands that (i) the Securities may not be offered for sale, sold, assigned or transferred unless (A) registered pursuant to the Securities Act or (B) an exemption exists permitting such Securities to be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8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3.12 </w:t>
      </w:r>
      <w:r>
        <w:rPr>
          <w:rFonts w:ascii="Times New Roman" w:cs="Times New Roman" w:eastAsia="Times New Roman" w:hAnsi="Times New Roman"/>
          <w:sz w:val="18"/>
          <w:szCs w:val="18"/>
          <w:u w:val="single" w:color="auto"/>
          <w:color w:val="050505"/>
        </w:rPr>
        <w:t>STATUTORY UNDERWRITER STATUS</w:t>
      </w:r>
      <w:r>
        <w:rPr>
          <w:rFonts w:ascii="Times New Roman" w:cs="Times New Roman" w:eastAsia="Times New Roman" w:hAnsi="Times New Roman"/>
          <w:sz w:val="18"/>
          <w:szCs w:val="18"/>
          <w:color w:val="050505"/>
        </w:rPr>
        <w:t>. The Investor acknowledges that it will be disclosed as an “underwriter” in each Registration Statement and in any Prospectus contained therein to the extent required by applicable law and to the extent the Prospectus is related to the resale of the Securities.</w:t>
      </w:r>
    </w:p>
    <w:p>
      <w:pPr>
        <w:spacing w:after="0" w:line="17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050505"/>
        </w:rPr>
        <w:t xml:space="preserve">Section 3.13 </w:t>
      </w:r>
      <w:r>
        <w:rPr>
          <w:rFonts w:ascii="Times New Roman" w:cs="Times New Roman" w:eastAsia="Times New Roman" w:hAnsi="Times New Roman"/>
          <w:sz w:val="18"/>
          <w:szCs w:val="18"/>
          <w:u w:val="single" w:color="auto"/>
          <w:color w:val="050505"/>
        </w:rPr>
        <w:t>RESALES OF SECURITIES</w:t>
      </w:r>
      <w:r>
        <w:rPr>
          <w:rFonts w:ascii="Times New Roman" w:cs="Times New Roman" w:eastAsia="Times New Roman" w:hAnsi="Times New Roman"/>
          <w:sz w:val="18"/>
          <w:szCs w:val="18"/>
          <w:color w:val="050505"/>
        </w:rPr>
        <w:t>. The Investor represents, warrants and covenants that it will resell such Securities only (i) pursuant to the Registration Statement in which the resale of such Securities is registered under the Securities Act, in a manner described under the caption “Plan of Distribution” in such Registration Statement in substantially the form annexed hereto, and in a manner in compliance with all applicable U.S. federal and state securities laws, rules and regulations, including, without limitation, any applicable prospectus delivery requirements of the Securities Act, or (ii) in compliance with some other exemption under the Securities Act.</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3.14 </w:t>
      </w:r>
      <w:r>
        <w:rPr>
          <w:rFonts w:ascii="Times New Roman" w:cs="Times New Roman" w:eastAsia="Times New Roman" w:hAnsi="Times New Roman"/>
          <w:sz w:val="18"/>
          <w:szCs w:val="18"/>
          <w:u w:val="single" w:color="auto"/>
          <w:color w:val="050505"/>
        </w:rPr>
        <w:t>EFFECTIVE REGISTRATION STATEMENT</w:t>
      </w:r>
      <w:r>
        <w:rPr>
          <w:rFonts w:ascii="Times New Roman" w:cs="Times New Roman" w:eastAsia="Times New Roman" w:hAnsi="Times New Roman"/>
          <w:sz w:val="18"/>
          <w:szCs w:val="18"/>
          <w:color w:val="050505"/>
        </w:rPr>
        <w:t>. The Investor is solely relying on the Registration Statement, the Prospectus, and the SEC Documents, in determining whether to acquire the Purchase Notice Shares, any Backstop Shares and any True-Up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REPRESENTATIONS AND WARRANTIES OF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Except as set forth in the SEC Documents, the Company represents and warrants the following to the Investor, as of the Execution Date:</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050505"/>
        </w:rPr>
        <w:t xml:space="preserve">Section 4.1 </w:t>
      </w:r>
      <w:r>
        <w:rPr>
          <w:rFonts w:ascii="Times New Roman" w:cs="Times New Roman" w:eastAsia="Times New Roman" w:hAnsi="Times New Roman"/>
          <w:sz w:val="18"/>
          <w:szCs w:val="18"/>
          <w:u w:val="single" w:color="auto"/>
          <w:color w:val="050505"/>
        </w:rPr>
        <w:t>ORGANIZATION OF THE COMPANY</w:t>
      </w:r>
      <w:r>
        <w:rPr>
          <w:rFonts w:ascii="Times New Roman" w:cs="Times New Roman" w:eastAsia="Times New Roman" w:hAnsi="Times New Roman"/>
          <w:sz w:val="18"/>
          <w:szCs w:val="18"/>
          <w:color w:val="050505"/>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Other than as listed on Exhibit 21.1 of the Company’s most recent annual report on Form 10-K, the Company has no Subsidiaries.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050505"/>
        </w:rPr>
        <w:t xml:space="preserve">Section 4.2 </w:t>
      </w:r>
      <w:r>
        <w:rPr>
          <w:rFonts w:ascii="Times New Roman" w:cs="Times New Roman" w:eastAsia="Times New Roman" w:hAnsi="Times New Roman"/>
          <w:sz w:val="18"/>
          <w:szCs w:val="18"/>
          <w:u w:val="single" w:color="auto"/>
          <w:color w:val="050505"/>
        </w:rPr>
        <w:t>AUTHORITY</w:t>
      </w:r>
      <w:r>
        <w:rPr>
          <w:rFonts w:ascii="Times New Roman" w:cs="Times New Roman" w:eastAsia="Times New Roman" w:hAnsi="Times New Roman"/>
          <w:sz w:val="18"/>
          <w:szCs w:val="18"/>
          <w:color w:val="050505"/>
        </w:rPr>
        <w:t>. The Company has the requisite corporate power and authority to enter into and perform its obligations under the Transaction Documents.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shareholders is required. The Transaction Documents have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324"/>
        <w:spacing w:after="0" w:line="252" w:lineRule="auto"/>
        <w:rPr>
          <w:sz w:val="20"/>
          <w:szCs w:val="20"/>
          <w:color w:val="auto"/>
        </w:rPr>
      </w:pPr>
      <w:r>
        <w:rPr>
          <w:rFonts w:ascii="Times New Roman" w:cs="Times New Roman" w:eastAsia="Times New Roman" w:hAnsi="Times New Roman"/>
          <w:sz w:val="18"/>
          <w:szCs w:val="18"/>
          <w:color w:val="050505"/>
        </w:rPr>
        <w:t xml:space="preserve">Section 4.3 </w:t>
      </w:r>
      <w:r>
        <w:rPr>
          <w:rFonts w:ascii="Times New Roman" w:cs="Times New Roman" w:eastAsia="Times New Roman" w:hAnsi="Times New Roman"/>
          <w:sz w:val="18"/>
          <w:szCs w:val="18"/>
          <w:u w:val="single" w:color="auto"/>
          <w:color w:val="050505"/>
        </w:rPr>
        <w:t>CAPITALIZATION</w:t>
      </w:r>
      <w:r>
        <w:rPr>
          <w:rFonts w:ascii="Times New Roman" w:cs="Times New Roman" w:eastAsia="Times New Roman" w:hAnsi="Times New Roman"/>
          <w:sz w:val="18"/>
          <w:szCs w:val="18"/>
          <w:color w:val="050505"/>
        </w:rPr>
        <w:t xml:space="preserve">. As of the date hereof, the authorized capital stock of the Company consists of 180,000,000 shares of Common Stock, par value of $0.01 per share, of which </w:t>
      </w:r>
      <w:r>
        <w:rPr>
          <w:rFonts w:ascii="Times New Roman" w:cs="Times New Roman" w:eastAsia="Times New Roman" w:hAnsi="Times New Roman"/>
          <w:sz w:val="18"/>
          <w:szCs w:val="18"/>
          <w:color w:val="000000"/>
        </w:rPr>
        <w:t>116,774,861</w:t>
      </w:r>
      <w:r>
        <w:rPr>
          <w:rFonts w:ascii="Times New Roman" w:cs="Times New Roman" w:eastAsia="Times New Roman" w:hAnsi="Times New Roman"/>
          <w:sz w:val="18"/>
          <w:szCs w:val="18"/>
          <w:color w:val="050505"/>
        </w:rPr>
        <w:t xml:space="preserve"> shares are issued and outstanding, and 1,500,000 shares of preferred stock, par value of $0.01 per share, of which zero shares are issued and outstanding. Except as set forth in the SEC Documents, the Company has not issued any capital stock since its most recently filed periodic report under the Exchange Act, other than pursuant to the exercise of employee stock options or the vesting of RSUs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Documents and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set forth in the SEC Documents, the issuance and sale of the Securities will not obligate the Company to issue shares of Common Stock or other securities to any Person (other than the Investor) and will not result in a right of any holder of Company securities to adjust the exercise, conversion, exchange or reset price under any of such securities. Except as set forth in the SEC Documents, there are no shareholder agreements, voting agreements or other similar agreements with respect to the Company’s capital stock to which the Company is a party or, to the knowledge of the Company, between or among any of the Company’s shareholders.</w:t>
      </w:r>
    </w:p>
    <w:p>
      <w:pPr>
        <w:spacing w:after="0" w:line="19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050505"/>
        </w:rPr>
        <w:t xml:space="preserve">Section 4.4 </w:t>
      </w:r>
      <w:r>
        <w:rPr>
          <w:rFonts w:ascii="Times New Roman" w:cs="Times New Roman" w:eastAsia="Times New Roman" w:hAnsi="Times New Roman"/>
          <w:sz w:val="18"/>
          <w:szCs w:val="18"/>
          <w:u w:val="single" w:color="auto"/>
          <w:color w:val="050505"/>
        </w:rPr>
        <w:t>LISTING AND MAINTENANCE REQUIREMENTS</w:t>
      </w:r>
      <w:r>
        <w:rPr>
          <w:rFonts w:ascii="Times New Roman" w:cs="Times New Roman" w:eastAsia="Times New Roman" w:hAnsi="Times New Roman"/>
          <w:sz w:val="18"/>
          <w:szCs w:val="18"/>
          <w:color w:val="050505"/>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Other than as disclosed in the SEC Documents (as defined below), the Company has not, in the twelve (12) months preceding the date hereof, received notice from the Principal Market on which the Common Stock is or has been listed or quoted to the effect that the Company is not in compliance with the listing or maintenance requirements of such Principal Market.</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050505"/>
        </w:rPr>
        <w:t xml:space="preserve">Section 4.5 </w:t>
      </w:r>
      <w:r>
        <w:rPr>
          <w:rFonts w:ascii="Times New Roman" w:cs="Times New Roman" w:eastAsia="Times New Roman" w:hAnsi="Times New Roman"/>
          <w:sz w:val="18"/>
          <w:szCs w:val="18"/>
          <w:u w:val="single" w:color="auto"/>
          <w:color w:val="050505"/>
        </w:rPr>
        <w:t>SEC DOCUMENTS; DISCLOSURE</w:t>
      </w:r>
      <w:r>
        <w:rPr>
          <w:rFonts w:ascii="Times New Roman" w:cs="Times New Roman" w:eastAsia="Times New Roman" w:hAnsi="Times New Roman"/>
          <w:sz w:val="18"/>
          <w:szCs w:val="18"/>
          <w:color w:val="050505"/>
        </w:rPr>
        <w:t>. The Company has filed all reports, schedules, forms, statements and other documents required to be filed by the Company under the Securities Act and the Exchange Act, including pursuant to Section 13(a) thereof, for the one (1) year preceding the date hereof (or such shorter period as the Company was required by law or regulation to file such material) (the foregoing materials, including the exhibits thereto and documents incorporated by reference therein, including without limitation all registration statements under the Securities Act, whether required to be filed or otherwise), being collectively referred to herein as the “</w:t>
      </w: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on a timely basis or has received a valid extension of such time of filing and has filed any such SEC Documents prior to the expiration of any such extension (other than the Company’s Forms 10-Q for the periods ended December 31, 2023 and March 31, 2024 which were each filed after the expiration of such extensions).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right="16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4.6 </w:t>
      </w:r>
      <w:r>
        <w:rPr>
          <w:rFonts w:ascii="Times New Roman" w:cs="Times New Roman" w:eastAsia="Times New Roman" w:hAnsi="Times New Roman"/>
          <w:sz w:val="18"/>
          <w:szCs w:val="18"/>
          <w:u w:val="single" w:color="auto"/>
          <w:color w:val="050505"/>
        </w:rPr>
        <w:t>VALID ISSUANCES</w:t>
      </w:r>
      <w:r>
        <w:rPr>
          <w:rFonts w:ascii="Times New Roman" w:cs="Times New Roman" w:eastAsia="Times New Roman" w:hAnsi="Times New Roman"/>
          <w:sz w:val="18"/>
          <w:szCs w:val="18"/>
          <w:color w:val="050505"/>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050505"/>
        </w:rPr>
        <w:t xml:space="preserve">Section 4.7 </w:t>
      </w:r>
      <w:r>
        <w:rPr>
          <w:rFonts w:ascii="Times New Roman" w:cs="Times New Roman" w:eastAsia="Times New Roman" w:hAnsi="Times New Roman"/>
          <w:sz w:val="18"/>
          <w:szCs w:val="18"/>
          <w:u w:val="single" w:color="auto"/>
          <w:color w:val="050505"/>
        </w:rPr>
        <w:t>NO CONFLICTS</w:t>
      </w:r>
      <w:r>
        <w:rPr>
          <w:rFonts w:ascii="Times New Roman" w:cs="Times New Roman" w:eastAsia="Times New Roman" w:hAnsi="Times New Roman"/>
          <w:sz w:val="18"/>
          <w:szCs w:val="18"/>
          <w:color w:val="050505"/>
        </w:rPr>
        <w:t>. The execution, delivery and performance of the Transaction Documents by the Company and the consummation by the Company of the transactions contemplated hereby and thereby, including, without limitation, the issuance of the Securities, do not and will not: (a) result in a violation of the Company’s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give to others any rights of termination, amendment, acceleration or cancellation of, any agreement, indenture, instrument or any “</w:t>
      </w:r>
      <w:r>
        <w:rPr>
          <w:rFonts w:ascii="Times New Roman" w:cs="Times New Roman" w:eastAsia="Times New Roman" w:hAnsi="Times New Roman"/>
          <w:sz w:val="18"/>
          <w:szCs w:val="18"/>
          <w:u w:val="single" w:color="auto"/>
          <w:color w:val="050505"/>
        </w:rPr>
        <w:t>lock-up</w:t>
      </w:r>
      <w:r>
        <w:rPr>
          <w:rFonts w:ascii="Times New Roman" w:cs="Times New Roman" w:eastAsia="Times New Roman" w:hAnsi="Times New Roman"/>
          <w:sz w:val="18"/>
          <w:szCs w:val="18"/>
          <w:color w:val="050505"/>
        </w:rPr>
        <w:t>” or similar provision of any underwriting or similar agreement to which the Company is a party, or (c) result in a violation of any federal, state or local law, rule, regulation, order, judgment or decree (including federal and state securities laws and regulations) applicable to the Company or by which any property or asset of the Company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the Transaction Documents (other than any SEC, FINRA, Nasdaq, or state securities filings that may be required to be made by the Company in connection with any Closing or any registration statement that may be filed pursuant hereto); provided that, for purposes of the representation made in this sentence, the Company is assuming and relying upon the accuracy of the relevant representations and agreements of Investor herein.</w:t>
      </w:r>
    </w:p>
    <w:p>
      <w:pPr>
        <w:spacing w:after="0" w:line="19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4.8 </w:t>
      </w:r>
      <w:r>
        <w:rPr>
          <w:rFonts w:ascii="Times New Roman" w:cs="Times New Roman" w:eastAsia="Times New Roman" w:hAnsi="Times New Roman"/>
          <w:sz w:val="18"/>
          <w:szCs w:val="18"/>
          <w:u w:val="single" w:color="auto"/>
          <w:color w:val="050505"/>
        </w:rPr>
        <w:t>NO MATERIAL ADVERSE EFFECT</w:t>
      </w:r>
      <w:r>
        <w:rPr>
          <w:rFonts w:ascii="Times New Roman" w:cs="Times New Roman" w:eastAsia="Times New Roman" w:hAnsi="Times New Roman"/>
          <w:sz w:val="18"/>
          <w:szCs w:val="18"/>
          <w:color w:val="050505"/>
        </w:rPr>
        <w:t>. No event has occurred that would have a Material Adverse Effect on the Company that has not been disclosed in subsequent SEC Documents.</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050505"/>
        </w:rPr>
        <w:t xml:space="preserve">Section 4.9 </w:t>
      </w:r>
      <w:r>
        <w:rPr>
          <w:rFonts w:ascii="Times New Roman" w:cs="Times New Roman" w:eastAsia="Times New Roman" w:hAnsi="Times New Roman"/>
          <w:sz w:val="18"/>
          <w:szCs w:val="18"/>
          <w:u w:val="single" w:color="auto"/>
          <w:color w:val="050505"/>
        </w:rPr>
        <w:t>LITIGATION AND OTHER PROCEEDINGS</w:t>
      </w:r>
      <w:r>
        <w:rPr>
          <w:rFonts w:ascii="Times New Roman" w:cs="Times New Roman" w:eastAsia="Times New Roman" w:hAnsi="Times New Roman"/>
          <w:sz w:val="18"/>
          <w:szCs w:val="18"/>
          <w:color w:val="050505"/>
        </w:rPr>
        <w:t>. Except as disclosed in the SEC Documents, there are no material actions, suits, investigations, SEC inquiries, FINRA inquiries, Nasdaq inquiries, or similar proceedings (however any governmental agency may name them) pending or, to the actual knowledge of the Company, threatened against or affecting the Company or its properties, nor has the Company received any written or oral notice of any such action, suit, proceeding, SEC inquiry, FINRA inquiry, Nasdaq inquiry or investigation, which would have a Material Adverse Effect. No judgment, order, writ, injunction or decree or award against the Company has been issued by or, to the actual knowledge of the Company, requested of any court, arbitrator or governmental agency which would have a Material Adverse Effect. There has not been, and to the actual knowledge of the Company, there is no pending investigation by the SEC involving the Company or any current officer or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firstLine="324"/>
        <w:spacing w:after="0" w:line="254" w:lineRule="auto"/>
        <w:rPr>
          <w:sz w:val="20"/>
          <w:szCs w:val="20"/>
          <w:color w:val="auto"/>
        </w:rPr>
      </w:pPr>
      <w:r>
        <w:rPr>
          <w:rFonts w:ascii="Times New Roman" w:cs="Times New Roman" w:eastAsia="Times New Roman" w:hAnsi="Times New Roman"/>
          <w:sz w:val="18"/>
          <w:szCs w:val="18"/>
          <w:color w:val="050505"/>
        </w:rPr>
        <w:t xml:space="preserve">Section 4.10 </w:t>
      </w:r>
      <w:r>
        <w:rPr>
          <w:rFonts w:ascii="Times New Roman" w:cs="Times New Roman" w:eastAsia="Times New Roman" w:hAnsi="Times New Roman"/>
          <w:sz w:val="18"/>
          <w:szCs w:val="18"/>
          <w:u w:val="single" w:color="auto"/>
          <w:color w:val="050505"/>
        </w:rPr>
        <w:t>ACKNOWLEDGMENT REGARDING INVESTOR’S PURCHASE OF SECURITIES</w:t>
      </w:r>
      <w:r>
        <w:rPr>
          <w:rFonts w:ascii="Times New Roman" w:cs="Times New Roman" w:eastAsia="Times New Roman" w:hAnsi="Times New Roman"/>
          <w:sz w:val="18"/>
          <w:szCs w:val="18"/>
          <w:color w:val="050505"/>
        </w:rPr>
        <w:t>. Based solely on the Investor’s representation and warranties, the Company acknowledges and agrees that the Investor is acting solely in the capacity of an arm’s length purchaser with respect to this Agreement and the transactions contemplated hereby and thereby and that the Investor is not (i) an officer or director of the Company, or (ii) an “affiliate” (as defined in Rule 144) of the Company. The Company further acknowledges that the Investor is not acting as a financial advisor or fiduciary of the Company (or in any similar capacity) with respect to this Agreement and the transactions contemplated hereby and thereby, and any advice given by the Investor or any of its representatives or agents in connection with the Agreement and the transactions contemplated hereby and thereby is merely incidental to the Investor’s purchase of the Purchase Notice Shares and any Backstop Shares or True-Up Shares. The Company further represents to the Investor that the Company’s decision to enter into this Agreement has been based solely on the independent evaluation by the Company and its representatives.</w:t>
      </w:r>
    </w:p>
    <w:p>
      <w:pPr>
        <w:spacing w:after="0" w:line="192" w:lineRule="exact"/>
        <w:rPr>
          <w:sz w:val="20"/>
          <w:szCs w:val="20"/>
          <w:color w:val="auto"/>
        </w:rPr>
      </w:pPr>
    </w:p>
    <w:p>
      <w:pPr>
        <w:ind w:right="500" w:firstLine="324"/>
        <w:spacing w:after="0" w:line="312" w:lineRule="auto"/>
        <w:rPr>
          <w:sz w:val="20"/>
          <w:szCs w:val="20"/>
          <w:color w:val="auto"/>
        </w:rPr>
      </w:pPr>
      <w:r>
        <w:rPr>
          <w:rFonts w:ascii="Times New Roman" w:cs="Times New Roman" w:eastAsia="Times New Roman" w:hAnsi="Times New Roman"/>
          <w:sz w:val="17"/>
          <w:szCs w:val="17"/>
          <w:color w:val="050505"/>
        </w:rPr>
        <w:t xml:space="preserve">Section 4.11 </w:t>
      </w:r>
      <w:r>
        <w:rPr>
          <w:rFonts w:ascii="Times New Roman" w:cs="Times New Roman" w:eastAsia="Times New Roman" w:hAnsi="Times New Roman"/>
          <w:sz w:val="17"/>
          <w:szCs w:val="17"/>
          <w:u w:val="single" w:color="auto"/>
          <w:color w:val="050505"/>
        </w:rPr>
        <w:t>NO GENERAL SOLICITATION</w:t>
      </w:r>
      <w:r>
        <w:rPr>
          <w:rFonts w:ascii="Times New Roman" w:cs="Times New Roman" w:eastAsia="Times New Roman" w:hAnsi="Times New Roman"/>
          <w:sz w:val="17"/>
          <w:szCs w:val="17"/>
          <w:color w:val="050505"/>
        </w:rPr>
        <w:t>. Neither the Company, nor any Person acting on its behalf, has engaged in any form of general solicitation or general advertising (within the meaning of Regulation D under the Securities act) in connection with the offer or sale of the Securities.</w:t>
      </w:r>
    </w:p>
    <w:p>
      <w:pPr>
        <w:spacing w:after="0" w:line="14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4.13 </w:t>
      </w:r>
      <w:r>
        <w:rPr>
          <w:rFonts w:ascii="Times New Roman" w:cs="Times New Roman" w:eastAsia="Times New Roman" w:hAnsi="Times New Roman"/>
          <w:sz w:val="18"/>
          <w:szCs w:val="18"/>
          <w:u w:val="single" w:color="auto"/>
          <w:color w:val="050505"/>
        </w:rPr>
        <w:t>PLACEMENT AGENT; OTHER COVERED PERSONS</w:t>
      </w:r>
      <w:r>
        <w:rPr>
          <w:rFonts w:ascii="Times New Roman" w:cs="Times New Roman" w:eastAsia="Times New Roman" w:hAnsi="Times New Roman"/>
          <w:sz w:val="18"/>
          <w:szCs w:val="18"/>
          <w:color w:val="050505"/>
        </w:rPr>
        <w:t>. The Company has not engaged any Person to act as a placement agent, underwriter, broker, dealer, or finder in connection with the sale of the Securities hereunder. The Company is not aware of any Person that has been or will be paid (directly or indirectly) remuneration for solicitation of the Investor in connection with the sale of any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COVENANTS OF INVESTOR</w:t>
      </w:r>
    </w:p>
    <w:p>
      <w:pPr>
        <w:spacing w:after="0" w:line="20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050505"/>
        </w:rPr>
        <w:t xml:space="preserve">Section 5.1 </w:t>
      </w:r>
      <w:r>
        <w:rPr>
          <w:rFonts w:ascii="Times New Roman" w:cs="Times New Roman" w:eastAsia="Times New Roman" w:hAnsi="Times New Roman"/>
          <w:sz w:val="18"/>
          <w:szCs w:val="18"/>
          <w:u w:val="single" w:color="auto"/>
          <w:color w:val="050505"/>
        </w:rPr>
        <w:t>SHORT SALES AND CONFIDENTIALITY</w:t>
      </w:r>
      <w:r>
        <w:rPr>
          <w:rFonts w:ascii="Times New Roman" w:cs="Times New Roman" w:eastAsia="Times New Roman" w:hAnsi="Times New Roman"/>
          <w:sz w:val="18"/>
          <w:szCs w:val="18"/>
          <w:color w:val="050505"/>
        </w:rPr>
        <w:t>. Neither the Investor, nor any Affiliate of the Investor acting on its behalf or pursuant to any understanding with it, will execute any short sales during the period from the Execution Date to the end of the Commitment Period. For the purposes hereof, and in accordance with Regulation SHO, the sale after delivery of the Purchase Notice of such number of shares of Common Stock reasonably expected to be purchased under the Purchase Notice shall not be deemed a short sale. The Investor shall, until such time as the transactions contemplated by the Transaction Documents are publicly disclosed by the Company in accordance with the terms of the Transaction Documents, maintain the confidentiality of the existence and terms of this transaction and the information included in the Transaction Documents.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5.2 </w:t>
      </w:r>
      <w:r>
        <w:rPr>
          <w:rFonts w:ascii="Times New Roman" w:cs="Times New Roman" w:eastAsia="Times New Roman" w:hAnsi="Times New Roman"/>
          <w:sz w:val="18"/>
          <w:szCs w:val="18"/>
          <w:u w:val="single" w:color="auto"/>
          <w:color w:val="050505"/>
        </w:rPr>
        <w:t>COMPLIANCE WITH LAW; TRADING IN SECURITIES</w:t>
      </w:r>
      <w:r>
        <w:rPr>
          <w:rFonts w:ascii="Times New Roman" w:cs="Times New Roman" w:eastAsia="Times New Roman" w:hAnsi="Times New Roman"/>
          <w:sz w:val="18"/>
          <w:szCs w:val="18"/>
          <w:color w:val="050505"/>
        </w:rPr>
        <w:t>. The Investor’s trading activities with respect to shares of Common Stock will be in compliance with all applicable state and federal securities laws and regulations and the rules and regulations of the Principal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COVENANTS OF THE COMPANY</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6.1 </w:t>
      </w:r>
      <w:r>
        <w:rPr>
          <w:rFonts w:ascii="Times New Roman" w:cs="Times New Roman" w:eastAsia="Times New Roman" w:hAnsi="Times New Roman"/>
          <w:sz w:val="18"/>
          <w:szCs w:val="18"/>
          <w:u w:val="single" w:color="auto"/>
          <w:color w:val="050505"/>
        </w:rPr>
        <w:t>LISTING OF COMMON STOCK</w:t>
      </w:r>
      <w:r>
        <w:rPr>
          <w:rFonts w:ascii="Times New Roman" w:cs="Times New Roman" w:eastAsia="Times New Roman" w:hAnsi="Times New Roman"/>
          <w:sz w:val="18"/>
          <w:szCs w:val="18"/>
          <w:color w:val="050505"/>
        </w:rPr>
        <w:t>. The Company shall use its commercially reasonable efforts to continue the listing or quotation and trading of the Common Stock on the Principal Market (including, without limitation, maintaining sufficient net tangible assets, if required) and will comply in all respects with the Company’s reporting, filing and other obligations under the bylaws or rules of the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120" w:firstLine="324"/>
        <w:spacing w:after="0" w:line="274" w:lineRule="auto"/>
        <w:rPr>
          <w:sz w:val="20"/>
          <w:szCs w:val="20"/>
          <w:color w:val="auto"/>
        </w:rPr>
      </w:pPr>
      <w:r>
        <w:rPr>
          <w:rFonts w:ascii="Times New Roman" w:cs="Times New Roman" w:eastAsia="Times New Roman" w:hAnsi="Times New Roman"/>
          <w:sz w:val="17"/>
          <w:szCs w:val="17"/>
          <w:color w:val="050505"/>
        </w:rPr>
        <w:t xml:space="preserve">Section 6.2 </w:t>
      </w:r>
      <w:r>
        <w:rPr>
          <w:rFonts w:ascii="Times New Roman" w:cs="Times New Roman" w:eastAsia="Times New Roman" w:hAnsi="Times New Roman"/>
          <w:sz w:val="17"/>
          <w:szCs w:val="17"/>
          <w:u w:val="single" w:color="auto"/>
          <w:color w:val="050505"/>
        </w:rPr>
        <w:t>FILING OF CURRENT REPORT</w:t>
      </w:r>
      <w:r>
        <w:rPr>
          <w:rFonts w:ascii="Times New Roman" w:cs="Times New Roman" w:eastAsia="Times New Roman" w:hAnsi="Times New Roman"/>
          <w:sz w:val="17"/>
          <w:szCs w:val="17"/>
          <w:color w:val="050505"/>
        </w:rPr>
        <w:t>. The Company agrees that it shall file a Current Report on Form 8-K, including the Transaction Documents as exhibits thereto, with the SEC within the time required by the Exchange Act, relating to the execution of the transactions contemplated by, and describing the material terms and conditions of, the Transaction Documents (the “</w:t>
      </w:r>
      <w:r>
        <w:rPr>
          <w:rFonts w:ascii="Times New Roman" w:cs="Times New Roman" w:eastAsia="Times New Roman" w:hAnsi="Times New Roman"/>
          <w:sz w:val="17"/>
          <w:szCs w:val="17"/>
          <w:u w:val="single" w:color="auto"/>
          <w:color w:val="050505"/>
        </w:rPr>
        <w:t>Current Report</w:t>
      </w:r>
      <w:r>
        <w:rPr>
          <w:rFonts w:ascii="Times New Roman" w:cs="Times New Roman" w:eastAsia="Times New Roman" w:hAnsi="Times New Roman"/>
          <w:sz w:val="17"/>
          <w:szCs w:val="17"/>
          <w:color w:val="050505"/>
        </w:rPr>
        <w:t>”). The Company shall use its reasonable best efforts to permit the Investor to review and comment upon the final pre-filing draft version of the Current Report at least two (2) Business Days prior to its filing with the SEC, and the Company shall give reasonable consideration to all such comments. The Investor shall use its reasonable best efforts to comment upon the final pre-filing draft version of the Current Report within one (1) Business Day from the date the Investor receives it from the Company.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50505"/>
        </w:rPr>
        <w:t xml:space="preserve">Section 6.3 </w:t>
      </w:r>
      <w:r>
        <w:rPr>
          <w:rFonts w:ascii="Times New Roman" w:cs="Times New Roman" w:eastAsia="Times New Roman" w:hAnsi="Times New Roman"/>
          <w:sz w:val="17"/>
          <w:szCs w:val="17"/>
          <w:u w:val="single" w:color="auto"/>
          <w:color w:val="050505"/>
        </w:rPr>
        <w:t>FILING OF REGISTRATION STATEMENT</w:t>
      </w:r>
      <w:r>
        <w:rPr>
          <w:rFonts w:ascii="Times New Roman" w:cs="Times New Roman" w:eastAsia="Times New Roman" w:hAnsi="Times New Roman"/>
          <w:sz w:val="17"/>
          <w:szCs w:val="17"/>
          <w:color w:val="050505"/>
        </w:rPr>
        <w:t>. The Company has prepared and filed a Registration Statement on Form S-3 with the SEC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accordance with the provisions of the Securities Act, which was declared effective by order of the SEC on October 31, 2023 (File No. 333-275112)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t>
      </w:r>
      <w:r>
        <w:rPr>
          <w:rFonts w:ascii="Times New Roman" w:cs="Times New Roman" w:eastAsia="Times New Roman" w:hAnsi="Times New Roman"/>
          <w:sz w:val="18"/>
          <w:szCs w:val="18"/>
          <w:u w:val="single" w:color="auto"/>
          <w:color w:val="050505"/>
        </w:rPr>
        <w:t>Base Registration Statement</w:t>
      </w:r>
      <w:r>
        <w:rPr>
          <w:rFonts w:ascii="Times New Roman" w:cs="Times New Roman" w:eastAsia="Times New Roman" w:hAnsi="Times New Roman"/>
          <w:sz w:val="18"/>
          <w:szCs w:val="18"/>
          <w:color w:val="050505"/>
        </w:rPr>
        <w:t>”). The Base Registration Statement is effective under the Securities Act and the Company has not received any written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that the SEC has issued or intends to issue a stop order or other similar order with respect to the Base Registration Statement or the prospectus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therein (the “</w:t>
      </w:r>
      <w:r>
        <w:rPr>
          <w:rFonts w:ascii="Times New Roman" w:cs="Times New Roman" w:eastAsia="Times New Roman" w:hAnsi="Times New Roman"/>
          <w:sz w:val="18"/>
          <w:szCs w:val="18"/>
          <w:u w:val="single" w:color="auto"/>
          <w:color w:val="050505"/>
        </w:rPr>
        <w:t>Prospectus</w:t>
      </w:r>
      <w:r>
        <w:rPr>
          <w:rFonts w:ascii="Times New Roman" w:cs="Times New Roman" w:eastAsia="Times New Roman" w:hAnsi="Times New Roman"/>
          <w:sz w:val="18"/>
          <w:szCs w:val="18"/>
          <w:color w:val="050505"/>
        </w:rPr>
        <w:t>”), or that the SEC otherwise has (i) suspended or withdrawn the effectiveness of the Base Registration Statement or (ii) issued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order preventing or suspending the use of the Prospectus or any prospectus supplement thereto, in either case, either temporarily or permanently or intends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0505"/>
        </w:rPr>
        <w:t>or has threatened in writing to do so. The “Plan of Distribution” section of the Prospectus permits the issuance of the Securities hereunder. The SEC has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notified the Company of any objection to the use of the form of the Base Registration Statement pursuant to Rule 401(g)(1) of the Securities Act.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Company was at the time of the filing of the Base Registration Statement eligible to use Form S-3. As of the Execution Date, the Company is currently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eligible to use the Base Registration Statement and, until the filing of the Company’s next annual report on Form 10-K, is not subject to the limitations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forth in General Instruction I.B.6 of Form S-3. All corporate action required to be taken for the authorization, issuance, and sale of the Securities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duly and validly taken. The Securities conform in all material respects to all statements with respect thereto contained in the Base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 Prospectus and the Prospectus Supplement (as defined below).</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050505"/>
        </w:rPr>
        <w:t>The Company shall file with the SEC, within two (2) Business Days (i) from the Execution Date, a prospectus supplement covering the offering and sale of the Securities (the “Prospectus Supplement”) and (ii) from the Closing Date, a prospectus supplement covering the sale of Common Stock pursuant to each Purchase Notice. The Prospectus Supplement shall relate to the transactions contemplated by, and describing the material terms and conditions of, this Agreement, containing required information previously omitted from the Prospectus at the time of effectiveness of the Base Registration Statement in reliance on Rule 430B under the Securities Act, and disclosing all information relating to the transactions contemplated hereby required to be disclosed in the Base Registration Statement and the Prospectus as of the date of the Prospectus Supplement, including, without limitation, information required to be disclosed in the section captioned “Plan of Distribution” in the Prospectus. The Company shall permit the Investor to review and comment upon the Prospectus Supplement within a reasonable time prior to their filing with the SEC and the Company shall give reasonable consideration to all such comments.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Prospectus Supplement, and shall otherwise cooperate with the Company as reasonably requested by the Company in connection with the preparation and filing of the Current Report and the Prospectus Supplement with the SEC. At the time of the filing of the Prospectus Supplement, the Company shall have no knowledge of any untrue statement (or alleged untrue statement) of a material fact in the Prospectus (as supplemented by the Prospectus Supplement) or omission (or alleged omission) of a material fact required to be stated therein or necessary to make the statements therein, in light of the circumstances under which they were made, not misleading, and there shall be no such untrue statement of material fact or omission in any effective registration statement filed or any post-effective amendment or prospectus which is a part of the foregoing. The Company shall promptly give the Investor notice of any event (including the passage of time) which makes the Prospectus not to be in compliance with Section 5(b) or 10 of the Securities Act and shall use its best efforts thereafter to file with the SEC any post-effective amendment to the Base Registration Statement, amended Prospectus or Prospectus Supplement in order to comply with Section 5(b) or 10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right="120" w:firstLine="324"/>
        <w:spacing w:after="0" w:line="312" w:lineRule="auto"/>
        <w:rPr>
          <w:sz w:val="20"/>
          <w:szCs w:val="20"/>
          <w:color w:val="auto"/>
        </w:rPr>
      </w:pPr>
      <w:r>
        <w:rPr>
          <w:rFonts w:ascii="Times New Roman" w:cs="Times New Roman" w:eastAsia="Times New Roman" w:hAnsi="Times New Roman"/>
          <w:sz w:val="17"/>
          <w:szCs w:val="17"/>
          <w:color w:val="050505"/>
        </w:rPr>
        <w:t xml:space="preserve">Section 6.4 </w:t>
      </w:r>
      <w:r>
        <w:rPr>
          <w:rFonts w:ascii="Times New Roman" w:cs="Times New Roman" w:eastAsia="Times New Roman" w:hAnsi="Times New Roman"/>
          <w:sz w:val="17"/>
          <w:szCs w:val="17"/>
          <w:u w:val="single" w:color="auto"/>
          <w:color w:val="050505"/>
        </w:rPr>
        <w:t>SHAREHOLDER APPROVAL</w:t>
      </w:r>
      <w:r>
        <w:rPr>
          <w:rFonts w:ascii="Times New Roman" w:cs="Times New Roman" w:eastAsia="Times New Roman" w:hAnsi="Times New Roman"/>
          <w:sz w:val="17"/>
          <w:szCs w:val="17"/>
          <w:color w:val="050505"/>
        </w:rPr>
        <w:t>. The Company will include a proposal in its next proxy statements seeking approval from its shareholders (the “</w:t>
      </w:r>
      <w:r>
        <w:rPr>
          <w:rFonts w:ascii="Times New Roman" w:cs="Times New Roman" w:eastAsia="Times New Roman" w:hAnsi="Times New Roman"/>
          <w:sz w:val="17"/>
          <w:szCs w:val="17"/>
          <w:u w:val="single" w:color="auto"/>
          <w:color w:val="050505"/>
        </w:rPr>
        <w:t>Shareholder Approval</w:t>
      </w:r>
      <w:r>
        <w:rPr>
          <w:rFonts w:ascii="Times New Roman" w:cs="Times New Roman" w:eastAsia="Times New Roman" w:hAnsi="Times New Roman"/>
          <w:sz w:val="17"/>
          <w:szCs w:val="17"/>
          <w:color w:val="050505"/>
        </w:rPr>
        <w:t>”) to approve the terms of this Agreement and the issuance of the Securities hereunder no later than May 31,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CONDITIONS TO DELIVERY OF PURCHASE NOTICE AND CONDITIONS TO CLOSING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 xml:space="preserve">Section 7.1 </w:t>
      </w:r>
      <w:r>
        <w:rPr>
          <w:rFonts w:ascii="Times New Roman" w:cs="Times New Roman" w:eastAsia="Times New Roman" w:hAnsi="Times New Roman"/>
          <w:sz w:val="18"/>
          <w:szCs w:val="18"/>
          <w:u w:val="single" w:color="auto"/>
          <w:color w:val="050505"/>
        </w:rPr>
        <w:t>CONDITIONS PRECEDENT TO THE OBLIGATION OF THE COMPANY TO ISSUE AND SELL SECURITIES</w:t>
      </w:r>
      <w:r>
        <w:rPr>
          <w:rFonts w:ascii="Times New Roman" w:cs="Times New Roman" w:eastAsia="Times New Roman" w:hAnsi="Times New Roman"/>
          <w:sz w:val="18"/>
          <w:szCs w:val="18"/>
          <w:color w:val="050505"/>
        </w:rPr>
        <w:t>. The obligation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Company to issue and sell the Securities to the Investor is subject to the satisfaction of each of the conditions set forth below:</w:t>
      </w:r>
    </w:p>
    <w:p>
      <w:pPr>
        <w:spacing w:after="0" w:line="207" w:lineRule="exact"/>
        <w:rPr>
          <w:sz w:val="20"/>
          <w:szCs w:val="20"/>
          <w:color w:val="auto"/>
        </w:rPr>
      </w:pPr>
    </w:p>
    <w:p>
      <w:pPr>
        <w:ind w:right="40" w:firstLine="656"/>
        <w:spacing w:after="0" w:line="282" w:lineRule="auto"/>
        <w:tabs>
          <w:tab w:leader="none" w:pos="892" w:val="left"/>
        </w:tabs>
        <w:numPr>
          <w:ilvl w:val="0"/>
          <w:numId w:val="8"/>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ACCURACY OF INVESTOR’S REPRESENTATIONS AND WARRANTIES</w:t>
      </w:r>
      <w:r>
        <w:rPr>
          <w:rFonts w:ascii="Times New Roman" w:cs="Times New Roman" w:eastAsia="Times New Roman" w:hAnsi="Times New Roman"/>
          <w:sz w:val="18"/>
          <w:szCs w:val="18"/>
          <w:color w:val="050505"/>
        </w:rPr>
        <w:t>. The representations and warranties of the Investor shall be true and correct in all material respects as of the Execution Date and as of the date of each Closing as though made at each such time.</w:t>
      </w:r>
    </w:p>
    <w:p>
      <w:pPr>
        <w:spacing w:after="0" w:line="161" w:lineRule="exact"/>
        <w:rPr>
          <w:rFonts w:ascii="Times New Roman" w:cs="Times New Roman" w:eastAsia="Times New Roman" w:hAnsi="Times New Roman"/>
          <w:sz w:val="18"/>
          <w:szCs w:val="18"/>
          <w:color w:val="050505"/>
        </w:rPr>
      </w:pPr>
    </w:p>
    <w:p>
      <w:pPr>
        <w:ind w:right="200" w:firstLine="980"/>
        <w:spacing w:after="0" w:line="282" w:lineRule="auto"/>
        <w:tabs>
          <w:tab w:leader="none" w:pos="1227" w:val="left"/>
        </w:tabs>
        <w:numPr>
          <w:ilvl w:val="1"/>
          <w:numId w:val="8"/>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PERFORMANCE BY INVESTOR</w:t>
      </w:r>
      <w:r>
        <w:rPr>
          <w:rFonts w:ascii="Times New Roman" w:cs="Times New Roman" w:eastAsia="Times New Roman" w:hAnsi="Times New Roman"/>
          <w:sz w:val="18"/>
          <w:szCs w:val="18"/>
          <w:color w:val="050505"/>
        </w:rPr>
        <w:t>. Investor shall have performed, satisfied and complied in all respects with all covenants, agreements and conditions required by this Agreement to be performed, satisfied or complied with by the Investor at or prior to each Closing.</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7.2 </w:t>
      </w:r>
      <w:r>
        <w:rPr>
          <w:rFonts w:ascii="Times New Roman" w:cs="Times New Roman" w:eastAsia="Times New Roman" w:hAnsi="Times New Roman"/>
          <w:sz w:val="18"/>
          <w:szCs w:val="18"/>
          <w:u w:val="single" w:color="auto"/>
          <w:color w:val="050505"/>
        </w:rPr>
        <w:t>CONDITIONS PRECEDENT TO THE OBLIGATION OF INVESTOR TO PURCHASE THE PURCHASE NOTICE SHARES AND</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u w:val="single" w:color="auto"/>
          <w:color w:val="050505"/>
        </w:rPr>
        <w:t>BACKSTOP SHARES</w:t>
      </w:r>
      <w:r>
        <w:rPr>
          <w:rFonts w:ascii="Times New Roman" w:cs="Times New Roman" w:eastAsia="Times New Roman" w:hAnsi="Times New Roman"/>
          <w:sz w:val="18"/>
          <w:szCs w:val="18"/>
          <w:color w:val="050505"/>
        </w:rPr>
        <w:t>. The obligation of the Investor hereunder to purchase the Purchase Notice Shares and any Backstop Shares is subject to the satisfaction of each of the following conditions:</w:t>
      </w:r>
    </w:p>
    <w:p>
      <w:pPr>
        <w:spacing w:after="0" w:line="176" w:lineRule="exact"/>
        <w:rPr>
          <w:sz w:val="20"/>
          <w:szCs w:val="20"/>
          <w:color w:val="auto"/>
        </w:rPr>
      </w:pPr>
    </w:p>
    <w:p>
      <w:pPr>
        <w:ind w:firstLine="656"/>
        <w:spacing w:after="0" w:line="255" w:lineRule="auto"/>
        <w:tabs>
          <w:tab w:leader="none" w:pos="892"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EFFECTIVE REGISTRATION STATEMENT</w:t>
      </w:r>
      <w:r>
        <w:rPr>
          <w:rFonts w:ascii="Times New Roman" w:cs="Times New Roman" w:eastAsia="Times New Roman" w:hAnsi="Times New Roman"/>
          <w:sz w:val="18"/>
          <w:szCs w:val="18"/>
          <w:color w:val="050505"/>
        </w:rPr>
        <w:t>. The Registration Statement, and any amendment or supplement thereto, shall remain effective for the offering and sale of the Purchase Notice Shares and any Backstop Shares and (i) the Company shall not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(ii) no other suspension of the use of, or withdrawal of the effectiveness of, such Registration Statement or the Prospectus shall exist. The Investor shall not have received any notice from the Company that the Registration Statement, Prospectus and/or any prospectus supplement or amendment thereto fails to meet the requirements of Section 5(b) or Section 10 of the Securities Act.</w:t>
      </w:r>
    </w:p>
    <w:p>
      <w:pPr>
        <w:spacing w:after="0" w:line="188" w:lineRule="exact"/>
        <w:rPr>
          <w:rFonts w:ascii="Times New Roman" w:cs="Times New Roman" w:eastAsia="Times New Roman" w:hAnsi="Times New Roman"/>
          <w:sz w:val="18"/>
          <w:szCs w:val="18"/>
          <w:color w:val="050505"/>
        </w:rPr>
      </w:pPr>
    </w:p>
    <w:p>
      <w:pPr>
        <w:ind w:right="60" w:firstLine="656"/>
        <w:spacing w:after="0" w:line="266" w:lineRule="auto"/>
        <w:tabs>
          <w:tab w:leader="none" w:pos="903"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ACCURACY OF THE COMPANY’S REPRESENTATIONS AND WARRANTIES</w:t>
      </w:r>
      <w:r>
        <w:rPr>
          <w:rFonts w:ascii="Times New Roman" w:cs="Times New Roman" w:eastAsia="Times New Roman" w:hAnsi="Times New Roman"/>
          <w:sz w:val="18"/>
          <w:szCs w:val="18"/>
          <w:color w:val="050505"/>
        </w:rPr>
        <w:t>. The representations and warranties of the Company shall be true and correct in all material respects as of the date of this Agreement and as of the date of each Closing (except for representations and warranties specifically made as of a particular date).</w:t>
      </w:r>
    </w:p>
    <w:p>
      <w:pPr>
        <w:spacing w:after="0" w:line="175" w:lineRule="exact"/>
        <w:rPr>
          <w:rFonts w:ascii="Times New Roman" w:cs="Times New Roman" w:eastAsia="Times New Roman" w:hAnsi="Times New Roman"/>
          <w:sz w:val="18"/>
          <w:szCs w:val="18"/>
          <w:color w:val="050505"/>
        </w:rPr>
      </w:pPr>
    </w:p>
    <w:p>
      <w:pPr>
        <w:ind w:right="740" w:firstLine="656"/>
        <w:spacing w:after="0" w:line="282" w:lineRule="auto"/>
        <w:tabs>
          <w:tab w:leader="none" w:pos="892"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PERFORMANCE BY THE COMPANY</w:t>
      </w:r>
      <w:r>
        <w:rPr>
          <w:rFonts w:ascii="Times New Roman" w:cs="Times New Roman" w:eastAsia="Times New Roman" w:hAnsi="Times New Roman"/>
          <w:sz w:val="18"/>
          <w:szCs w:val="18"/>
          <w:color w:val="050505"/>
        </w:rPr>
        <w:t>. The Company shall have performed, satisfied and complied in all material respects with all covenants, agreements and conditions required by this Agreement to be performed, satisfied or complied with by the Company.</w:t>
      </w:r>
    </w:p>
    <w:p>
      <w:pPr>
        <w:spacing w:after="0" w:line="161" w:lineRule="exact"/>
        <w:rPr>
          <w:rFonts w:ascii="Times New Roman" w:cs="Times New Roman" w:eastAsia="Times New Roman" w:hAnsi="Times New Roman"/>
          <w:sz w:val="18"/>
          <w:szCs w:val="18"/>
          <w:color w:val="050505"/>
        </w:rPr>
      </w:pPr>
    </w:p>
    <w:p>
      <w:pPr>
        <w:jc w:val="both"/>
        <w:ind w:right="20" w:firstLine="656"/>
        <w:spacing w:after="0" w:line="261" w:lineRule="auto"/>
        <w:tabs>
          <w:tab w:leader="none" w:pos="903" w:val="left"/>
        </w:tabs>
        <w:numPr>
          <w:ilvl w:val="0"/>
          <w:numId w:val="9"/>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 INJUNCTION</w:t>
      </w:r>
      <w:r>
        <w:rPr>
          <w:rFonts w:ascii="Times New Roman" w:cs="Times New Roman" w:eastAsia="Times New Roman" w:hAnsi="Times New Roman"/>
          <w:sz w:val="18"/>
          <w:szCs w:val="18"/>
          <w:color w:val="050505"/>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56" w:right="140" w:firstLine="656"/>
        <w:spacing w:after="0" w:line="282" w:lineRule="auto"/>
        <w:tabs>
          <w:tab w:leader="none" w:pos="236" w:val="left"/>
        </w:tabs>
        <w:numPr>
          <w:ilvl w:val="0"/>
          <w:numId w:val="10"/>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ADVERSE CHANGES</w:t>
      </w:r>
      <w:r>
        <w:rPr>
          <w:rFonts w:ascii="Times New Roman" w:cs="Times New Roman" w:eastAsia="Times New Roman" w:hAnsi="Times New Roman"/>
          <w:sz w:val="18"/>
          <w:szCs w:val="18"/>
          <w:color w:val="050505"/>
        </w:rPr>
        <w:t>. Since the date of filing of the Company’s most recent SEC Documents, the Company shall have disclosed any event that had or is reasonably likely to have a Material Adverse Effect.</w:t>
      </w:r>
    </w:p>
    <w:p>
      <w:pPr>
        <w:spacing w:after="0" w:line="161" w:lineRule="exact"/>
        <w:rPr>
          <w:rFonts w:ascii="Times New Roman" w:cs="Times New Roman" w:eastAsia="Times New Roman" w:hAnsi="Times New Roman"/>
          <w:sz w:val="18"/>
          <w:szCs w:val="18"/>
          <w:color w:val="050505"/>
        </w:rPr>
      </w:pPr>
    </w:p>
    <w:p>
      <w:pPr>
        <w:ind w:left="-656" w:firstLine="656"/>
        <w:spacing w:after="0" w:line="277" w:lineRule="auto"/>
        <w:tabs>
          <w:tab w:leader="none" w:pos="217" w:val="left"/>
        </w:tabs>
        <w:numPr>
          <w:ilvl w:val="0"/>
          <w:numId w:val="10"/>
        </w:numPr>
        <w:rPr>
          <w:rFonts w:ascii="Times New Roman" w:cs="Times New Roman" w:eastAsia="Times New Roman" w:hAnsi="Times New Roman"/>
          <w:sz w:val="17"/>
          <w:szCs w:val="17"/>
          <w:color w:val="050505"/>
        </w:rPr>
      </w:pPr>
      <w:r>
        <w:rPr>
          <w:rFonts w:ascii="Times New Roman" w:cs="Times New Roman" w:eastAsia="Times New Roman" w:hAnsi="Times New Roman"/>
          <w:sz w:val="17"/>
          <w:szCs w:val="17"/>
          <w:u w:val="single" w:color="auto"/>
          <w:color w:val="050505"/>
        </w:rPr>
        <w:t>NO SUSPENSION OF TRADING IN OR DELISTING OF COMMON STOCK</w:t>
      </w:r>
      <w:r>
        <w:rPr>
          <w:rFonts w:ascii="Times New Roman" w:cs="Times New Roman" w:eastAsia="Times New Roman" w:hAnsi="Times New Roman"/>
          <w:sz w:val="17"/>
          <w:szCs w:val="17"/>
          <w:color w:val="050505"/>
        </w:rPr>
        <w:t xml:space="preserve">. The trading of the Common Stock shall not have been suspended by the SEC or the Principal Market, or otherwise halted for any reason, and the Common Stock shall have been approved for listing or quotation on and shall not have been delisted from or no longer quoted on the Principal Market. In the event of a suspension, delisting, or halting for any reason, of the trading of the Common Stock, as contemplated by this </w:t>
      </w:r>
      <w:r>
        <w:rPr>
          <w:rFonts w:ascii="Times New Roman" w:cs="Times New Roman" w:eastAsia="Times New Roman" w:hAnsi="Times New Roman"/>
          <w:sz w:val="17"/>
          <w:szCs w:val="17"/>
          <w:u w:val="single" w:color="auto"/>
          <w:color w:val="050505"/>
        </w:rPr>
        <w:t>Section 7.2(f)</w:t>
      </w:r>
      <w:r>
        <w:rPr>
          <w:rFonts w:ascii="Times New Roman" w:cs="Times New Roman" w:eastAsia="Times New Roman" w:hAnsi="Times New Roman"/>
          <w:sz w:val="17"/>
          <w:szCs w:val="17"/>
          <w:color w:val="050505"/>
        </w:rPr>
        <w:t>, the Investor shall have the right to return to the Company any amount of Purchase Notice Shares associated with such Purchase Notice, and the Investment Amount with respect to such Purchase Notice shall be refunded accordingly.</w:t>
      </w:r>
    </w:p>
    <w:p>
      <w:pPr>
        <w:spacing w:after="0" w:line="167" w:lineRule="exact"/>
        <w:rPr>
          <w:rFonts w:ascii="Times New Roman" w:cs="Times New Roman" w:eastAsia="Times New Roman" w:hAnsi="Times New Roman"/>
          <w:sz w:val="17"/>
          <w:szCs w:val="17"/>
          <w:color w:val="050505"/>
        </w:rPr>
      </w:pPr>
    </w:p>
    <w:p>
      <w:pPr>
        <w:ind w:left="-656" w:right="20" w:firstLine="656"/>
        <w:spacing w:after="0" w:line="253" w:lineRule="auto"/>
        <w:tabs>
          <w:tab w:leader="none" w:pos="247" w:val="left"/>
        </w:tabs>
        <w:numPr>
          <w:ilvl w:val="0"/>
          <w:numId w:val="10"/>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xml:space="preserve">. The number of Purchase Notice Shares and/or Backstop Shares then to be purchased by the Investor shall not exceed the number of such shares that, when aggregated with all other shares of Common Stock then owned by the Investor beneficially or deemed beneficially owned by the Investor, would result in the Investor owning more than the Beneficial Ownership Limitation (as defined below), as determined in accordance with Section 13 of the Exchange Act. For purposes of this </w:t>
      </w:r>
      <w:r>
        <w:rPr>
          <w:rFonts w:ascii="Times New Roman" w:cs="Times New Roman" w:eastAsia="Times New Roman" w:hAnsi="Times New Roman"/>
          <w:sz w:val="18"/>
          <w:szCs w:val="18"/>
          <w:u w:val="single" w:color="auto"/>
          <w:color w:val="050505"/>
        </w:rPr>
        <w:t>Section 7.2(g)</w:t>
      </w:r>
      <w:r>
        <w:rPr>
          <w:rFonts w:ascii="Times New Roman" w:cs="Times New Roman" w:eastAsia="Times New Roman" w:hAnsi="Times New Roman"/>
          <w:sz w:val="18"/>
          <w:szCs w:val="18"/>
          <w:color w:val="050505"/>
        </w:rPr>
        <w:t>, if the amount of Common Stock outstanding is greater or lesser on a Closing Date than on the date upon which the Purchase Notice associated with such Closing Date is given, the amount of Common Stock outstanding on such issuance of a Purchase Notice shall govern for purposes of determining whether the Investor, when aggregating all purchases of Common Stock made pursuant to this Agreement, would own more than the Beneficial Ownership Limitation following a purchase on any such Closing Date. The “</w:t>
      </w:r>
      <w:r>
        <w:rPr>
          <w:rFonts w:ascii="Times New Roman" w:cs="Times New Roman" w:eastAsia="Times New Roman" w:hAnsi="Times New Roman"/>
          <w:sz w:val="18"/>
          <w:szCs w:val="18"/>
          <w:u w:val="single" w:color="auto"/>
          <w:color w:val="050505"/>
        </w:rPr>
        <w:t>Beneficial Ownership Limitation</w:t>
      </w:r>
      <w:r>
        <w:rPr>
          <w:rFonts w:ascii="Times New Roman" w:cs="Times New Roman" w:eastAsia="Times New Roman" w:hAnsi="Times New Roman"/>
          <w:sz w:val="18"/>
          <w:szCs w:val="18"/>
          <w:color w:val="050505"/>
        </w:rPr>
        <w:t>” shall be 9.99% of the number of shares of the Common Stock outstanding immediately prior to the issuance of shares of Common Stock issuable pursuant to a Purchase Notice. To the extent that the Beneficial Ownership Limitation would be exceeded in connection with a Closing, the number of shares of Common Stock issuable to the Investor shall be reduced so it does not exceed the Beneficial Ownership Limitation, unless waived by the Investor.</w:t>
      </w:r>
    </w:p>
    <w:p>
      <w:pPr>
        <w:spacing w:after="0" w:line="191" w:lineRule="exact"/>
        <w:rPr>
          <w:rFonts w:ascii="Times New Roman" w:cs="Times New Roman" w:eastAsia="Times New Roman" w:hAnsi="Times New Roman"/>
          <w:sz w:val="18"/>
          <w:szCs w:val="18"/>
          <w:color w:val="050505"/>
        </w:rPr>
      </w:pPr>
    </w:p>
    <w:p>
      <w:pPr>
        <w:ind w:left="-656" w:right="60" w:firstLine="656"/>
        <w:spacing w:after="0" w:line="256" w:lineRule="auto"/>
        <w:tabs>
          <w:tab w:leader="none" w:pos="247" w:val="left"/>
        </w:tabs>
        <w:numPr>
          <w:ilvl w:val="0"/>
          <w:numId w:val="10"/>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PRINCIPAL MARKET REGULATION</w:t>
      </w:r>
      <w:r>
        <w:rPr>
          <w:rFonts w:ascii="Times New Roman" w:cs="Times New Roman" w:eastAsia="Times New Roman" w:hAnsi="Times New Roman"/>
          <w:sz w:val="18"/>
          <w:szCs w:val="18"/>
          <w:color w:val="050505"/>
        </w:rPr>
        <w:t>. The issuance of the Purchase Notice Shares shall not exceed the Exchange Cap if applicable, subject to appropriate adjustment for any stock dividend, stock split, stock combination, rights offerings, reclassification or similar transaction that proportionately decreases or increases the Common Stock) unless Shareholder Approval is obtained, provided further that, the Exchange Cap will not apply solely to the extent that (and only for so long as) the Purchase Price shall equal or exceed the Minimum Price (it being hereby acknowledged and agreed that the Exchange Cap shall be applicable for all purposes of this Agreement and the transactions contemplated hereby at all other times during the term of this Agreement, unless the Shareholder Approval referred to above is obtained or the issuance is pursuant to Section 2.1(b)).</w:t>
      </w:r>
    </w:p>
    <w:p>
      <w:pPr>
        <w:spacing w:after="0" w:line="187" w:lineRule="exact"/>
        <w:rPr>
          <w:rFonts w:ascii="Times New Roman" w:cs="Times New Roman" w:eastAsia="Times New Roman" w:hAnsi="Times New Roman"/>
          <w:sz w:val="18"/>
          <w:szCs w:val="18"/>
          <w:color w:val="050505"/>
        </w:rPr>
      </w:pPr>
    </w:p>
    <w:p>
      <w:pPr>
        <w:jc w:val="both"/>
        <w:ind w:left="-656" w:firstLine="656"/>
        <w:spacing w:after="0" w:line="261" w:lineRule="auto"/>
        <w:tabs>
          <w:tab w:leader="none" w:pos="207" w:val="left"/>
        </w:tabs>
        <w:numPr>
          <w:ilvl w:val="0"/>
          <w:numId w:val="10"/>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 KNOWLEDGE</w:t>
      </w:r>
      <w:r>
        <w:rPr>
          <w:rFonts w:ascii="Times New Roman" w:cs="Times New Roman" w:eastAsia="Times New Roman" w:hAnsi="Times New Roman"/>
          <w:sz w:val="18"/>
          <w:szCs w:val="18"/>
          <w:color w:val="050505"/>
        </w:rPr>
        <w:t>. The Company shall have no knowledge of any event more likely than not to have the effect of causing the effectiveness of the Registration Statement to be suspended or the Prospectus or any prospectus supplement thereto failing to meet the requirement of Sections 5(b) or 10 of the Securities Act (which event is more likely than not to occur within the fifteen (15) Business Days following the Business Day on which such Purchase Notice is deemed delivered).</w:t>
      </w:r>
    </w:p>
    <w:p>
      <w:pPr>
        <w:spacing w:after="0" w:line="180" w:lineRule="exact"/>
        <w:rPr>
          <w:sz w:val="20"/>
          <w:szCs w:val="20"/>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DWAC ELIGIBLE</w:t>
      </w:r>
      <w:r>
        <w:rPr>
          <w:rFonts w:ascii="Times New Roman" w:cs="Times New Roman" w:eastAsia="Times New Roman" w:hAnsi="Times New Roman"/>
          <w:sz w:val="18"/>
          <w:szCs w:val="18"/>
          <w:color w:val="050505"/>
        </w:rPr>
        <w:t>. The Common Stock must be DWAC Eligible and not subject to a “</w:t>
      </w:r>
      <w:r>
        <w:rPr>
          <w:rFonts w:ascii="Times New Roman" w:cs="Times New Roman" w:eastAsia="Times New Roman" w:hAnsi="Times New Roman"/>
          <w:sz w:val="18"/>
          <w:szCs w:val="18"/>
          <w:u w:val="single" w:color="auto"/>
          <w:color w:val="050505"/>
        </w:rPr>
        <w:t>DTC chill</w:t>
      </w:r>
      <w:r>
        <w:rPr>
          <w:rFonts w:ascii="Times New Roman" w:cs="Times New Roman" w:eastAsia="Times New Roman" w:hAnsi="Times New Roman"/>
          <w:sz w:val="18"/>
          <w:szCs w:val="18"/>
          <w:color w:val="050505"/>
        </w:rPr>
        <w:t>”.</w:t>
      </w:r>
    </w:p>
    <w:p>
      <w:pPr>
        <w:spacing w:after="0" w:line="225" w:lineRule="exact"/>
        <w:rPr>
          <w:rFonts w:ascii="Times New Roman" w:cs="Times New Roman" w:eastAsia="Times New Roman" w:hAnsi="Times New Roman"/>
          <w:sz w:val="18"/>
          <w:szCs w:val="18"/>
          <w:color w:val="050505"/>
        </w:rPr>
      </w:pPr>
    </w:p>
    <w:p>
      <w:pPr>
        <w:ind w:left="-656" w:right="200" w:firstLine="656"/>
        <w:spacing w:after="0" w:line="282" w:lineRule="auto"/>
        <w:tabs>
          <w:tab w:leader="none" w:pos="207" w:val="left"/>
        </w:tabs>
        <w:numPr>
          <w:ilvl w:val="0"/>
          <w:numId w:val="1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SEC DOCUMENTS</w:t>
      </w:r>
      <w:r>
        <w:rPr>
          <w:rFonts w:ascii="Times New Roman" w:cs="Times New Roman" w:eastAsia="Times New Roman" w:hAnsi="Times New Roman"/>
          <w:sz w:val="18"/>
          <w:szCs w:val="18"/>
          <w:color w:val="050505"/>
        </w:rPr>
        <w:t>. All reports, schedules, registrations, forms, statements, information and other documents required to have been filed by the Company with the SEC pursuant to the reporting requirements of the Exchange Act shall have been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050505"/>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LEGENDS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 xml:space="preserve">Section 8.1 </w:t>
      </w:r>
      <w:r>
        <w:rPr>
          <w:rFonts w:ascii="Times New Roman" w:cs="Times New Roman" w:eastAsia="Times New Roman" w:hAnsi="Times New Roman"/>
          <w:sz w:val="18"/>
          <w:szCs w:val="18"/>
          <w:u w:val="single" w:color="auto"/>
          <w:color w:val="050505"/>
        </w:rPr>
        <w:t>NO RESTRICTIVE STOCK LEGEND</w:t>
      </w:r>
      <w:r>
        <w:rPr>
          <w:rFonts w:ascii="Times New Roman" w:cs="Times New Roman" w:eastAsia="Times New Roman" w:hAnsi="Times New Roman"/>
          <w:sz w:val="18"/>
          <w:szCs w:val="18"/>
          <w:color w:val="050505"/>
        </w:rPr>
        <w:t>. No restrictive stock legend shall be placed on the share certificates representing the Securities.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8.2 </w:t>
      </w:r>
      <w:r>
        <w:rPr>
          <w:rFonts w:ascii="Times New Roman" w:cs="Times New Roman" w:eastAsia="Times New Roman" w:hAnsi="Times New Roman"/>
          <w:sz w:val="18"/>
          <w:szCs w:val="18"/>
          <w:u w:val="single" w:color="auto"/>
          <w:color w:val="050505"/>
        </w:rPr>
        <w:t>INVESTOR’S COMPLIANCE</w:t>
      </w:r>
      <w:r>
        <w:rPr>
          <w:rFonts w:ascii="Times New Roman" w:cs="Times New Roman" w:eastAsia="Times New Roman" w:hAnsi="Times New Roman"/>
          <w:sz w:val="18"/>
          <w:szCs w:val="18"/>
          <w:color w:val="050505"/>
        </w:rPr>
        <w:t>. Nothing in this Article VIII shall affect in any way the Investor’s obligations hereunder to comply with all applicable securities laws upon the sale of the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INDEMNIFICATION</w:t>
      </w:r>
    </w:p>
    <w:p>
      <w:pPr>
        <w:spacing w:after="0" w:line="20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050505"/>
        </w:rPr>
        <w:t xml:space="preserve">Section 9.1 </w:t>
      </w:r>
      <w:r>
        <w:rPr>
          <w:rFonts w:ascii="Times New Roman" w:cs="Times New Roman" w:eastAsia="Times New Roman" w:hAnsi="Times New Roman"/>
          <w:sz w:val="18"/>
          <w:szCs w:val="18"/>
          <w:u w:val="single" w:color="auto"/>
          <w:color w:val="050505"/>
        </w:rPr>
        <w:t>INDEMNIFICATION</w:t>
      </w:r>
      <w:r>
        <w:rPr>
          <w:rFonts w:ascii="Times New Roman" w:cs="Times New Roman" w:eastAsia="Times New Roman" w:hAnsi="Times New Roman"/>
          <w:sz w:val="18"/>
          <w:szCs w:val="18"/>
          <w:color w:val="050505"/>
        </w:rPr>
        <w:t>. Each party (an “</w:t>
      </w:r>
      <w:r>
        <w:rPr>
          <w:rFonts w:ascii="Times New Roman" w:cs="Times New Roman" w:eastAsia="Times New Roman" w:hAnsi="Times New Roman"/>
          <w:sz w:val="18"/>
          <w:szCs w:val="18"/>
          <w:u w:val="single" w:color="auto"/>
          <w:color w:val="050505"/>
        </w:rPr>
        <w:t>Indemnifying Party</w:t>
      </w:r>
      <w:r>
        <w:rPr>
          <w:rFonts w:ascii="Times New Roman" w:cs="Times New Roman" w:eastAsia="Times New Roman" w:hAnsi="Times New Roman"/>
          <w:sz w:val="18"/>
          <w:szCs w:val="18"/>
          <w:color w:val="050505"/>
        </w:rPr>
        <w:t>”) agrees to indemnify and hold harmless the other party along with its officers, directors, employees, and authorized agents (an “</w:t>
      </w:r>
      <w:r>
        <w:rPr>
          <w:rFonts w:ascii="Times New Roman" w:cs="Times New Roman" w:eastAsia="Times New Roman" w:hAnsi="Times New Roman"/>
          <w:sz w:val="18"/>
          <w:szCs w:val="18"/>
          <w:u w:val="single" w:color="auto"/>
          <w:color w:val="050505"/>
        </w:rPr>
        <w:t>Indemnified Party</w:t>
      </w:r>
      <w:r>
        <w:rPr>
          <w:rFonts w:ascii="Times New Roman" w:cs="Times New Roman" w:eastAsia="Times New Roman" w:hAnsi="Times New Roman"/>
          <w:sz w:val="18"/>
          <w:szCs w:val="18"/>
          <w:color w:val="050505"/>
        </w:rPr>
        <w:t>”) from and against any claim or suit by third parties for Damages resulting from or arising out of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Prospectus,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by the Indemnifying Party of the Securities Act, the Exchange Act, any state securities law or any rule or regulation under the Securities Act, the Exchange Act or any state securities law, as such Damages are incurred by the Indemnified Party except to the extent that such Damages result primarily from the Indemnified Party’s failure to perform any covenant or agreement contained in this Agreement or the Indemnified Party’s negligent, recklessness or willful misconduct; provided, however, that the foregoing indemnity agreement shall not apply to any Damages of the Investor to the extent, but only to the extent, arising out of or based upon any untrue statement or alleged untrue statement or omission or alleged omission made by the Company in reliance upon and in conformity with information furnished to the Company by the Investor for use in the Registration Statement, any post-effective amendment thereof, Prospectus, or any preliminary prospectus or final prospectus (as amended or supplemented).</w:t>
      </w:r>
    </w:p>
    <w:p>
      <w:pPr>
        <w:spacing w:after="0" w:line="19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050505"/>
        </w:rPr>
        <w:t xml:space="preserve">Section 9.2 </w:t>
      </w:r>
      <w:r>
        <w:rPr>
          <w:rFonts w:ascii="Times New Roman" w:cs="Times New Roman" w:eastAsia="Times New Roman" w:hAnsi="Times New Roman"/>
          <w:sz w:val="18"/>
          <w:szCs w:val="18"/>
          <w:u w:val="single" w:color="auto"/>
          <w:color w:val="050505"/>
        </w:rPr>
        <w:t>PROCEDURES</w:t>
      </w:r>
      <w:r>
        <w:rPr>
          <w:rFonts w:ascii="Times New Roman" w:cs="Times New Roman" w:eastAsia="Times New Roman" w:hAnsi="Times New Roman"/>
          <w:sz w:val="18"/>
          <w:szCs w:val="18"/>
          <w:color w:val="050505"/>
        </w:rPr>
        <w:t>. Promptly after receipt by an Indemnified Party of notice of the commencement of any claim or suit for which indemnification may be available pursuant here to, such Indemnified Party shall, if a claim in respect thereof is to be made against any Indemnifying Party hereunder, deliver to the Indemnifying Party a written notice of the commencement thereof; but the failure to so notify the Indemnifying Party will not relieve it of liability under this Article IX except to the extent the Indemnifying Party is prejudiced by such failure. The Indemnifying Party shall have the right to participate in, and, to the extent the Indemnifying Party so desires to assume control of the defense thereof with counsel mutually reasonably satisfactory to the Indemnified Party; provided, however, that the Indemnified Party shall have the right to retain its own counsel with the actual and reasonable third party fees and expenses of not more than one counsel for the Indemnified Party to be paid by the indemnifying party, if, in the reasonable opinion of counsel retained by the Indemnifying Party, the representation by such counsel of the Indemnified Party and the Indemnifying Party would be inappropriate due to actual or potential differing interests between the Indemnified Party and any other party represented by such counsel in such proceeding. The Indemnified Party shall cooperate fully with the Indemnifying Party in connection with any negotiation or defense of any such action or claim by the Indemnifying Party and shall furnish to the Indemnifying Party all information reasonably available to Indemnified Party which relates to such action or claim. The Indemnifying Party shall keep the Indemnified Party reasonably apprised as to the status of the defense or any settlement negotiations with respect thereto. No Indemnifying Party shall be liable for any settlement of any action, claim or proceeding effected without its prior written consent. No Indemnifying Party shall, without the prior written consent of the Indemnified Party, consent to entry of any judgment or enter into any settlement or other compromise which does not include as an unconditional term thereof the giving by the claimant or plaintiff to the Indemnified Party of a release from all liability in respect to such claim or litigation. Following indemnification as provided for hereunder, the Indemnifying Party shall be subrogated to all rights of the Indemnified Party with respect to all third parties, firms or corporations relating to the matter for which indemnification has been made. The indemnification required by this Section 9.2 shall be made by periodic payments of the amount thereof during the course of the investigation or defense, as and when bills are received and payment therefor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color w:val="050505"/>
        </w:rPr>
        <w:t>ARTICLE 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50505"/>
        </w:rPr>
        <w:t>MISCELLANEOUS</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10.1 </w:t>
      </w:r>
      <w:r>
        <w:rPr>
          <w:rFonts w:ascii="Times New Roman" w:cs="Times New Roman" w:eastAsia="Times New Roman" w:hAnsi="Times New Roman"/>
          <w:sz w:val="18"/>
          <w:szCs w:val="18"/>
          <w:u w:val="single" w:color="auto"/>
          <w:color w:val="050505"/>
        </w:rPr>
        <w:t>FORCE MAJEURE</w:t>
      </w:r>
      <w:r>
        <w:rPr>
          <w:rFonts w:ascii="Times New Roman" w:cs="Times New Roman" w:eastAsia="Times New Roman" w:hAnsi="Times New Roman"/>
          <w:sz w:val="18"/>
          <w:szCs w:val="18"/>
          <w:color w:val="050505"/>
        </w:rPr>
        <w:t>. NO PARTY shall be liable for any failure to fulfill its obligations hereunder due to causes beyond its reasonable control, including but not limited to acts of God, epidemic or pandemic, natural disaster, labor disturbances, terrorist attack, riots or wars, and any action taken, or restrictions or limitations imposed, by government or public authorities.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10.2 </w:t>
      </w:r>
      <w:r>
        <w:rPr>
          <w:rFonts w:ascii="Times New Roman" w:cs="Times New Roman" w:eastAsia="Times New Roman" w:hAnsi="Times New Roman"/>
          <w:sz w:val="18"/>
          <w:szCs w:val="18"/>
          <w:u w:val="single" w:color="auto"/>
          <w:color w:val="050505"/>
        </w:rPr>
        <w:t>GOVERNING LAW</w:t>
      </w:r>
      <w:r>
        <w:rPr>
          <w:rFonts w:ascii="Times New Roman" w:cs="Times New Roman" w:eastAsia="Times New Roman" w:hAnsi="Times New Roman"/>
          <w:sz w:val="18"/>
          <w:szCs w:val="18"/>
          <w:color w:val="050505"/>
        </w:rPr>
        <w:t>. This Agreement shall be governed by and interpreted in accordance with the laws of the State of California without regard to the principles of conflicts of law.</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10.3 </w:t>
      </w:r>
      <w:r>
        <w:rPr>
          <w:rFonts w:ascii="Times New Roman" w:cs="Times New Roman" w:eastAsia="Times New Roman" w:hAnsi="Times New Roman"/>
          <w:sz w:val="18"/>
          <w:szCs w:val="18"/>
          <w:u w:val="single" w:color="auto"/>
          <w:color w:val="050505"/>
        </w:rPr>
        <w:t>ASSIGNMENT</w:t>
      </w:r>
      <w:r>
        <w:rPr>
          <w:rFonts w:ascii="Times New Roman" w:cs="Times New Roman" w:eastAsia="Times New Roman" w:hAnsi="Times New Roman"/>
          <w:sz w:val="18"/>
          <w:szCs w:val="18"/>
          <w:color w:val="050505"/>
        </w:rPr>
        <w:t>. The Transaction Documents shall be binding upon and inure to the benefit of the Company and the Investor and their respective successors. Neither any of the Transaction Documents nor any rights of the Investor or the Company hereunder may be assigned by either Party to any other Person.</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10.4 </w:t>
      </w:r>
      <w:r>
        <w:rPr>
          <w:rFonts w:ascii="Times New Roman" w:cs="Times New Roman" w:eastAsia="Times New Roman" w:hAnsi="Times New Roman"/>
          <w:sz w:val="18"/>
          <w:szCs w:val="18"/>
          <w:u w:val="single" w:color="auto"/>
          <w:color w:val="050505"/>
        </w:rPr>
        <w:t>NO THIRD-PARTY BENEFICIARIES</w:t>
      </w:r>
      <w:r>
        <w:rPr>
          <w:rFonts w:ascii="Times New Roman" w:cs="Times New Roman" w:eastAsia="Times New Roman" w:hAnsi="Times New Roman"/>
          <w:sz w:val="18"/>
          <w:szCs w:val="18"/>
          <w:color w:val="050505"/>
        </w:rPr>
        <w:t>. This Agreement is intended for the benefit of the Company and the Investor and their respective successors, and is not for the benefit of, nor may any provision hereof be enforced by, any other Person, except as contemplated by Article XI.</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10.5 </w:t>
      </w:r>
      <w:r>
        <w:rPr>
          <w:rFonts w:ascii="Times New Roman" w:cs="Times New Roman" w:eastAsia="Times New Roman" w:hAnsi="Times New Roman"/>
          <w:sz w:val="18"/>
          <w:szCs w:val="18"/>
          <w:u w:val="single" w:color="auto"/>
          <w:color w:val="050505"/>
        </w:rPr>
        <w:t>TERMINATION</w:t>
      </w:r>
      <w:r>
        <w:rPr>
          <w:rFonts w:ascii="Times New Roman" w:cs="Times New Roman" w:eastAsia="Times New Roman" w:hAnsi="Times New Roman"/>
          <w:sz w:val="18"/>
          <w:szCs w:val="18"/>
          <w:color w:val="050505"/>
        </w:rPr>
        <w:t>. The Company may terminate this Agreement at any time by written notice to the Investor. This Agreement shall automatically terminate on the end of the Commitment Period.</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10.6 </w:t>
      </w:r>
      <w:r>
        <w:rPr>
          <w:rFonts w:ascii="Times New Roman" w:cs="Times New Roman" w:eastAsia="Times New Roman" w:hAnsi="Times New Roman"/>
          <w:sz w:val="18"/>
          <w:szCs w:val="18"/>
          <w:u w:val="single" w:color="auto"/>
          <w:color w:val="050505"/>
        </w:rPr>
        <w:t>ENTIRE AGREEMENT</w:t>
      </w:r>
      <w:r>
        <w:rPr>
          <w:rFonts w:ascii="Times New Roman" w:cs="Times New Roman" w:eastAsia="Times New Roman" w:hAnsi="Times New Roman"/>
          <w:sz w:val="18"/>
          <w:szCs w:val="18"/>
          <w:color w:val="050505"/>
        </w:rPr>
        <w:t>. The Transaction Documents, together with the exhibits thereto, contain the entire understanding of the Company and the Investor with respect to the matters covered herein and therein and supersede all prior agreements and understandings, oral or written, with respect to such matters.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050505"/>
        </w:rPr>
        <w:t xml:space="preserve">Section 10.7 </w:t>
      </w:r>
      <w:r>
        <w:rPr>
          <w:rFonts w:ascii="Times New Roman" w:cs="Times New Roman" w:eastAsia="Times New Roman" w:hAnsi="Times New Roman"/>
          <w:sz w:val="18"/>
          <w:szCs w:val="18"/>
          <w:u w:val="single" w:color="auto"/>
          <w:color w:val="050505"/>
        </w:rPr>
        <w:t>FEES AND EXPENSES</w:t>
      </w:r>
      <w:r>
        <w:rPr>
          <w:rFonts w:ascii="Times New Roman" w:cs="Times New Roman" w:eastAsia="Times New Roman" w:hAnsi="Times New Roman"/>
          <w:sz w:val="18"/>
          <w:szCs w:val="18"/>
          <w:color w:val="050505"/>
        </w:rPr>
        <w:t>. Except as expressly set forth in the Transaction Documents or any other writing to the contrary, except for the Administrative Fee, each Party shall pay the fees and expenses of its advisers, counsel, accountants and other experts, if any, and all other expenses incurred by such Party incidental to the negotiation, preparation, execution, delivery and performance of the Transaction Documents. The Company shall pay the Clearing Costs associated with each Closing, and any Transfer Agent fees (including any fees required for same-day processing of any instruction letter delivered by the Company), stamp taxes, and other taxes and duties levied on the Company in connection with the delivery of any Securities to the Investor.</w:t>
      </w:r>
    </w:p>
    <w:p>
      <w:pPr>
        <w:spacing w:after="0" w:line="187" w:lineRule="exact"/>
        <w:rPr>
          <w:sz w:val="20"/>
          <w:szCs w:val="20"/>
          <w:color w:val="auto"/>
        </w:rPr>
      </w:pPr>
    </w:p>
    <w:p>
      <w:pPr>
        <w:jc w:val="both"/>
        <w:ind w:right="40" w:firstLine="324"/>
        <w:spacing w:after="0" w:line="269" w:lineRule="auto"/>
        <w:rPr>
          <w:sz w:val="20"/>
          <w:szCs w:val="20"/>
          <w:color w:val="auto"/>
        </w:rPr>
      </w:pPr>
      <w:r>
        <w:rPr>
          <w:rFonts w:ascii="Times New Roman" w:cs="Times New Roman" w:eastAsia="Times New Roman" w:hAnsi="Times New Roman"/>
          <w:sz w:val="17"/>
          <w:szCs w:val="17"/>
          <w:color w:val="050505"/>
        </w:rPr>
        <w:t xml:space="preserve">Section 10.8 </w:t>
      </w:r>
      <w:r>
        <w:rPr>
          <w:rFonts w:ascii="Times New Roman" w:cs="Times New Roman" w:eastAsia="Times New Roman" w:hAnsi="Times New Roman"/>
          <w:sz w:val="17"/>
          <w:szCs w:val="17"/>
          <w:u w:val="single" w:color="auto"/>
          <w:color w:val="050505"/>
        </w:rPr>
        <w:t>COUNTERPARTS AND EXECUTION</w:t>
      </w:r>
      <w:r>
        <w:rPr>
          <w:rFonts w:ascii="Times New Roman" w:cs="Times New Roman" w:eastAsia="Times New Roman" w:hAnsi="Times New Roman"/>
          <w:sz w:val="17"/>
          <w:szCs w:val="17"/>
          <w:color w:val="050505"/>
        </w:rPr>
        <w:t>. The Transaction Documents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Transaction Documents may be delivered to the other Party hereto by email of a copy of the Transaction Documents bearing the signature of the Party so delivering the Transaction Documents. The Parties agree that this Agreement shall be considered signed when the signature of a Party is delivered by PDF, DocuSign or other generally accepted electronic signature.</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050505"/>
        </w:rPr>
        <w:t>Such PDF, DocuSign, or other generally accepted electronic signature shall be treated in all respects as having the same effect as an original signature. The signatories to this Agreement each represent and warrant that they are duly authorized by the Parties with the power and authority to bind the Parties to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 w:name="page19"/>
    <w:bookmarkEnd w:id="18"/>
    <w:p>
      <w:pPr>
        <w:ind w:right="280"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10.9 </w:t>
      </w:r>
      <w:r>
        <w:rPr>
          <w:rFonts w:ascii="Times New Roman" w:cs="Times New Roman" w:eastAsia="Times New Roman" w:hAnsi="Times New Roman"/>
          <w:sz w:val="18"/>
          <w:szCs w:val="18"/>
          <w:u w:val="single" w:color="auto"/>
          <w:color w:val="050505"/>
        </w:rPr>
        <w:t>SEVERABILITY</w:t>
      </w:r>
      <w:r>
        <w:rPr>
          <w:rFonts w:ascii="Times New Roman" w:cs="Times New Roman" w:eastAsia="Times New Roman" w:hAnsi="Times New Roman"/>
          <w:sz w:val="18"/>
          <w:szCs w:val="18"/>
          <w:color w:val="050505"/>
        </w:rPr>
        <w:t>. In the event that any provision of this Agreement becomes or is declared by a court of competent jurisdiction to be illegal, unenforceable or void, this Agreement shall continue in full force and effect without said provision; provided that such severability shall be ineffective if it materially changes the economic benefit of this Agreement to any Party.</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050505"/>
        </w:rPr>
        <w:t xml:space="preserve">Section 10.10 </w:t>
      </w:r>
      <w:r>
        <w:rPr>
          <w:rFonts w:ascii="Times New Roman" w:cs="Times New Roman" w:eastAsia="Times New Roman" w:hAnsi="Times New Roman"/>
          <w:sz w:val="18"/>
          <w:szCs w:val="18"/>
          <w:u w:val="single" w:color="auto"/>
          <w:color w:val="050505"/>
        </w:rPr>
        <w:t>FURTHER ASSURANCES</w:t>
      </w:r>
      <w:r>
        <w:rPr>
          <w:rFonts w:ascii="Times New Roman" w:cs="Times New Roman" w:eastAsia="Times New Roman" w:hAnsi="Times New Roman"/>
          <w:sz w:val="18"/>
          <w:szCs w:val="18"/>
          <w:color w:val="050505"/>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050505"/>
        </w:rPr>
        <w:t xml:space="preserve">Section 10.11 </w:t>
      </w:r>
      <w:r>
        <w:rPr>
          <w:rFonts w:ascii="Times New Roman" w:cs="Times New Roman" w:eastAsia="Times New Roman" w:hAnsi="Times New Roman"/>
          <w:sz w:val="18"/>
          <w:szCs w:val="18"/>
          <w:u w:val="single" w:color="auto"/>
          <w:color w:val="050505"/>
        </w:rPr>
        <w:t>NOT TO BE CONSTRUED AGAINST DRAFTER</w:t>
      </w:r>
      <w:r>
        <w:rPr>
          <w:rFonts w:ascii="Times New Roman" w:cs="Times New Roman" w:eastAsia="Times New Roman" w:hAnsi="Times New Roman"/>
          <w:sz w:val="18"/>
          <w:szCs w:val="18"/>
          <w:color w:val="050505"/>
        </w:rPr>
        <w:t>. The Parties acknowledge that they have had an adequate opportunity to review each and every provision contained in this Agreement and to submit the same to legal counsel for review and comment. The Parties agree with each and every provision contained in this Agreement and agree that the rule of construction that a contract be construed against the drafter, if any, shall not be applied in the interpretation and construction of this Agreement.</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050505"/>
        </w:rPr>
        <w:t xml:space="preserve">Section 10.12 </w:t>
      </w:r>
      <w:r>
        <w:rPr>
          <w:rFonts w:ascii="Times New Roman" w:cs="Times New Roman" w:eastAsia="Times New Roman" w:hAnsi="Times New Roman"/>
          <w:sz w:val="18"/>
          <w:szCs w:val="18"/>
          <w:u w:val="single" w:color="auto"/>
          <w:color w:val="050505"/>
        </w:rPr>
        <w:t>TITLE AND SUBTITLES</w:t>
      </w:r>
      <w:r>
        <w:rPr>
          <w:rFonts w:ascii="Times New Roman" w:cs="Times New Roman" w:eastAsia="Times New Roman" w:hAnsi="Times New Roman"/>
          <w:sz w:val="18"/>
          <w:szCs w:val="18"/>
          <w:color w:val="050505"/>
        </w:rPr>
        <w:t>. The titles and subtitles used in this Agreement are used for the convenience of reference and are not to be considered in construing or interpreting this Agreement.</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050505"/>
        </w:rPr>
        <w:t xml:space="preserve">Section 10.13 </w:t>
      </w:r>
      <w:r>
        <w:rPr>
          <w:rFonts w:ascii="Times New Roman" w:cs="Times New Roman" w:eastAsia="Times New Roman" w:hAnsi="Times New Roman"/>
          <w:sz w:val="18"/>
          <w:szCs w:val="18"/>
          <w:u w:val="single" w:color="auto"/>
          <w:color w:val="050505"/>
        </w:rPr>
        <w:t>AMENDMENTS; WAIVERS</w:t>
      </w:r>
      <w:r>
        <w:rPr>
          <w:rFonts w:ascii="Times New Roman" w:cs="Times New Roman" w:eastAsia="Times New Roman" w:hAnsi="Times New Roman"/>
          <w:sz w:val="18"/>
          <w:szCs w:val="18"/>
          <w:color w:val="050505"/>
        </w:rPr>
        <w:t>. No provision of this Agreement may be amended other than by a written instrument signed by both Parties hereto and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050505"/>
        </w:rPr>
        <w:t xml:space="preserve">Section 10.14 </w:t>
      </w:r>
      <w:r>
        <w:rPr>
          <w:rFonts w:ascii="Times New Roman" w:cs="Times New Roman" w:eastAsia="Times New Roman" w:hAnsi="Times New Roman"/>
          <w:sz w:val="18"/>
          <w:szCs w:val="18"/>
          <w:u w:val="single" w:color="auto"/>
          <w:color w:val="050505"/>
        </w:rPr>
        <w:t>PUBLICITY</w:t>
      </w:r>
      <w:r>
        <w:rPr>
          <w:rFonts w:ascii="Times New Roman" w:cs="Times New Roman" w:eastAsia="Times New Roman" w:hAnsi="Times New Roman"/>
          <w:sz w:val="18"/>
          <w:szCs w:val="18"/>
          <w:color w:val="050505"/>
        </w:rPr>
        <w:t>. The Company and the Investor shall consult with each other in issuing any press releases or otherwise making public statements with respect to the transactions contemplated hereby and no Party shall issue any such press release or otherwise make any such public statement, other than as required by law or for legal compliance, without the prior written consent of the other Party, which consent shall not be unreasonably withheld or delayed, except that no prior consent shall be required if such disclosure is required by law, in which such case the disclosing Party shall provide the other Party with prior notice of such public statement. The Investor acknowledges that the Transaction Documents may be deemed to be “</w:t>
      </w:r>
      <w:r>
        <w:rPr>
          <w:rFonts w:ascii="Times New Roman" w:cs="Times New Roman" w:eastAsia="Times New Roman" w:hAnsi="Times New Roman"/>
          <w:sz w:val="18"/>
          <w:szCs w:val="18"/>
          <w:u w:val="single" w:color="auto"/>
          <w:color w:val="050505"/>
        </w:rPr>
        <w:t>material contracts</w:t>
      </w:r>
      <w:r>
        <w:rPr>
          <w:rFonts w:ascii="Times New Roman" w:cs="Times New Roman" w:eastAsia="Times New Roman" w:hAnsi="Times New Roman"/>
          <w:sz w:val="18"/>
          <w:szCs w:val="18"/>
          <w:color w:val="050505"/>
        </w:rPr>
        <w:t>,”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50505"/>
        </w:rPr>
        <w:t xml:space="preserve">Section 10.15 </w:t>
      </w:r>
      <w:r>
        <w:rPr>
          <w:rFonts w:ascii="Times New Roman" w:cs="Times New Roman" w:eastAsia="Times New Roman" w:hAnsi="Times New Roman"/>
          <w:sz w:val="18"/>
          <w:szCs w:val="18"/>
          <w:u w:val="single" w:color="auto"/>
          <w:color w:val="050505"/>
        </w:rPr>
        <w:t>DISPUTE RESOLUTION</w:t>
      </w:r>
      <w:r>
        <w:rPr>
          <w:rFonts w:ascii="Times New Roman" w:cs="Times New Roman" w:eastAsia="Times New Roman" w:hAnsi="Times New Roman"/>
          <w:sz w:val="18"/>
          <w:szCs w:val="18"/>
          <w:color w:val="050505"/>
        </w:rPr>
        <w:t>.</w:t>
      </w:r>
    </w:p>
    <w:p>
      <w:pPr>
        <w:spacing w:after="0" w:line="225" w:lineRule="exact"/>
        <w:rPr>
          <w:sz w:val="20"/>
          <w:szCs w:val="20"/>
          <w:color w:val="auto"/>
        </w:rPr>
      </w:pPr>
    </w:p>
    <w:p>
      <w:pPr>
        <w:ind w:right="100" w:firstLine="332"/>
        <w:spacing w:after="0" w:line="253" w:lineRule="auto"/>
        <w:tabs>
          <w:tab w:leader="none" w:pos="568" w:val="left"/>
        </w:tabs>
        <w:numPr>
          <w:ilvl w:val="0"/>
          <w:numId w:val="12"/>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ARBITRATION</w:t>
      </w:r>
      <w:r>
        <w:rPr>
          <w:rFonts w:ascii="Times New Roman" w:cs="Times New Roman" w:eastAsia="Times New Roman" w:hAnsi="Times New Roman"/>
          <w:sz w:val="18"/>
          <w:szCs w:val="18"/>
          <w:color w:val="050505"/>
        </w:rPr>
        <w:t xml:space="preserve">. Subject to </w:t>
      </w:r>
      <w:r>
        <w:rPr>
          <w:rFonts w:ascii="Times New Roman" w:cs="Times New Roman" w:eastAsia="Times New Roman" w:hAnsi="Times New Roman"/>
          <w:sz w:val="18"/>
          <w:szCs w:val="18"/>
          <w:u w:val="single" w:color="auto"/>
          <w:color w:val="050505"/>
        </w:rPr>
        <w:t>Section 10.15(a)</w:t>
      </w:r>
      <w:r>
        <w:rPr>
          <w:rFonts w:ascii="Times New Roman" w:cs="Times New Roman" w:eastAsia="Times New Roman" w:hAnsi="Times New Roman"/>
          <w:sz w:val="18"/>
          <w:szCs w:val="18"/>
          <w:color w:val="050505"/>
        </w:rPr>
        <w:t>, any dispute, controversy or claim arising out of or relating to this Agreement or any Transaction Document (including whether any such dispute is arbitrable), shall be determined by arbitration administered by the American Arbitration Association (“</w:t>
      </w:r>
      <w:r>
        <w:rPr>
          <w:rFonts w:ascii="Times New Roman" w:cs="Times New Roman" w:eastAsia="Times New Roman" w:hAnsi="Times New Roman"/>
          <w:sz w:val="18"/>
          <w:szCs w:val="18"/>
          <w:u w:val="single" w:color="auto"/>
          <w:color w:val="050505"/>
        </w:rPr>
        <w:t>AAA</w:t>
      </w:r>
      <w:r>
        <w:rPr>
          <w:rFonts w:ascii="Times New Roman" w:cs="Times New Roman" w:eastAsia="Times New Roman" w:hAnsi="Times New Roman"/>
          <w:sz w:val="18"/>
          <w:szCs w:val="18"/>
          <w:color w:val="050505"/>
        </w:rPr>
        <w:t>”) pursuant to the AAA Commercial Arbitration Rules in effect at the time of the filing of the relevant arbitration demand. The parties will cooperate with the AAA through its case management staff in choosing a single arbitrator from the AAA’s list of neutral arbitrators and in otherwise proceeding with the arbitration. Any award resulting from an arbitration initiated pursuant to this Agreement shall be enforceable in courts of applicable jurisdiction. The Parties consent to the jurisdiction of the Chancery Court of the State of California and the United States District Court for the District of Delaware for all purposes in connection with any such arbitration. The Parties further waive any right to any jury trial in any action, and as to all claims hereunder. Any arbitration pursuant to this section shall be governed by the Federal Arbitration Act. Except as may be required by law, neither a party nor the arbitrator may disclose the content or results of any arbitration proceeding conducted pursuant to this Agreement without the prior written consent of both Parties. Each party will be responsible for 50% of any administrative costs imposed by the AAA and the arbitrator’s fees. Each party may choose, at its own expense, to retain a court reporter for the arbitration hearing. If both parties decide to use a court reporter for the arbitration hearing, the parties shall jointly retain a court reporter and split evenly the court reporter’s fees. The prevailing party in any arbitration conducted pursuant to this Agreement shall be entitled to recover from the other party its reasonable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 w:name="page20"/>
    <w:bookmarkEnd w:id="19"/>
    <w:p>
      <w:pPr>
        <w:ind w:left="580" w:hanging="248"/>
        <w:spacing w:after="0"/>
        <w:tabs>
          <w:tab w:leader="none" w:pos="580" w:val="left"/>
        </w:tabs>
        <w:numPr>
          <w:ilvl w:val="0"/>
          <w:numId w:val="13"/>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The Company and the Investor agree that all dispute resolution proceedings in accordance with this Section 10.15 may be conducted in a virtual</w:t>
      </w:r>
    </w:p>
    <w:p>
      <w:pPr>
        <w:spacing w:after="0" w:line="27" w:lineRule="exact"/>
        <w:rPr>
          <w:rFonts w:ascii="Times New Roman" w:cs="Times New Roman" w:eastAsia="Times New Roman" w:hAnsi="Times New Roman"/>
          <w:sz w:val="18"/>
          <w:szCs w:val="18"/>
          <w:color w:val="050505"/>
        </w:rPr>
      </w:pPr>
    </w:p>
    <w:p>
      <w:pPr>
        <w:spacing w:after="0"/>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setting.</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050505"/>
        </w:rPr>
        <w:t xml:space="preserve">Section 10.16 </w:t>
      </w:r>
      <w:r>
        <w:rPr>
          <w:rFonts w:ascii="Times New Roman" w:cs="Times New Roman" w:eastAsia="Times New Roman" w:hAnsi="Times New Roman"/>
          <w:sz w:val="18"/>
          <w:szCs w:val="18"/>
          <w:u w:val="single" w:color="auto"/>
          <w:color w:val="050505"/>
        </w:rPr>
        <w:t>NOTICES</w:t>
      </w:r>
      <w:r>
        <w:rPr>
          <w:rFonts w:ascii="Times New Roman" w:cs="Times New Roman" w:eastAsia="Times New Roman" w:hAnsi="Times New Roman"/>
          <w:sz w:val="18"/>
          <w:szCs w:val="18"/>
          <w:color w:val="050505"/>
        </w:rPr>
        <w:t>. All notices, demands, requests, consents, approvals, and other communications required or permitted hereunder shall be in writing and, unless otherwise specified herein, shall be (a) personally served, (b) delivered by reputable air courier service with charges prepaid for next Business Day delivery, or (c) transmitted by hand delivery, or email as a PDF (with read receipt or a written confirmation of delivery or receipt), addressed as set forth below or to such other address as such Party shall have specified most recently by written notice given in accordance herewith. Any notice or other communication required or permitted to be given hereunder shall be deemed effective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The addresses for such communications shall be: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 Industrial Road, Suite 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accounting@presto.com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Colin Diamond and Alex Cota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colindiamond@paulhastings.com and willburns@paulhastings.com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124"/>
        </w:rPr>
        <w:t>TRITON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124"/>
        </w:rPr>
        <w:t>Attn: SpecOps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260 Newport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Newport Beach, CA 92660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team@tritonfunds.com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02124"/>
        </w:rPr>
        <w:t>619.736.0912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Indeglia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10250 Constellation Boulevard, 19th Floor, 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310-282-6245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mindeglia@glaserweil.com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or email for notices under this clause by giving prior written notice of such changed address to the other party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050505"/>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050505"/>
        </w:rPr>
        <w:t>IN WITNESS WHEREOF, the Parties have caused this Agreement to be duly executed by their respective officers thereunto duly authorized as of the Execution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 &amp;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TRITON FUNDS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Tyler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Tyler Hoffman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4" w:right="779" w:bottom="1440" w:gutter="0" w:footer="0" w:header="0"/>
        </w:sectPr>
      </w:pPr>
    </w:p>
    <w:bookmarkStart w:id="22" w:name="page23"/>
    <w:bookmarkEnd w:id="22"/>
    <w:p>
      <w:pPr>
        <w:jc w:val="center"/>
        <w:ind w:right="-99"/>
        <w:spacing w:after="0"/>
        <w:rPr>
          <w:sz w:val="20"/>
          <w:szCs w:val="20"/>
          <w:color w:val="auto"/>
        </w:rPr>
      </w:pPr>
      <w:r>
        <w:rPr>
          <w:rFonts w:ascii="Times New Roman" w:cs="Times New Roman" w:eastAsia="Times New Roman" w:hAnsi="Times New Roman"/>
          <w:sz w:val="18"/>
          <w:szCs w:val="18"/>
          <w:color w:val="050505"/>
        </w:rPr>
        <w:t>EXHIBIT A</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050505"/>
        </w:rPr>
        <w:t>FORM OF PURCHASE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TO: TRITON FUNDS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0505"/>
        </w:rPr>
        <w:t>We refer to the Purchase Agreement, dated as of May 28, 2024 (the “</w:t>
      </w:r>
      <w:r>
        <w:rPr>
          <w:rFonts w:ascii="Times New Roman" w:cs="Times New Roman" w:eastAsia="Times New Roman" w:hAnsi="Times New Roman"/>
          <w:sz w:val="17"/>
          <w:szCs w:val="17"/>
          <w:u w:val="single" w:color="auto"/>
          <w:color w:val="050505"/>
        </w:rPr>
        <w:t>Agreement</w:t>
      </w:r>
      <w:r>
        <w:rPr>
          <w:rFonts w:ascii="Times New Roman" w:cs="Times New Roman" w:eastAsia="Times New Roman" w:hAnsi="Times New Roman"/>
          <w:sz w:val="17"/>
          <w:szCs w:val="17"/>
          <w:color w:val="050505"/>
        </w:rPr>
        <w:t>”), entered into by and between PRESTO AUTOMATION, INC., and you.</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Capitalized terms defined in the Agreement shall, unless otherwise defined herein, have the same meaning when used 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We hereby: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1) Give you notice that we require you to purchase __________ Purchase Notice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0505"/>
        </w:rPr>
        <w:t>3) Certify that, as of the date hereof, the conditions set forth in Section 7 of the Agreement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25"/>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1"/>
    </w:lvl>
    <w:lvl w:ilvl="1">
      <w:lvlJc w:val="left"/>
      <w:lvlText w:val="(%2)"/>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2024-05-28T06:49:09Z</dcterms:created>
  <dcterms:modified xsi:type="dcterms:W3CDTF">2024-05-28T06:49:09Z</dcterms:modified>
</cp:coreProperties>
</file>