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Presto Automation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74113T105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Ilya Golubovich</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I2BF Global Investments LTD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68 Fort Street, Grand Cayman KY 1-1207, Cayman Islands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 (212) 226-7320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October 10,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76" w:right="499" w:bottom="1440" w:gutter="0" w:footer="0" w:header="0"/>
        </w:sectPr>
      </w:pPr>
    </w:p>
    <w:bookmarkStart w:id="1" w:name="page2"/>
    <w:bookmarkEnd w:id="1"/>
    <w:p>
      <w:pPr>
        <w:ind w:left="744" w:right="7960" w:hanging="497"/>
        <w:spacing w:after="0" w:line="430" w:lineRule="auto"/>
        <w:tabs>
          <w:tab w:leader="none" w:pos="7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I2BF Global Investments LTD</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00" w:hanging="497"/>
        <w:spacing w:after="0" w:line="400" w:lineRule="auto"/>
        <w:tabs>
          <w:tab w:leader="none" w:pos="7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244" w:hanging="534"/>
        <w:spacing w:after="0"/>
        <w:tabs>
          <w:tab w:leader="none" w:pos="22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4,429,505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Borders>
              <w:bottom w:val="single" w:sz="8" w:color="auto"/>
            </w:tcBorders>
          </w:tcPr>
          <w:p>
            <w:pPr>
              <w:spacing w:after="0"/>
              <w:rPr>
                <w:sz w:val="5"/>
                <w:szCs w:val="5"/>
                <w:color w:val="auto"/>
              </w:rPr>
            </w:pPr>
          </w:p>
        </w:tc>
        <w:tc>
          <w:tcPr>
            <w:tcW w:w="8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vMerge w:val="continue"/>
          </w:tcPr>
          <w:p>
            <w:pPr>
              <w:spacing w:after="0"/>
              <w:rPr>
                <w:sz w:val="9"/>
                <w:szCs w:val="9"/>
                <w:color w:val="auto"/>
              </w:rPr>
            </w:pP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4,429,505</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44" w:right="6800" w:hanging="624"/>
        <w:spacing w:after="0" w:line="395" w:lineRule="auto"/>
        <w:tabs>
          <w:tab w:leader="none" w:pos="22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44" w:right="5320" w:hanging="587"/>
        <w:spacing w:after="0" w:line="406" w:lineRule="auto"/>
        <w:tabs>
          <w:tab w:leader="none" w:pos="7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4,429,505</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3" w:right="559" w:bottom="1440" w:gutter="0" w:footer="0" w:header="0"/>
        </w:sectPr>
      </w:pPr>
    </w:p>
    <w:bookmarkStart w:id="2" w:name="page3"/>
    <w:bookmarkEnd w:id="2"/>
    <w:p>
      <w:pPr>
        <w:ind w:left="744" w:right="8120" w:hanging="497"/>
        <w:spacing w:after="0" w:line="406" w:lineRule="auto"/>
        <w:tabs>
          <w:tab w:leader="none" w:pos="7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Ilya Golubovich</w:t>
      </w:r>
    </w:p>
    <w:p>
      <w:pPr>
        <w:spacing w:after="0" w:line="1"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00" w:hanging="497"/>
        <w:spacing w:after="0" w:line="400" w:lineRule="auto"/>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Israel</w:t>
      </w:r>
    </w:p>
    <w:p>
      <w:pPr>
        <w:ind w:left="2244" w:hanging="534"/>
        <w:spacing w:after="0"/>
        <w:tabs>
          <w:tab w:leader="none" w:pos="22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4,429,505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Borders>
              <w:bottom w:val="single" w:sz="8" w:color="auto"/>
            </w:tcBorders>
          </w:tcPr>
          <w:p>
            <w:pPr>
              <w:spacing w:after="0"/>
              <w:rPr>
                <w:sz w:val="5"/>
                <w:szCs w:val="5"/>
                <w:color w:val="auto"/>
              </w:rPr>
            </w:pPr>
          </w:p>
        </w:tc>
        <w:tc>
          <w:tcPr>
            <w:tcW w:w="8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vMerge w:val="continue"/>
          </w:tcPr>
          <w:p>
            <w:pPr>
              <w:spacing w:after="0"/>
              <w:rPr>
                <w:sz w:val="9"/>
                <w:szCs w:val="9"/>
                <w:color w:val="auto"/>
              </w:rPr>
            </w:pP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4,429,505</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44" w:right="6800" w:hanging="624"/>
        <w:spacing w:after="0" w:line="395" w:lineRule="auto"/>
        <w:tabs>
          <w:tab w:leader="none" w:pos="224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44" w:right="5320" w:hanging="587"/>
        <w:spacing w:after="0" w:line="406" w:lineRule="auto"/>
        <w:tabs>
          <w:tab w:leader="none" w:pos="7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4,429,505</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3" w:right="55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Schedule 13D relates to the shares of Common Stock, $0.0001 par value per share (the “Common Stock”), of Presto Automation Inc. (the “Issuer” or the “Company”). The address of the principal executive offices of the Issuer is 985 Industrial Road, San Carlos, CA 94070.</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is being filed by the following persons (each a “Reporting Person”):</w:t>
      </w:r>
    </w:p>
    <w:p>
      <w:pPr>
        <w:spacing w:after="0" w:line="131" w:lineRule="exact"/>
        <w:rPr>
          <w:sz w:val="20"/>
          <w:szCs w:val="20"/>
          <w:color w:val="auto"/>
        </w:rPr>
      </w:pPr>
    </w:p>
    <w:p>
      <w:pPr>
        <w:ind w:left="960" w:right="14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I2BF Global Investments Ltd., a company incorporated in the Cayman Islands with limited liability (“I2BF Global”). Ilya Golubovich is the sole director of I2BF Global.</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Ilya Golubovich, a citizen of Israel, the Republic of Malta and the Russian Federation.</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principal business of each Reporting Person is the venture capital investment business. The principal business address of each Reporting Person is 68 Fort Street, Grand Cayman KY 1-1207, Cayman Islands.</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last five years, none of the Reporting Persons have been convicted in a criminal proceeding (excluding traffic violations or similar misdemeanors).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last five years, none of the Reporting Persons have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6 of this statement is incorporated by reference into this Item 3.</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described in Item 6 of this Statement, the securities reported on this Statement reflect the consummation of the Business Combination (as defined below) contemplated by the Merger Agreement (as defined below) and the transactions consummated in connection therewith.</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Items 5 and 6 of this Statement is incorporated by reference into this Item 4.</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21, 2022, (the “Closing Date” as defined below, and described in Item 6 of this Statement) the Reporting Persons acquired (or have been deemed to have acquired) beneficial ownership of an aggregate of 50,000 shares of Common Stock in connection with the Business Combination (as defined below). On October 10, 2022, the Reporting Persons acquired (or have been deemed to have acquired) beneficial ownership of an aggregate of 4,379,505 shares of Common Stock in connection with the Business Combination.</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shares of Common Stock reported herein were acquired solely for investment purposes. None of the Reporting Persons have any present plans or proposals that relate to or would result in any change in the business, policies, management, structure or capitalization of the Issuer. The Reporting Persons reserve the right to acquire, or dispose of, additional securities of the Issuer in the ordinary course of their business, to the extent deemed advisable in light of its general investment and trading policies, market conditions or other factors. The Reporting Persons may engage in discussions from time to time with other stockholders of the Issuer regarding the acquisition by the Reporting Persons of others of shares of the Issuer’s Common Stock held by such stockholders. Additionally, the Reporting Persons may acquire additional Securities through open market transactions, privately negotiated transactions or other methods.</w:t>
      </w:r>
    </w:p>
    <w:p>
      <w:pPr>
        <w:sectPr>
          <w:pgSz w:w="11900" w:h="16838" w:orient="portrait"/>
          <w:cols w:equalWidth="0" w:num="1">
            <w:col w:w="10920"/>
          </w:cols>
          <w:pgMar w:left="440" w:top="266" w:right="539" w:bottom="1440" w:gutter="0" w:footer="0" w:header="0"/>
        </w:sectPr>
      </w:pPr>
    </w:p>
    <w:bookmarkStart w:id="4" w:name="page5"/>
    <w:bookmarkEnd w:id="4"/>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foregoing, and as may be appropriate from time to time, the Reporting Persons may consider the feasibility and advisability of various alternative courses of action with respect to the Reporting Persons’ investment in the Issuer, including, without limitation: (a) the acquisition or disposition of Common Stock, including through derivative transactions which may include security-based swaps and short sales;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other material changes in the Issuer’s business or corporate structure; (g) changes in the Issuer’s articles of incorporation or bylaws or other actions that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causing a class of equity securities of the Issuer to become eligible for termination of registration pursuant to Section 12 of the Exchange Act; or (j) any action similar to those enumerated above. Except as described in Item 6 and this Item 4 and any plans or proposals that may from time to time be discussed or considered by the directors of the Issuer, including Mr. Golubovich, in his fiduciary capacity as a director of the Issuer, none of the Reporting Persons currently have any plans or proposals that relate to or would result in any of the actions specified in clause (a) through (j) of this paragraph.</w:t>
      </w:r>
    </w:p>
    <w:p>
      <w:pPr>
        <w:spacing w:after="0" w:line="187"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The Reporting Persons intend to review its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(a)-(b) The information set forth in rows 7 through 13 of the cover pages to this Schedule 13D is incorporated by reference. The percent of class was calculated based on 52,762,713 shares of Common Stock outstanding, as disclosed in the Issuer’s Current Report on Form 8-K filed with the Securities and Exchange Commission on September 27, 2022.</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I2BF Global directly owns 4,429,505 shares of Common Stock, representing approximately 8.4% of the outstanding Common Stock. Ilya Golubovich is the sole director of I2BF Global, and may each be deemed to beneficially own the shares of Common Stock held directly by I2BF Global.</w:t>
      </w:r>
    </w:p>
    <w:p>
      <w:pPr>
        <w:spacing w:after="0" w:line="162" w:lineRule="exact"/>
        <w:rPr>
          <w:sz w:val="20"/>
          <w:szCs w:val="20"/>
          <w:color w:val="auto"/>
        </w:rPr>
      </w:pPr>
    </w:p>
    <w:p>
      <w:pPr>
        <w:ind w:left="244" w:hanging="244"/>
        <w:spacing w:after="0"/>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the Reporting Persons have not effected any transaction of the Issuer’s Common Stock in the last 60 days.</w:t>
      </w:r>
    </w:p>
    <w:p>
      <w:pPr>
        <w:spacing w:after="0" w:line="225"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has the right to receive or the power to direct the receipt of dividends from, or the proceeds from the sale of, securities covered by this statement.</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4" w:right="360" w:hanging="1092"/>
        <w:spacing w:after="0" w:line="286"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On the Closing Date, pursuant to the Agreement and Plan of Merger, dated as of November 10, 2021 (the “Merger Agreement”), as amended by that certain Amendment to Agreement and Plan of Merger, dated as of April 1, 2022 (“Amendment No. 1”), as further amended by that Second Amendment to Agreement and Plan of Merger, dated as of July 25, 2022 (“Amendment No. 2”), by and among the Issuer (f/k/a Ventoux CCM Acquisition Corp.), Ventoux Merger Sub I Inc., a Delaware corporation and a direct, wholly-owned subsidiary of the Issuer (“Ventoux Merger Sub I”), Ventoux Merger Sub II, LLC, a Delaware limited liability company and a direct, wholly-owned subsidiary of the Issuer (“Ventoux Merger Sub II”), and E La Carte, Inc., a Delaware corporation (d/b/a Presto, Inc. “Legacy Presto”), (a) Ventoux Merger Sub merged with and into Legacy Presto, with Legacy Presto being the surviving</w:t>
      </w:r>
    </w:p>
    <w:p>
      <w:pPr>
        <w:sectPr>
          <w:pgSz w:w="11900" w:h="16838" w:orient="portrait"/>
          <w:cols w:equalWidth="0" w:num="1">
            <w:col w:w="10984"/>
          </w:cols>
          <w:pgMar w:left="436" w:top="270" w:right="479" w:bottom="1440" w:gutter="0" w:footer="0" w:header="0"/>
        </w:sectPr>
      </w:pPr>
    </w:p>
    <w:bookmarkStart w:id="5" w:name="page6"/>
    <w:bookmarkEnd w:id="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in the First Merger and continuing (immediately following the First Merger) as a wholly-owned subsidiary of the Issuer (the “Surviving Corporation”) and (b) immediately following the First Merger and as part of the same overall transaction as the First Merger, the Surviving Corporation merged with and into Ventoux Merger Sub II (the “Second Merger”), with Ventoux Merger Sub II being the surviving entity in the Second Merger and continuing (immediately following the Second Merger) as a wholly-owned subsidiary of the Issuer (the “Mergers” and together with the other transactions contemplated by the Merger Agreement, the “Business Combination”).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Effective Time of the First Merger on the Closing Date (the “Effective Time”), each share of Common Stock of Legacy Presto issued and outstanding as of immediately prior to the Effective Time was converted into the right to receive shares of Common Stock of the Issuer. Pursuant to the Merger Agreement, the Reporting Persons received an aggregate of 4,429,505 shares of Common Stock.</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excludes the contingent right of I2BF Global to receive an aggregate of up to 1,252,717 shares of Common Stock (the “Earn-Out Shares”). The Earn-Out Shares shall vest and be released upon the satisfaction of certain share price vesting conditions as follows: (i) if, at any time prior to September 21, 2025 the volume-weighted average price (“VWAP”) of the Issuer’s Common Stock equals or exceeds $12.50 per share for any 20 trading days within a 30-trading day period, one half (1/2) of the Earnout Shares shall vest; and (ii) if, at any time prior to September 21, 2027, the VWAP of the Issuer’s Common Stock equals or exceeds $15.00 per share for any 20 trading days within a 30-trading day period, one half (1/2) of the Earnout Shares shall vest.</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Amendment No. 1 and Amendment No. 2 do not purport to be complete and are qualified in their entirety by reference to the text of such agreements, copies of which are included as Exhibits 2, 3 and 4 to this Statement,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an Amended and Restated Registration Rights Agreement with certain securityholders and the other parties thereto (including the Reporting Persons, the “Holders”).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5 hereto,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Closing Date, the Company entered into a Governance Agreement (the “Governance Agreement”) with certain securityholders of the Company, including the Reporting Persons, to provide for certain governance rights and address certain governance matters relating to the Company. The Governance Agreement provides certain securityholders with the right to nominate one individual to the Company’s board of directors, subject to certain qualifications, requirements and exceptions as set forth therein, including varying equity holding threshold requirements.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Governance Agreement does not purport to be complete and is qualified in its entirety by the terms and conditions of the Governance Agreement, a form of which is attached as Exhibit 6 hereto, and the terms of which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Presto Stockholder Support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Issuer, Legacy Presto and certain Legacy Presto Stockholders (including the Reporting Persons, the “Presto Supporting Stockholders”) entered into the Presto Stockholder Support Agreement, as amended on July 25, 2022. Among other things, the Presto Stockholder Support Agreement provides that during the period beginning on the Closing Date and ending 18 months after the Closing Date, the Presto Supporting Stockholders may not transfer any of their shares of Common Stock, except for certain limited permitted transfers.</w:t>
      </w:r>
    </w:p>
    <w:p>
      <w:pPr>
        <w:sectPr>
          <w:pgSz w:w="11900" w:h="16838" w:orient="portrait"/>
          <w:cols w:equalWidth="0" w:num="1">
            <w:col w:w="11000"/>
          </w:cols>
          <w:pgMar w:left="440" w:top="270" w:right="459" w:bottom="1440" w:gutter="0" w:footer="0" w:header="0"/>
        </w:sectPr>
      </w:pPr>
    </w:p>
    <w:bookmarkStart w:id="6" w:name="page7"/>
    <w:bookmarkEnd w:id="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description of the Presto Stockholder Support Agreement does not purport to be complete and is qualified in its entirety by the terms and conditions of the Amended and Restated Support Agreement, a form of which is attached as Exhibit 7 hereto, and the terms of which are incorporated herein by reference.</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5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u w:val="single" w:color="auto"/>
          <w:color w:val="0000EE"/>
        </w:rPr>
        <w:t>Joint Filing Agreement.</w:t>
      </w:r>
    </w:p>
    <w:p>
      <w:pPr>
        <w:spacing w:after="0" w:line="117" w:lineRule="exact"/>
        <w:rPr>
          <w:sz w:val="20"/>
          <w:szCs w:val="20"/>
          <w:color w:val="auto"/>
        </w:rPr>
      </w:pPr>
    </w:p>
    <w:p>
      <w:pPr>
        <w:ind w:left="1100" w:right="900" w:hanging="1106"/>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2</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(incorporated by reference to Exhibit 2.1 to the Issuer’s Current Report on Form 8-K filed 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November 10, 2021).</w:t>
        </w:r>
      </w:hyperlink>
    </w:p>
    <w:p>
      <w:pPr>
        <w:spacing w:after="0" w:line="54" w:lineRule="exact"/>
        <w:rPr>
          <w:sz w:val="20"/>
          <w:szCs w:val="20"/>
          <w:color w:val="auto"/>
        </w:rPr>
      </w:pPr>
    </w:p>
    <w:p>
      <w:pPr>
        <w:ind w:left="1100" w:hanging="1106"/>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3</w:t>
      </w:r>
      <w:r>
        <w:rPr>
          <w:sz w:val="20"/>
          <w:szCs w:val="20"/>
          <w:color w:val="auto"/>
        </w:rPr>
        <w:tab/>
      </w:r>
      <w:hyperlink r:id="rId24">
        <w:r>
          <w:rPr>
            <w:rFonts w:ascii="Times New Roman" w:cs="Times New Roman" w:eastAsia="Times New Roman" w:hAnsi="Times New Roman"/>
            <w:sz w:val="18"/>
            <w:szCs w:val="18"/>
            <w:u w:val="single" w:color="auto"/>
            <w:color w:val="0000EE"/>
          </w:rPr>
          <w:t>First Amendment to Agreement and Plan of Merger (incorporated by reference to Exhibit 2.1 to the Issuer’s Current Report on Form 8-K</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filed on April 4, 2022).</w:t>
        </w:r>
      </w:hyperlink>
    </w:p>
    <w:p>
      <w:pPr>
        <w:spacing w:after="0" w:line="54" w:lineRule="exact"/>
        <w:rPr>
          <w:sz w:val="20"/>
          <w:szCs w:val="20"/>
          <w:color w:val="auto"/>
        </w:rPr>
      </w:pPr>
    </w:p>
    <w:p>
      <w:pPr>
        <w:ind w:left="1100" w:right="280" w:hanging="1106"/>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4</w:t>
      </w:r>
      <w:r>
        <w:rPr>
          <w:sz w:val="20"/>
          <w:szCs w:val="20"/>
          <w:color w:val="auto"/>
        </w:rPr>
        <w:tab/>
      </w:r>
      <w:hyperlink r:id="rId25">
        <w:r>
          <w:rPr>
            <w:rFonts w:ascii="Times New Roman" w:cs="Times New Roman" w:eastAsia="Times New Roman" w:hAnsi="Times New Roman"/>
            <w:sz w:val="18"/>
            <w:szCs w:val="18"/>
            <w:u w:val="single" w:color="auto"/>
            <w:color w:val="0000EE"/>
          </w:rPr>
          <w:t>Second Amendment to Agreement and Plan of Merger (incorporated by reference to Annex A-3 to Exhibit 2.1 to the Issuer’s Current</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Report on Form 8-K filed on July 26, 2022).</w:t>
        </w:r>
      </w:hyperlink>
    </w:p>
    <w:p>
      <w:pPr>
        <w:spacing w:after="0" w:line="54" w:lineRule="exact"/>
        <w:rPr>
          <w:sz w:val="20"/>
          <w:szCs w:val="20"/>
          <w:color w:val="auto"/>
        </w:rPr>
      </w:pPr>
    </w:p>
    <w:p>
      <w:pPr>
        <w:ind w:left="1100" w:right="40" w:hanging="1106"/>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5</w:t>
      </w:r>
      <w:r>
        <w:rPr>
          <w:sz w:val="20"/>
          <w:szCs w:val="20"/>
          <w:color w:val="auto"/>
        </w:rPr>
        <w:tab/>
      </w:r>
      <w:hyperlink r:id="rId26">
        <w:r>
          <w:rPr>
            <w:rFonts w:ascii="Times New Roman" w:cs="Times New Roman" w:eastAsia="Times New Roman" w:hAnsi="Times New Roman"/>
            <w:sz w:val="18"/>
            <w:szCs w:val="18"/>
            <w:u w:val="single" w:color="auto"/>
            <w:color w:val="0000EE"/>
          </w:rPr>
          <w:t>Form of Amended and Restated Registration Rights Agreement (incorporated by reference to Exhibit 10.2 to the Issuer’s Current Report</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on Form 8-K, as filed with the Securities and Exchange Commission on September 27, 2022).</w:t>
        </w:r>
      </w:hyperlink>
    </w:p>
    <w:p>
      <w:pPr>
        <w:spacing w:after="0" w:line="54" w:lineRule="exact"/>
        <w:rPr>
          <w:sz w:val="20"/>
          <w:szCs w:val="20"/>
          <w:color w:val="auto"/>
        </w:rPr>
      </w:pPr>
    </w:p>
    <w:p>
      <w:pPr>
        <w:ind w:left="1100" w:right="60" w:hanging="1106"/>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6</w:t>
      </w:r>
      <w:r>
        <w:rPr>
          <w:sz w:val="20"/>
          <w:szCs w:val="20"/>
          <w:color w:val="auto"/>
        </w:rPr>
        <w:tab/>
      </w:r>
      <w:hyperlink r:id="rId27">
        <w:r>
          <w:rPr>
            <w:rFonts w:ascii="Times New Roman" w:cs="Times New Roman" w:eastAsia="Times New Roman" w:hAnsi="Times New Roman"/>
            <w:sz w:val="18"/>
            <w:szCs w:val="18"/>
            <w:u w:val="single" w:color="auto"/>
            <w:color w:val="0000EE"/>
          </w:rPr>
          <w:t>Form of Governance Agreement (incorporated by reference to Exhibit 10.4 to the Issuer’s Current Report on Form 8-K, as filed with the</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Securities and Exchange Commission on September 27, 2022).</w:t>
        </w:r>
      </w:hyperlink>
    </w:p>
    <w:p>
      <w:pPr>
        <w:spacing w:after="0" w:line="54" w:lineRule="exact"/>
        <w:rPr>
          <w:sz w:val="20"/>
          <w:szCs w:val="20"/>
          <w:color w:val="auto"/>
        </w:rPr>
      </w:pPr>
    </w:p>
    <w:p>
      <w:pPr>
        <w:ind w:left="1100" w:right="140" w:hanging="1106"/>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7</w:t>
      </w:r>
      <w:r>
        <w:rPr>
          <w:sz w:val="20"/>
          <w:szCs w:val="20"/>
          <w:color w:val="auto"/>
        </w:rPr>
        <w:tab/>
      </w:r>
      <w:hyperlink r:id="rId28">
        <w:r>
          <w:rPr>
            <w:rFonts w:ascii="Times New Roman" w:cs="Times New Roman" w:eastAsia="Times New Roman" w:hAnsi="Times New Roman"/>
            <w:sz w:val="18"/>
            <w:szCs w:val="18"/>
            <w:u w:val="single" w:color="auto"/>
            <w:color w:val="0000EE"/>
          </w:rPr>
          <w:t>Form of Presto Stockholder Support Agreement (incorporated by reference to Exhibit 10.8 to the Issuer’s Current Report on Form 8-K,</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as filed with the Securities and Exchange Commission on July 26, 2022).</w:t>
        </w:r>
      </w:hyperlink>
    </w:p>
    <w:p>
      <w:pPr>
        <w:sectPr>
          <w:pgSz w:w="11900" w:h="16838" w:orient="portrait"/>
          <w:cols w:equalWidth="0" w:num="1">
            <w:col w:w="10980"/>
          </w:cols>
          <w:pgMar w:left="440" w:top="270" w:right="479" w:bottom="1440" w:gutter="0" w:footer="0" w:header="0"/>
        </w:sectPr>
      </w:pPr>
    </w:p>
    <w:bookmarkStart w:id="7" w:name="page8"/>
    <w:bookmarkEnd w:id="7"/>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I2BF GLOBAL INVESTMENTS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Ilya Golubovich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Sole 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ILYA GOLUBOVICH</w:t>
      </w:r>
    </w:p>
    <w:p>
      <w:pPr>
        <w:sectPr>
          <w:pgSz w:w="11900" w:h="16838" w:orient="portrait"/>
          <w:cols w:equalWidth="0" w:num="1">
            <w:col w:w="10600"/>
          </w:cols>
          <w:pgMar w:left="440" w:top="266" w:right="8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I2BF GLOBAL INVESTMENTS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Ilya Golubovich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Sole 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ILYA GOLUBOVICH</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3"/>
    </w:lvl>
    <w:lvl w:ilvl="1">
      <w:lvlJc w:val="left"/>
      <w:lvlText w:val="(%2)"/>
      <w:numFmt w:val="decimal"/>
      <w:start w:val="7"/>
    </w:lvl>
  </w:abstractNum>
  <w:abstractNum w:abstractNumId="2">
    <w:nsid w:val="79E2A9E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7545E14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515F007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lvl w:ilvl="1">
      <w:lvlJc w:val="left"/>
      <w:lvlText w:val="(%2)"/>
      <w:numFmt w:val="decimal"/>
      <w:start w:val="7"/>
    </w:lvl>
  </w:abstractNum>
  <w:abstractNum w:abstractNumId="7">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216231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23" Type="http://schemas.openxmlformats.org/officeDocument/2006/relationships/hyperlink" Target="http://www.sec.gov/Archives/edgar/data/1822145/000121390021058217/ea150262ex2-1_ventouxccm.htm" TargetMode="External"/><Relationship Id="rId24" Type="http://schemas.openxmlformats.org/officeDocument/2006/relationships/hyperlink" Target="http://www.sec.gov/Archives/edgar/data/1822145/000121390022017828/ea157923ex2-1_ventoux.htm" TargetMode="External"/><Relationship Id="rId25" Type="http://schemas.openxmlformats.org/officeDocument/2006/relationships/hyperlink" Target="http://www.sec.gov/Archives/edgar/data/1822145/000121390022041523/ea163294ex2-1_ventoux.htm" TargetMode="External"/><Relationship Id="rId26" Type="http://schemas.openxmlformats.org/officeDocument/2006/relationships/hyperlink" Target="http://www.sec.gov/Archives/edgar/data/1822145/000121390022059478/ea166244ex10-2_prestoauto.htm" TargetMode="External"/><Relationship Id="rId27" Type="http://schemas.openxmlformats.org/officeDocument/2006/relationships/hyperlink" Target="http://www.sec.gov/Archives/edgar/data/1822145/000121390022059478/ea166244ex10-4_prestoauto.htm" TargetMode="External"/><Relationship Id="rId28" Type="http://schemas.openxmlformats.org/officeDocument/2006/relationships/hyperlink" Target="http://www.sec.gov/Archives/edgar/data/1822145/000121390022041523/ea163294ex10-8_ventou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2022-10-17T06:33:07Z</dcterms:created>
  <dcterms:modified xsi:type="dcterms:W3CDTF">2022-10-17T06:33:07Z</dcterms:modified>
</cp:coreProperties>
</file>