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23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231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560" w:type="dxa"/>
            <w:vAlign w:val="bottom"/>
            <w:gridSpan w:val="2"/>
            <w:vMerge w:val="restart"/>
          </w:tcPr>
          <w:p>
            <w:pPr>
              <w:spacing w:after="0"/>
              <w:rPr>
                <w:rFonts w:ascii="Arial" w:cs="Arial" w:eastAsia="Arial" w:hAnsi="Arial"/>
                <w:sz w:val="24"/>
                <w:szCs w:val="24"/>
                <w:color w:val="0000EE"/>
                <w:w w:val="91"/>
              </w:rPr>
            </w:pPr>
            <w:hyperlink r:id="rId10">
              <w:r>
                <w:rPr>
                  <w:rFonts w:ascii="Arial" w:cs="Arial" w:eastAsia="Arial" w:hAnsi="Arial"/>
                  <w:sz w:val="24"/>
                  <w:szCs w:val="24"/>
                  <w:color w:val="0000EE"/>
                  <w:w w:val="91"/>
                </w:rPr>
                <w:t>Cleveland Avenue Food &amp;</w:t>
              </w:r>
            </w:hyperlink>
          </w:p>
        </w:tc>
        <w:tc>
          <w:tcPr>
            <w:tcW w:w="460" w:type="dxa"/>
            <w:vAlign w:val="bottom"/>
            <w:vMerge w:val="restart"/>
          </w:tcPr>
          <w:p>
            <w:pPr>
              <w:spacing w:after="0"/>
              <w:rPr>
                <w:sz w:val="12"/>
                <w:szCs w:val="12"/>
                <w:color w:val="auto"/>
              </w:rPr>
            </w:pPr>
          </w:p>
        </w:tc>
        <w:tc>
          <w:tcPr>
            <w:tcW w:w="1560" w:type="dxa"/>
            <w:vAlign w:val="bottom"/>
          </w:tcPr>
          <w:p>
            <w:pPr>
              <w:ind w:left="20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3"/>
                <w:szCs w:val="13"/>
                <w:color w:val="auto"/>
              </w:rPr>
            </w:pPr>
          </w:p>
        </w:tc>
        <w:tc>
          <w:tcPr>
            <w:tcW w:w="2560" w:type="dxa"/>
            <w:vAlign w:val="bottom"/>
            <w:tcBorders>
              <w:bottom w:val="single" w:sz="8" w:color="0000EE"/>
            </w:tcBorders>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560" w:type="dxa"/>
            <w:vAlign w:val="bottom"/>
          </w:tcPr>
          <w:p>
            <w:pPr>
              <w:ind w:left="20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080" w:type="dxa"/>
            <w:vAlign w:val="bottom"/>
            <w:tcBorders>
              <w:bottom w:val="single" w:sz="8" w:color="0000EE"/>
            </w:tcBorders>
          </w:tcPr>
          <w:p>
            <w:pPr>
              <w:spacing w:after="0" w:line="250" w:lineRule="exact"/>
              <w:rPr>
                <w:rFonts w:ascii="Arial" w:cs="Arial" w:eastAsia="Arial" w:hAnsi="Arial"/>
                <w:sz w:val="24"/>
                <w:szCs w:val="24"/>
                <w:color w:val="0000EE"/>
                <w:w w:val="90"/>
              </w:rPr>
            </w:pPr>
            <w:hyperlink r:id="rId10">
              <w:r>
                <w:rPr>
                  <w:rFonts w:ascii="Arial" w:cs="Arial" w:eastAsia="Arial" w:hAnsi="Arial"/>
                  <w:sz w:val="24"/>
                  <w:szCs w:val="24"/>
                  <w:color w:val="0000EE"/>
                  <w:w w:val="90"/>
                </w:rPr>
                <w:t>Beverage Fund II, LP</w:t>
              </w:r>
            </w:hyperlink>
          </w:p>
        </w:tc>
        <w:tc>
          <w:tcPr>
            <w:tcW w:w="940" w:type="dxa"/>
            <w:vAlign w:val="bottom"/>
            <w:gridSpan w:val="2"/>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09/21/2022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0"/>
          <w:szCs w:val="20"/>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Presto Automation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PRST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55" w:lineRule="exact"/>
        <w:rPr>
          <w:sz w:val="20"/>
          <w:szCs w:val="20"/>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375"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80"/>
              <w:spacing w:after="0"/>
              <w:rPr>
                <w:sz w:val="20"/>
                <w:szCs w:val="20"/>
                <w:color w:val="auto"/>
              </w:rPr>
            </w:pPr>
            <w:r>
              <w:rPr>
                <w:rFonts w:ascii="Arial" w:cs="Arial" w:eastAsia="Arial" w:hAnsi="Arial"/>
                <w:sz w:val="15"/>
                <w:szCs w:val="15"/>
                <w:color w:val="auto"/>
              </w:rPr>
              <w:t>(First)</w:t>
            </w:r>
          </w:p>
        </w:tc>
        <w:tc>
          <w:tcPr>
            <w:tcW w:w="1260" w:type="dxa"/>
            <w:vAlign w:val="bottom"/>
          </w:tcPr>
          <w:p>
            <w:pPr>
              <w:ind w:left="260"/>
              <w:spacing w:after="0"/>
              <w:rPr>
                <w:sz w:val="20"/>
                <w:szCs w:val="20"/>
                <w:color w:val="auto"/>
              </w:rPr>
            </w:pPr>
            <w:r>
              <w:rPr>
                <w:rFonts w:ascii="Arial" w:cs="Arial" w:eastAsia="Arial" w:hAnsi="Arial"/>
                <w:sz w:val="15"/>
                <w:szCs w:val="15"/>
                <w:color w:val="auto"/>
              </w:rPr>
              <w:t>(Middle)</w:t>
            </w:r>
          </w:p>
        </w:tc>
      </w:tr>
      <w:tr>
        <w:trPr>
          <w:trHeight w:val="314"/>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222 N. CANAL ST.</w:t>
            </w:r>
          </w:p>
        </w:tc>
        <w:tc>
          <w:tcPr>
            <w:tcW w:w="1260" w:type="dxa"/>
            <w:vAlign w:val="bottom"/>
          </w:tcPr>
          <w:p>
            <w:pPr>
              <w:spacing w:after="0"/>
              <w:rPr>
                <w:sz w:val="24"/>
                <w:szCs w:val="24"/>
                <w:color w:val="auto"/>
              </w:rPr>
            </w:pPr>
          </w:p>
        </w:tc>
      </w:tr>
      <w:tr>
        <w:trPr>
          <w:trHeight w:val="237"/>
        </w:trPr>
        <w:tc>
          <w:tcPr>
            <w:tcW w:w="98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8"/>
              </w:rPr>
              <w:t>CHICAGO</w:t>
            </w:r>
          </w:p>
        </w:tc>
        <w:tc>
          <w:tcPr>
            <w:tcW w:w="860" w:type="dxa"/>
            <w:vAlign w:val="bottom"/>
          </w:tcPr>
          <w:p>
            <w:pPr>
              <w:ind w:left="80"/>
              <w:spacing w:after="0"/>
              <w:rPr>
                <w:sz w:val="20"/>
                <w:szCs w:val="20"/>
                <w:color w:val="auto"/>
              </w:rPr>
            </w:pPr>
            <w:r>
              <w:rPr>
                <w:rFonts w:ascii="Arial" w:cs="Arial" w:eastAsia="Arial" w:hAnsi="Arial"/>
                <w:sz w:val="20"/>
                <w:szCs w:val="20"/>
                <w:color w:val="0000FF"/>
              </w:rPr>
              <w:t>IL</w:t>
            </w:r>
          </w:p>
        </w:tc>
        <w:tc>
          <w:tcPr>
            <w:tcW w:w="1260" w:type="dxa"/>
            <w:vAlign w:val="bottom"/>
          </w:tcPr>
          <w:p>
            <w:pPr>
              <w:ind w:left="260"/>
              <w:spacing w:after="0"/>
              <w:rPr>
                <w:sz w:val="20"/>
                <w:szCs w:val="20"/>
                <w:color w:val="auto"/>
              </w:rPr>
            </w:pPr>
            <w:r>
              <w:rPr>
                <w:rFonts w:ascii="Arial" w:cs="Arial" w:eastAsia="Arial" w:hAnsi="Arial"/>
                <w:sz w:val="20"/>
                <w:szCs w:val="20"/>
                <w:color w:val="0000FF"/>
              </w:rPr>
              <w:t>60606</w:t>
            </w:r>
          </w:p>
        </w:tc>
      </w:tr>
    </w:tbl>
    <w:p>
      <w:pPr>
        <w:spacing w:after="0" w:line="20" w:lineRule="exact"/>
        <w:rPr>
          <w:sz w:val="20"/>
          <w:szCs w:val="20"/>
          <w:color w:val="auto"/>
        </w:rPr>
      </w:pPr>
      <w:r>
        <w:rPr>
          <w:sz w:val="20"/>
          <w:szCs w:val="20"/>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69"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3"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96"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0"/>
          <w:szCs w:val="20"/>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0"/>
          <w:szCs w:val="20"/>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6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0"/>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ind w:left="380"/>
              <w:spacing w:after="0"/>
              <w:rPr>
                <w:sz w:val="20"/>
                <w:szCs w:val="20"/>
                <w:color w:val="auto"/>
              </w:rPr>
            </w:pPr>
            <w:r>
              <w:rPr>
                <w:rFonts w:ascii="Arial" w:cs="Arial" w:eastAsia="Arial" w:hAnsi="Arial"/>
                <w:sz w:val="20"/>
                <w:szCs w:val="20"/>
                <w:color w:val="0000FF"/>
              </w:rPr>
              <w:t>7,000,000</w:t>
            </w:r>
            <w:r>
              <w:rPr>
                <w:rFonts w:ascii="Arial" w:cs="Arial" w:eastAsia="Arial" w:hAnsi="Arial"/>
                <w:sz w:val="25"/>
                <w:szCs w:val="25"/>
                <w:color w:val="008000"/>
                <w:vertAlign w:val="superscript"/>
              </w:rPr>
              <w:t>(1)</w:t>
            </w: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w w:val="94"/>
              </w:rPr>
              <w:t>See footnote</w:t>
            </w:r>
            <w:r>
              <w:rPr>
                <w:rFonts w:ascii="Arial" w:cs="Arial" w:eastAsia="Arial" w:hAnsi="Arial"/>
                <w:sz w:val="25"/>
                <w:szCs w:val="25"/>
                <w:color w:val="008000"/>
                <w:w w:val="94"/>
                <w:vertAlign w:val="superscript"/>
              </w:rPr>
              <w:t>(2)</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60" w:type="dxa"/>
            <w:vAlign w:val="bottom"/>
            <w:vMerge w:val="restart"/>
          </w:tcPr>
          <w:p>
            <w:pPr>
              <w:ind w:left="2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860" w:type="dxa"/>
            <w:vAlign w:val="bottom"/>
          </w:tcPr>
          <w:p>
            <w:pPr>
              <w:ind w:left="28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vMerge w:val="continue"/>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 shares received in connection with the closing of a PIPE investment related to the Business Combination of the issuer on September 21, 2022.</w:t>
      </w:r>
    </w:p>
    <w:p>
      <w:pPr>
        <w:spacing w:after="0" w:line="52" w:lineRule="exact"/>
        <w:rPr>
          <w:rFonts w:ascii="Arial" w:cs="Arial" w:eastAsia="Arial" w:hAnsi="Arial"/>
          <w:sz w:val="15"/>
          <w:szCs w:val="15"/>
          <w:color w:val="008000"/>
        </w:rPr>
      </w:pPr>
    </w:p>
    <w:p>
      <w:pPr>
        <w:ind w:left="40" w:right="4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Shares are held of record by Presto CA LLC ("Presto CA"). The reporting person is the sole member of Presto CA. Cleveland Avenue GP II, LLC ("Cleveland Avenue GP II") is the general partner of the reporting person. Cleveland Avenue, LLC ("CA LLC") is the sole member of Cleveland Avenue GP II. Donald Thompson is the sole manager of CA LLC. Mr. Thompson disclaims beneficial ownership of these securities except to the extent of any pecuniary interest therein.</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7"/>
              </w:rPr>
              <w:t>/s/ Joseph McCoy, Chief</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72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8"/>
              </w:rPr>
              <w:t>Operating Officer and</w:t>
            </w:r>
          </w:p>
        </w:tc>
        <w:tc>
          <w:tcPr>
            <w:tcW w:w="460" w:type="dxa"/>
            <w:vAlign w:val="bottom"/>
            <w:gridSpan w:val="3"/>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10/26/2023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5"/>
            <w:vMerge w:val="restart"/>
          </w:tcPr>
          <w:p>
            <w:pPr>
              <w:spacing w:after="0" w:line="220" w:lineRule="exact"/>
              <w:rPr>
                <w:sz w:val="20"/>
                <w:szCs w:val="20"/>
                <w:color w:val="auto"/>
              </w:rPr>
            </w:pPr>
            <w:r>
              <w:rPr>
                <w:rFonts w:ascii="Arial" w:cs="Arial" w:eastAsia="Arial" w:hAnsi="Arial"/>
                <w:sz w:val="20"/>
                <w:szCs w:val="20"/>
                <w:color w:val="0000FF"/>
              </w:rPr>
              <w:t>General Counsel of</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5"/>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1900" w:type="dxa"/>
            <w:vAlign w:val="bottom"/>
            <w:tcBorders>
              <w:bottom w:val="single" w:sz="8" w:color="auto"/>
            </w:tcBorders>
            <w:gridSpan w:val="3"/>
          </w:tcPr>
          <w:p>
            <w:pPr>
              <w:spacing w:after="0" w:line="220" w:lineRule="exact"/>
              <w:rPr>
                <w:sz w:val="20"/>
                <w:szCs w:val="20"/>
                <w:color w:val="auto"/>
              </w:rPr>
            </w:pPr>
            <w:r>
              <w:rPr>
                <w:rFonts w:ascii="Arial" w:cs="Arial" w:eastAsia="Arial" w:hAnsi="Arial"/>
                <w:sz w:val="20"/>
                <w:szCs w:val="20"/>
                <w:color w:val="0000FF"/>
                <w:w w:val="89"/>
              </w:rPr>
              <w:t>Cleveland Avenue, LLC</w:t>
            </w:r>
          </w:p>
        </w:tc>
        <w:tc>
          <w:tcPr>
            <w:tcW w:w="28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40" w:type="dxa"/>
            <w:vAlign w:val="bottom"/>
          </w:tcPr>
          <w:p>
            <w:pPr>
              <w:spacing w:after="0"/>
              <w:rPr>
                <w:sz w:val="20"/>
                <w:szCs w:val="20"/>
                <w:color w:val="auto"/>
              </w:rPr>
            </w:pPr>
          </w:p>
        </w:tc>
        <w:tc>
          <w:tcPr>
            <w:tcW w:w="2180" w:type="dxa"/>
            <w:vAlign w:val="bottom"/>
            <w:gridSpan w:val="5"/>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5"/>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27795"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2023-10-26T20:43:12Z</dcterms:created>
  <dcterms:modified xsi:type="dcterms:W3CDTF">2023-10-26T20:43:12Z</dcterms:modified>
</cp:coreProperties>
</file>