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40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Ventoux CCM Acquisition Corp</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Common Stock</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92280L101</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December 31, 2021</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4"/>
        <w:spacing w:after="0" w:line="311" w:lineRule="auto"/>
        <w:tabs>
          <w:tab w:leader="none" w:pos="495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97" w:lineRule="exact"/>
        <w:rPr>
          <w:rFonts w:ascii="Arial" w:cs="Arial" w:eastAsia="Arial" w:hAnsi="Arial"/>
          <w:sz w:val="16"/>
          <w:szCs w:val="16"/>
          <w:color w:val="auto"/>
        </w:rPr>
      </w:pPr>
    </w:p>
    <w:p>
      <w:pPr>
        <w:ind w:right="620"/>
        <w:spacing w:after="0" w:line="342" w:lineRule="auto"/>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320" w:top="220" w:right="107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92280L101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5130" cy="44062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4062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60" w:hanging="380"/>
        <w:spacing w:after="0" w:line="282"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NAME OF REPORTING PERSON </w:t>
      </w:r>
      <w:r>
        <w:rPr>
          <w:rFonts w:ascii="Arial" w:cs="Arial" w:eastAsia="Arial" w:hAnsi="Arial"/>
          <w:sz w:val="18"/>
          <w:szCs w:val="18"/>
          <w:color w:val="auto"/>
        </w:rPr>
        <w:t>BANK OF MONTREAL</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158"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080" w:hanging="380"/>
        <w:spacing w:after="0" w:line="282"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Canada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104"/>
        </w:trPr>
        <w:tc>
          <w:tcPr>
            <w:tcW w:w="1640" w:type="dxa"/>
            <w:vAlign w:val="bottom"/>
            <w:tcBorders>
              <w:right w:val="single" w:sz="8" w:color="auto"/>
            </w:tcBorders>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8480" w:type="dxa"/>
            <w:vAlign w:val="bottom"/>
            <w:vMerge w:val="restart"/>
          </w:tcPr>
          <w:p>
            <w:pPr>
              <w:ind w:left="60"/>
              <w:spacing w:after="0"/>
              <w:rPr>
                <w:sz w:val="20"/>
                <w:szCs w:val="20"/>
                <w:color w:val="auto"/>
              </w:rPr>
            </w:pPr>
            <w:r>
              <w:rPr>
                <w:rFonts w:ascii="Arial" w:cs="Arial" w:eastAsia="Arial" w:hAnsi="Arial"/>
                <w:sz w:val="18"/>
                <w:szCs w:val="18"/>
                <w:color w:val="auto"/>
              </w:rPr>
              <w:t>1,202,033</w:t>
            </w:r>
          </w:p>
        </w:tc>
        <w:tc>
          <w:tcPr>
            <w:tcW w:w="0" w:type="dxa"/>
            <w:vAlign w:val="bottom"/>
          </w:tcPr>
          <w:p>
            <w:pPr>
              <w:spacing w:after="0"/>
              <w:rPr>
                <w:sz w:val="1"/>
                <w:szCs w:val="1"/>
                <w:color w:val="auto"/>
              </w:rPr>
            </w:pPr>
          </w:p>
        </w:tc>
      </w:tr>
      <w:tr>
        <w:trPr>
          <w:trHeight w:val="126"/>
        </w:trPr>
        <w:tc>
          <w:tcPr>
            <w:tcW w:w="1640" w:type="dxa"/>
            <w:vAlign w:val="bottom"/>
            <w:tcBorders>
              <w:right w:val="single" w:sz="8" w:color="auto"/>
            </w:tcBorders>
            <w:vMerge w:val="restart"/>
          </w:tcPr>
          <w:p>
            <w:pPr>
              <w:jc w:val="center"/>
              <w:spacing w:after="0" w:line="194" w:lineRule="exact"/>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1,202,033</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08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1,202,033</w:t>
      </w:r>
    </w:p>
    <w:p>
      <w:pPr>
        <w:spacing w:after="0" w:line="94" w:lineRule="exact"/>
        <w:rPr>
          <w:sz w:val="20"/>
          <w:szCs w:val="20"/>
          <w:color w:val="auto"/>
        </w:rPr>
      </w:pPr>
    </w:p>
    <w:p>
      <w:pPr>
        <w:ind w:left="620" w:right="256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00" w:hanging="422"/>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5.6%</w:t>
      </w:r>
    </w:p>
    <w:p>
      <w:pPr>
        <w:spacing w:after="0" w:line="94" w:lineRule="exact"/>
        <w:rPr>
          <w:rFonts w:ascii="Arial" w:cs="Arial" w:eastAsia="Arial" w:hAnsi="Arial"/>
          <w:sz w:val="18"/>
          <w:szCs w:val="18"/>
          <w:color w:val="auto"/>
        </w:rPr>
      </w:pPr>
    </w:p>
    <w:p>
      <w:pPr>
        <w:ind w:left="620" w:right="734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HC</w:t>
      </w:r>
    </w:p>
    <w:p>
      <w:pPr>
        <w:sectPr>
          <w:pgSz w:w="11900" w:h="16838" w:orient="portrait"/>
          <w:cols w:equalWidth="0" w:num="1">
            <w:col w:w="10640"/>
          </w:cols>
          <w:pgMar w:left="320" w:top="931" w:right="939" w:bottom="1440" w:gutter="0" w:footer="0" w:header="0"/>
        </w:sectPr>
      </w:pPr>
    </w:p>
    <w:bookmarkStart w:id="2" w:name="page3"/>
    <w:bookmarkEnd w:id="2"/>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92280L101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5130" cy="4406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5130" cy="44062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60" w:hanging="380"/>
        <w:spacing w:after="0" w:line="312"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BMO CAPITAL MARKETS CORP.</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158" w:lineRule="exact"/>
        <w:rPr>
          <w:sz w:val="20"/>
          <w:szCs w:val="20"/>
          <w:color w:val="auto"/>
        </w:rPr>
      </w:pPr>
    </w:p>
    <w:p>
      <w:pPr>
        <w:ind w:left="620" w:hanging="380"/>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080" w:hanging="380"/>
        <w:spacing w:after="0" w:line="282"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104"/>
        </w:trPr>
        <w:tc>
          <w:tcPr>
            <w:tcW w:w="1640" w:type="dxa"/>
            <w:vAlign w:val="bottom"/>
            <w:tcBorders>
              <w:right w:val="single" w:sz="8" w:color="auto"/>
            </w:tcBorders>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8480" w:type="dxa"/>
            <w:vAlign w:val="bottom"/>
            <w:vMerge w:val="restart"/>
          </w:tcPr>
          <w:p>
            <w:pPr>
              <w:ind w:left="60"/>
              <w:spacing w:after="0"/>
              <w:rPr>
                <w:sz w:val="20"/>
                <w:szCs w:val="20"/>
                <w:color w:val="auto"/>
              </w:rPr>
            </w:pPr>
            <w:r>
              <w:rPr>
                <w:rFonts w:ascii="Arial" w:cs="Arial" w:eastAsia="Arial" w:hAnsi="Arial"/>
                <w:sz w:val="18"/>
                <w:szCs w:val="18"/>
                <w:color w:val="auto"/>
              </w:rPr>
              <w:t>1,202,033</w:t>
            </w:r>
          </w:p>
        </w:tc>
        <w:tc>
          <w:tcPr>
            <w:tcW w:w="0" w:type="dxa"/>
            <w:vAlign w:val="bottom"/>
          </w:tcPr>
          <w:p>
            <w:pPr>
              <w:spacing w:after="0"/>
              <w:rPr>
                <w:sz w:val="1"/>
                <w:szCs w:val="1"/>
                <w:color w:val="auto"/>
              </w:rPr>
            </w:pPr>
          </w:p>
        </w:tc>
      </w:tr>
      <w:tr>
        <w:trPr>
          <w:trHeight w:val="126"/>
        </w:trPr>
        <w:tc>
          <w:tcPr>
            <w:tcW w:w="1640" w:type="dxa"/>
            <w:vAlign w:val="bottom"/>
            <w:tcBorders>
              <w:right w:val="single" w:sz="8" w:color="auto"/>
            </w:tcBorders>
            <w:vMerge w:val="restart"/>
          </w:tcPr>
          <w:p>
            <w:pPr>
              <w:jc w:val="center"/>
              <w:spacing w:after="0" w:line="194" w:lineRule="exact"/>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1,202,033</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080" w:hanging="380"/>
        <w:spacing w:after="0" w:line="282"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1,202,033</w:t>
      </w:r>
    </w:p>
    <w:p>
      <w:pPr>
        <w:spacing w:after="0" w:line="94" w:lineRule="exact"/>
        <w:rPr>
          <w:sz w:val="20"/>
          <w:szCs w:val="20"/>
          <w:color w:val="auto"/>
        </w:rPr>
      </w:pPr>
    </w:p>
    <w:p>
      <w:pPr>
        <w:ind w:left="620" w:right="2560" w:hanging="425"/>
        <w:spacing w:after="0" w:line="282"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00" w:hanging="422"/>
        <w:spacing w:after="0" w:line="282"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5.6%</w:t>
      </w:r>
    </w:p>
    <w:p>
      <w:pPr>
        <w:spacing w:after="0" w:line="94" w:lineRule="exact"/>
        <w:rPr>
          <w:rFonts w:ascii="Arial" w:cs="Arial" w:eastAsia="Arial" w:hAnsi="Arial"/>
          <w:sz w:val="18"/>
          <w:szCs w:val="18"/>
          <w:color w:val="auto"/>
        </w:rPr>
      </w:pPr>
    </w:p>
    <w:p>
      <w:pPr>
        <w:ind w:left="620" w:right="7340" w:hanging="425"/>
        <w:spacing w:after="0" w:line="282"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BD</w:t>
      </w:r>
    </w:p>
    <w:p>
      <w:pPr>
        <w:sectPr>
          <w:pgSz w:w="11900" w:h="16838" w:orient="portrait"/>
          <w:cols w:equalWidth="0" w:num="1">
            <w:col w:w="10640"/>
          </w:cols>
          <w:pgMar w:left="320" w:top="931" w:right="939" w:bottom="1440" w:gutter="0" w:footer="0" w:header="0"/>
        </w:sectPr>
      </w:pPr>
    </w:p>
    <w:bookmarkStart w:id="3" w:name="page4"/>
    <w:bookmarkEnd w:id="3"/>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78355" cy="26987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b w:val="1"/>
          <w:bCs w:val="1"/>
          <w:color w:val="auto"/>
        </w:rPr>
        <w:t>CUSIP No.: 92280L101</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Ventoux CCM Acquisition Corp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250 West 55th Street, Suite 30A, New York, New York 10019</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BANK OF MONTREAL</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BMO CAPITAL MARKETS CORP.</w:t>
      </w:r>
    </w:p>
    <w:p>
      <w:pPr>
        <w:spacing w:after="0" w:line="221" w:lineRule="exact"/>
        <w:rPr>
          <w:sz w:val="20"/>
          <w:szCs w:val="20"/>
          <w:color w:val="auto"/>
        </w:rPr>
      </w:pPr>
    </w:p>
    <w:p>
      <w:pPr>
        <w:jc w:val="center"/>
        <w:ind w:right="3180"/>
        <w:spacing w:after="0"/>
        <w:rPr>
          <w:sz w:val="20"/>
          <w:szCs w:val="20"/>
          <w:color w:val="auto"/>
        </w:rPr>
      </w:pPr>
      <w:r>
        <w:rPr>
          <w:rFonts w:ascii="Arial" w:cs="Arial" w:eastAsia="Arial" w:hAnsi="Arial"/>
          <w:sz w:val="17"/>
          <w:szCs w:val="17"/>
          <w:b w:val="1"/>
          <w:bCs w:val="1"/>
          <w:color w:val="auto"/>
        </w:rPr>
        <w:t>ITEM 2(b).  ADDRESS OF PRINCIPAL BUSINESS OFFICE OR, IF NONE, RESIDENCE:</w:t>
      </w:r>
    </w:p>
    <w:p>
      <w:pPr>
        <w:spacing w:after="0" w:line="10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100 King Street West, 21st Floor, Toronto, M5X 1A1, Ontario, Canada</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92280L101</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7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1,202,033</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5.6%</w:t>
      </w:r>
    </w:p>
    <w:p>
      <w:pPr>
        <w:spacing w:after="0" w:line="140" w:lineRule="exact"/>
        <w:rPr>
          <w:sz w:val="20"/>
          <w:szCs w:val="20"/>
          <w:color w:val="auto"/>
        </w:rPr>
      </w:pPr>
    </w:p>
    <w:p>
      <w:pPr>
        <w:ind w:left="1260" w:hanging="237"/>
        <w:spacing w:after="0"/>
        <w:tabs>
          <w:tab w:leader="none" w:pos="12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340" w:right="5980" w:hanging="7"/>
        <w:spacing w:after="0" w:line="510" w:lineRule="auto"/>
        <w:tabs>
          <w:tab w:leader="none" w:pos="1555" w:val="left"/>
        </w:tabs>
        <w:numPr>
          <w:ilvl w:val="1"/>
          <w:numId w:val="15"/>
        </w:numPr>
        <w:rPr>
          <w:rFonts w:ascii="Arial" w:cs="Arial" w:eastAsia="Arial" w:hAnsi="Arial"/>
          <w:sz w:val="16"/>
          <w:szCs w:val="16"/>
          <w:color w:val="auto"/>
        </w:rPr>
      </w:pPr>
      <w:r>
        <w:rPr>
          <w:rFonts w:ascii="Arial" w:cs="Arial" w:eastAsia="Arial" w:hAnsi="Arial"/>
          <w:sz w:val="16"/>
          <w:szCs w:val="16"/>
          <w:color w:val="auto"/>
        </w:rPr>
        <w:t>sole power to vote or to direct the vote: BANK OF MONTREAL - 1,202,033</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BMO CAPITAL MARKETS CORP. - 1,202,033</w:t>
      </w:r>
    </w:p>
    <w:p>
      <w:pPr>
        <w:spacing w:after="0" w:line="144" w:lineRule="exact"/>
        <w:rPr>
          <w:sz w:val="20"/>
          <w:szCs w:val="20"/>
          <w:color w:val="auto"/>
        </w:rPr>
      </w:pPr>
    </w:p>
    <w:p>
      <w:pPr>
        <w:ind w:left="1600" w:hanging="267"/>
        <w:spacing w:after="0"/>
        <w:tabs>
          <w:tab w:leader="none" w:pos="1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79" w:lineRule="exact"/>
        <w:rPr>
          <w:rFonts w:ascii="Arial" w:cs="Arial" w:eastAsia="Arial" w:hAnsi="Arial"/>
          <w:sz w:val="18"/>
          <w:szCs w:val="18"/>
          <w:color w:val="auto"/>
        </w:rPr>
      </w:pPr>
    </w:p>
    <w:p>
      <w:pPr>
        <w:ind w:left="1640" w:hanging="307"/>
        <w:spacing w:after="0"/>
        <w:tabs>
          <w:tab w:leader="none" w:pos="1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w:t>
      </w:r>
    </w:p>
    <w:p>
      <w:pPr>
        <w:sectPr>
          <w:pgSz w:w="11900" w:h="16868" w:orient="portrait"/>
          <w:cols w:equalWidth="0" w:num="1">
            <w:col w:w="10360"/>
          </w:cols>
          <w:pgMar w:left="400" w:top="931" w:right="1139" w:bottom="0" w:gutter="0" w:footer="0" w:header="0"/>
        </w:sectPr>
      </w:pPr>
    </w:p>
    <w:bookmarkStart w:id="4" w:name="page5"/>
    <w:bookmarkEnd w:id="4"/>
    <w:p>
      <w:pPr>
        <w:ind w:left="1340"/>
        <w:spacing w:after="0"/>
        <w:rPr>
          <w:sz w:val="20"/>
          <w:szCs w:val="20"/>
          <w:color w:val="auto"/>
        </w:rPr>
      </w:pPr>
      <w:r>
        <w:rPr>
          <w:rFonts w:ascii="Arial" w:cs="Arial" w:eastAsia="Arial" w:hAnsi="Arial"/>
          <w:sz w:val="18"/>
          <w:szCs w:val="18"/>
          <w:color w:val="auto"/>
        </w:rPr>
        <w:t>BANK OF MONTREAL - 1,202,033</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BMO CAPITAL MARKETS CORP. - 1,202,033</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(iv) shared power to dispose or to direct the disposition of:</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020" w:right="26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94" w:lineRule="exact"/>
        <w:rPr>
          <w:sz w:val="20"/>
          <w:szCs w:val="20"/>
          <w:color w:val="auto"/>
        </w:rPr>
      </w:pPr>
    </w:p>
    <w:p>
      <w:pPr>
        <w:ind w:left="1020" w:right="100"/>
        <w:spacing w:after="0" w:line="293" w:lineRule="auto"/>
        <w:rPr>
          <w:sz w:val="20"/>
          <w:szCs w:val="20"/>
          <w:color w:val="auto"/>
        </w:rPr>
      </w:pPr>
      <w:r>
        <w:rPr>
          <w:rFonts w:ascii="Arial" w:cs="Arial" w:eastAsia="Arial" w:hAnsi="Arial"/>
          <w:sz w:val="16"/>
          <w:szCs w:val="16"/>
          <w:color w:val="auto"/>
        </w:rPr>
        <w:t>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16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94" w:lineRule="exact"/>
        <w:rPr>
          <w:sz w:val="20"/>
          <w:szCs w:val="20"/>
          <w:color w:val="auto"/>
        </w:rPr>
      </w:pPr>
    </w:p>
    <w:p>
      <w:pPr>
        <w:ind w:left="1020" w:right="100"/>
        <w:spacing w:after="0" w:line="293" w:lineRule="auto"/>
        <w:rPr>
          <w:sz w:val="20"/>
          <w:szCs w:val="20"/>
          <w:color w:val="auto"/>
        </w:rPr>
      </w:pPr>
      <w:r>
        <w:rPr>
          <w:rFonts w:ascii="Arial" w:cs="Arial" w:eastAsia="Arial" w:hAnsi="Arial"/>
          <w:sz w:val="16"/>
          <w:szCs w:val="16"/>
          <w:color w:val="auto"/>
        </w:rPr>
        <w:t>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16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400" w:top="233" w:right="1059" w:bottom="1440" w:gutter="0" w:footer="0" w:header="0"/>
        </w:sectPr>
      </w:pPr>
    </w:p>
    <w:bookmarkStart w:id="5" w:name="page6"/>
    <w:bookmarkEnd w:id="5"/>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92280L101</w:t>
      </w:r>
    </w:p>
    <w:p>
      <w:pPr>
        <w:spacing w:after="0" w:line="200" w:lineRule="exact"/>
        <w:rPr>
          <w:sz w:val="20"/>
          <w:szCs w:val="20"/>
          <w:color w:val="auto"/>
        </w:rPr>
      </w:pPr>
    </w:p>
    <w:p>
      <w:pPr>
        <w:spacing w:after="0" w:line="205"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80" w:type="dxa"/>
            <w:vAlign w:val="bottom"/>
          </w:tcPr>
          <w:p>
            <w:pPr>
              <w:spacing w:after="0"/>
              <w:rPr>
                <w:sz w:val="20"/>
                <w:szCs w:val="20"/>
                <w:color w:val="auto"/>
              </w:rPr>
            </w:pPr>
            <w:r>
              <w:rPr>
                <w:rFonts w:ascii="Arial" w:cs="Arial" w:eastAsia="Arial" w:hAnsi="Arial"/>
                <w:sz w:val="16"/>
                <w:szCs w:val="16"/>
                <w:color w:val="auto"/>
              </w:rPr>
              <w:t>February 14 2022</w:t>
            </w:r>
          </w:p>
        </w:tc>
        <w:tc>
          <w:tcPr>
            <w:tcW w:w="6160" w:type="dxa"/>
            <w:vAlign w:val="bottom"/>
            <w:gridSpan w:val="2"/>
          </w:tcPr>
          <w:p>
            <w:pPr>
              <w:ind w:left="1020"/>
              <w:spacing w:after="0"/>
              <w:rPr>
                <w:sz w:val="20"/>
                <w:szCs w:val="20"/>
                <w:color w:val="auto"/>
              </w:rPr>
            </w:pPr>
            <w:r>
              <w:rPr>
                <w:rFonts w:ascii="Arial" w:cs="Arial" w:eastAsia="Arial" w:hAnsi="Arial"/>
                <w:sz w:val="16"/>
                <w:szCs w:val="16"/>
                <w:color w:val="auto"/>
              </w:rPr>
              <w:t>Bank of Montreal</w:t>
            </w:r>
          </w:p>
        </w:tc>
      </w:tr>
      <w:tr>
        <w:trPr>
          <w:trHeight w:val="283"/>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Eric Moss</w:t>
            </w:r>
          </w:p>
        </w:tc>
      </w:tr>
      <w:tr>
        <w:trPr>
          <w:trHeight w:val="278"/>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Eric Moss</w:t>
            </w:r>
          </w:p>
        </w:tc>
      </w:tr>
      <w:tr>
        <w:trPr>
          <w:trHeight w:val="270"/>
        </w:trPr>
        <w:tc>
          <w:tcPr>
            <w:tcW w:w="2180" w:type="dxa"/>
            <w:vAlign w:val="bottom"/>
          </w:tcPr>
          <w:p>
            <w:pPr>
              <w:spacing w:after="0"/>
              <w:rPr>
                <w:sz w:val="23"/>
                <w:szCs w:val="23"/>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SVP, DGC, Chief Compliance Officer</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p>
      <w:pPr>
        <w:sectPr>
          <w:pgSz w:w="11900" w:h="16838" w:orient="portrait"/>
          <w:cols w:equalWidth="0" w:num="1">
            <w:col w:w="10139"/>
          </w:cols>
          <w:pgMar w:left="320" w:top="931" w:right="1440" w:bottom="1440" w:gutter="0" w:footer="0" w:header="0"/>
        </w:sectPr>
      </w:pPr>
    </w:p>
    <w:bookmarkStart w:id="6" w:name="page7"/>
    <w:bookmarkEnd w:id="6"/>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92280L101</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Exhibit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Joint Filing Agreement</w:t>
      </w:r>
    </w:p>
    <w:p>
      <w:pPr>
        <w:spacing w:after="0" w:line="200" w:lineRule="exact"/>
        <w:rPr>
          <w:sz w:val="20"/>
          <w:szCs w:val="20"/>
          <w:color w:val="auto"/>
        </w:rPr>
      </w:pPr>
    </w:p>
    <w:p>
      <w:pPr>
        <w:spacing w:after="0" w:line="24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accordance with Rule 13d-1(k) under the Securities Exchange Act of 1934, as amended, each of the undersigned entities, as applicable, pursuant to a duly executed power of attorney, hereby agrees to this and any future joint filing of Schedule 13G (including any and all amendments thereto) to be made on their behalf and further agrees to the filing of this Agreement as an Exhibit to such filing(s). In addition, each party to this Agreement consents to the filing of this and any future Schedule 13G (including any and all amendments to such filings) by Bank of Montreal.</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may be executed in any number of counterparts all of which taken together shall constitute one and the same instrument.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hereby execute this Agreement this 11th day of February,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BANK OF MONTREAL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Eric Moss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Deputy General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Counsel &amp; Chief Compliance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BANK OF MONTREAL EUROPE PUBLIC LIMITED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BMO ASSET MANAGEMENT CORP.</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BMO ASSET MANAGEMENT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LIMITED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BMO DELAWARE TRUST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BMO DIRECT INVEST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 BMO FAMILY OFFICE,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BMO FINANCIAL CORP.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BMO HARRIS BANK NATIONAL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ectPr>
          <w:pgSz w:w="11900" w:h="16838" w:orient="portrait"/>
          <w:cols w:equalWidth="0" w:num="1">
            <w:col w:w="10600"/>
          </w:cols>
          <w:pgMar w:left="320" w:top="931" w:right="979" w:bottom="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BMO INVESTMENTS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BMO INVESTORLINE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BMO NESBITT BURNS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BMO NESBITT BURNS SECURITIES LTD.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BMO PRIVATE EQUITY (CANADA)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BMO PRIVATE EQUITY (U.S.)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BMO PRIVATE INVESTMENT COUNSEL INC.</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BMO TRUST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CLEARPOOL EXECUTION SERVICES,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STOKER OSTLER WEALTH ADVISORS,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*Pursuant to Power of Attorney filed herewith.</w:t>
      </w:r>
    </w:p>
    <w:p>
      <w:pPr>
        <w:sectPr>
          <w:pgSz w:w="11900" w:h="16838" w:orient="portrait"/>
          <w:cols w:equalWidth="0" w:num="1">
            <w:col w:w="10139"/>
          </w:cols>
          <w:pgMar w:left="320" w:top="341" w:right="1440" w:bottom="1440" w:gutter="0" w:footer="0" w:header="0"/>
        </w:sectPr>
      </w:pPr>
    </w:p>
    <w:bookmarkStart w:id="8" w:name="page9"/>
    <w:bookmarkEnd w:id="8"/>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92280L101</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Exhibit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executing Schedules 13G and 13D, 13G/D Joint Filing Agreement and Form 13F</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Each of the undersigned entities represents that the individuals signing on behalf of the entity is duly authorized to do so, and hereby constitutes and appoints Eric Moss, Senior Vice-President, Deputy General Counsel and Chief Compliance Officer of Bank of Montreal, Lino Cambone, Vice-President, Deputy General Counsel, Wealth Management &amp; Assistant Corporate Secretary of Bank of Montreal, and George Walz, Senior Vice-President, U.S. Chief Compliance Officer, Bank of Montreal, his or her true and lawful attorneys-in-fact and agent with full power of substitution and resubstitution, for him or her and in his or her name, place, and stead, in any and all capacities, to:</w:t>
      </w:r>
    </w:p>
    <w:p>
      <w:pPr>
        <w:spacing w:after="0" w:line="178" w:lineRule="exact"/>
        <w:rPr>
          <w:sz w:val="20"/>
          <w:szCs w:val="20"/>
          <w:color w:val="auto"/>
        </w:rPr>
      </w:pPr>
    </w:p>
    <w:p>
      <w:pPr>
        <w:jc w:val="both"/>
        <w:ind w:right="740" w:firstLine="8"/>
        <w:spacing w:after="0" w:line="263"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complete and execute for and on behalf of the undersigned filings on Schedules 13G and 13D in accordance with Section 13(d) of the Securities Exchange Act of 1934, as amended (the Act) and the rules and regulations promulgated thereunder, or any successor laws and regulations;</w:t>
      </w:r>
    </w:p>
    <w:p>
      <w:pPr>
        <w:spacing w:after="0" w:line="183" w:lineRule="exact"/>
        <w:rPr>
          <w:rFonts w:ascii="Arial" w:cs="Arial" w:eastAsia="Arial" w:hAnsi="Arial"/>
          <w:sz w:val="18"/>
          <w:szCs w:val="18"/>
          <w:color w:val="auto"/>
        </w:rPr>
      </w:pPr>
    </w:p>
    <w:p>
      <w:pPr>
        <w:ind w:right="200" w:firstLine="8"/>
        <w:spacing w:after="0" w:line="342" w:lineRule="auto"/>
        <w:tabs>
          <w:tab w:leader="none" w:pos="2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complete and execute for and on behalf of the undersigned a joint filing agreement to provide for the joint filing on Schedules 13G or 13D in accordance with Section 13(d) of the Act and the rules and regulations promulgated thereunder, or any successor laws and regulations;</w:t>
      </w:r>
    </w:p>
    <w:p>
      <w:pPr>
        <w:spacing w:after="0" w:line="123" w:lineRule="exact"/>
        <w:rPr>
          <w:rFonts w:ascii="Arial" w:cs="Arial" w:eastAsia="Arial" w:hAnsi="Arial"/>
          <w:sz w:val="16"/>
          <w:szCs w:val="16"/>
          <w:color w:val="auto"/>
        </w:rPr>
      </w:pPr>
    </w:p>
    <w:p>
      <w:pPr>
        <w:ind w:right="560" w:firstLine="8"/>
        <w:spacing w:after="0" w:line="277"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complete and execute for and on behalf of the undersigned filings on Form 13F as required by Section 13(f) of the Act and the rules and regulations promulgated thereunder, or any successor laws and regulations;</w:t>
      </w:r>
    </w:p>
    <w:p>
      <w:pPr>
        <w:spacing w:after="0" w:line="170" w:lineRule="exact"/>
        <w:rPr>
          <w:rFonts w:ascii="Arial" w:cs="Arial" w:eastAsia="Arial" w:hAnsi="Arial"/>
          <w:sz w:val="18"/>
          <w:szCs w:val="18"/>
          <w:color w:val="auto"/>
        </w:rPr>
      </w:pPr>
    </w:p>
    <w:p>
      <w:pPr>
        <w:ind w:right="140" w:firstLine="8"/>
        <w:spacing w:after="0" w:line="263"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that may be necessary or desirable to complete the execution of any such Schedules 13G and 13D, joint filing agreement and Forms 13F and the timely filing of such forms and agreements with the United States Securities and Exchange Commission and any other authority; and</w:t>
      </w:r>
    </w:p>
    <w:p>
      <w:pPr>
        <w:spacing w:after="0" w:line="183" w:lineRule="exact"/>
        <w:rPr>
          <w:rFonts w:ascii="Arial" w:cs="Arial" w:eastAsia="Arial" w:hAnsi="Arial"/>
          <w:sz w:val="18"/>
          <w:szCs w:val="18"/>
          <w:color w:val="auto"/>
        </w:rPr>
      </w:pPr>
    </w:p>
    <w:p>
      <w:pPr>
        <w:ind w:firstLine="8"/>
        <w:spacing w:after="0" w:line="259"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the Power of Attorney shall be in such form and shall contain such terms and conditions as such attorneys-in-fact may approve in his or her discretion.</w:t>
      </w:r>
    </w:p>
    <w:p>
      <w:pPr>
        <w:spacing w:after="0" w:line="18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Each of the undersigned entities grants to said attorneys-in-fact and agent full power and authority to do and perform each and every act necessary to be done in order to effectuate the same as fully, to all intents and purposes, as it might or could do in person, hereby ratifying and confirming all that said attorneys-in-fact and agent, or his substitute or substitutes, may lawfully do or cause to be done by virtue hereof. The undersigned entities acknowledge that the foregoing attorneys-in-fact, in serving in such capacity at the request of the undersigned, is not assuming any of the undersigneds responsibilities to comply with Section 13(d) of the Act and the rules and regulations promulgated thereunder.</w:t>
      </w:r>
    </w:p>
    <w:p>
      <w:pPr>
        <w:spacing w:after="0" w:line="16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This Power of Attorney shall remain in effect until the undersigned entity is no longer required to file Schedules 13G, 13D or Form 13F, unless earlier revoked by a duly authorized officer of the undersigned entity in writing and delivered to the foregoing attorneys-in-fact.</w:t>
      </w:r>
    </w:p>
    <w:p>
      <w:pPr>
        <w:spacing w:after="0" w:line="14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This Power of Attorney Signature Page may be executed in any number of counterparts, each of which shall be an original, but all of which together shall constitute one instrument. A facsimile or portable document format (.pdf) copy, or an electronic copy by way of reliable electronic signature technology, of the signature of a party to this Power of Attorney on any such counterpart shall be fully effective as in an original signature.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undersigned duly authorized individuals have caused this Power of Attorney to be executed as of February 11,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2022, on behalf of the respective entities.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Signatures on following pages.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BANK OF MONTREAL EUROPE PUBLIC LIMITED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Jane Anne Negi______________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Jane Anne Negi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Noel Reynolds_______________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Noel Reynolds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BMO ASSET MANAGEMENT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Ross Kappele 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Ross Kappele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Head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Kevin Gopaul 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Kevin Gopaul</w:t>
      </w:r>
    </w:p>
    <w:p>
      <w:pPr>
        <w:sectPr>
          <w:pgSz w:w="11900" w:h="16838" w:orient="portrait"/>
          <w:cols w:equalWidth="0" w:num="1">
            <w:col w:w="10620"/>
          </w:cols>
          <w:pgMar w:left="320" w:top="931" w:right="959" w:bottom="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Title: Head of Exchange Traded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BMO ASSET MANAGEMENT CORP.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 /s/ Steven J. Arquilla___________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Steven J. Arquilla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Head, U.S. Global Asset Management Governance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By: /s/ Pete Andrews_______________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Pete Andrews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Head of Operations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Brad Rothbaum_____________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Brad Rothbaum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Operating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LIMITED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William Smith_____________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William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Paula Young______________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Paula Young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BMO DIRECT INVEST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Karen Messnick___________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Karen Messnick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Operations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BMO DELAWARE TRUST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Amy Griman___________________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Any Griman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BMO FAMILY OFFICE,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Rob Gray 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Robert Gray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BMO FINANCIAL CORP.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Darrel Hackett 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Darrel Hackett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U.S. Wealth Management</w:t>
      </w:r>
    </w:p>
    <w:p>
      <w:pPr>
        <w:sectPr>
          <w:pgSz w:w="11900" w:h="16838" w:orient="portrait"/>
          <w:cols w:equalWidth="0" w:num="1">
            <w:col w:w="10139"/>
          </w:cols>
          <w:pgMar w:left="320" w:top="125" w:right="1440" w:bottom="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By: /s/ Michelle Magnaye __________</w:t>
      </w:r>
    </w:p>
    <w:p>
      <w:pPr>
        <w:sectPr>
          <w:pgSz w:w="11900" w:h="16838" w:orient="portrait"/>
          <w:cols w:equalWidth="0" w:num="1">
            <w:col w:w="10139"/>
          </w:cols>
          <w:pgMar w:left="320" w:top="125" w:right="1440" w:bottom="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Name: Michelle Magnaye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Assistant Corporate Secretary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BMO HARRIS BANK NATIONAL ASSOCIATION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 /s/ Darrel Hackett 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Darrel Hackett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Vice President, and Head,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Wealth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BMO INVESTMENTS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Ross Kappele 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Ross Kappele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Head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Kevin Gopaul 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Kevin Gopaul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Head of Exchange Traded Funds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BMO INVESTORLINE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Deland Kamanga 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Deland Kamanga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Juron Grant-Kinnear___________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Juron Grant-Kinnear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BMO NESBITT BURNS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Deland Kamanga_____________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Deland Kamanga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Juron Grant-Kinnear__________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Juron Grant-Kinnear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Assistant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BMO NESBITT BURNS SECURITIES LTD.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Dave Persaud________________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Devanand (Dave) Persaud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Victoria Robinson 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Victoria Robinson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BMO PRIVATE EQUITY (CANADA)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Serkan Eskinazi_______________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Serkan Eskinazi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Victoria Robinson_____________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Victoria Robinson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BMO PRIVATE EQUITY (U.S.), INC.</w:t>
      </w:r>
    </w:p>
    <w:p>
      <w:pPr>
        <w:sectPr>
          <w:pgSz w:w="11900" w:h="16838" w:orient="portrait"/>
          <w:cols w:equalWidth="0" w:num="1">
            <w:col w:w="10139"/>
          </w:cols>
          <w:pgMar w:left="320" w:top="125" w:right="1440" w:bottom="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By: /s/ _Scott Rubenstein______________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Scott Rubenstein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BMO PRIVATE INVESTMENT COUNSEL INC.</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By: /s/ Gilles Ouellette 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Gilles Ouellette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Juron Grant-Kinnear__________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Juron Grant-Kinnear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Corporate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CLEARPOOL EXECUTION SERVICES,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LLC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Brad Rothbaum_______________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Brad Rothbaum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BMO TRUST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 /s/ Elizabeth Dorsch__________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Elizabeth Dorsch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Bruce Ferman 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Bruce Ferman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STOKER OSTLER WEALTH ADVISORS, INC.</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By: /s/ Michelle L. Decker 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Michelle L. Decker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Operating Officer</w:t>
      </w:r>
    </w:p>
    <w:sectPr>
      <w:pgSz w:w="11900" w:h="16838" w:orient="portrait"/>
      <w:cols w:equalWidth="0" w:num="1">
        <w:col w:w="10139"/>
      </w:cols>
      <w:pgMar w:left="32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2]"/>
      <w:numFmt w:val="upperLetter"/>
      <w:start w:val="24"/>
    </w:lvl>
  </w:abstractNum>
  <w:abstractNum w:abstractNumId="1">
    <w:nsid w:val="12200854"/>
    <w:multiLevelType w:val="hybridMultilevel"/>
    <w:lvl w:ilvl="0">
      <w:lvlJc w:val="left"/>
      <w:lvlText w:val="1"/>
      <w:numFmt w:val="bullet"/>
      <w:start w:val="1"/>
    </w:lvl>
  </w:abstractNum>
  <w:abstractNum w:abstractNumId="2">
    <w:nsid w:val="4DB127F8"/>
    <w:multiLevelType w:val="hybridMultilevel"/>
    <w:lvl w:ilvl="0">
      <w:lvlJc w:val="left"/>
      <w:lvlText w:val="2"/>
      <w:numFmt w:val="bullet"/>
      <w:start w:val="1"/>
    </w:lvl>
    <w:lvl w:ilvl="1">
      <w:lvlJc w:val="left"/>
      <w:lvlText w:val="(%2)"/>
      <w:numFmt w:val="lowerLetter"/>
      <w:start w:val="1"/>
    </w:lvl>
  </w:abstractNum>
  <w:abstractNum w:abstractNumId="3">
    <w:nsid w:val="216231B"/>
    <w:multiLevelType w:val="hybridMultilevel"/>
    <w:lvl w:ilvl="0">
      <w:lvlJc w:val="left"/>
      <w:lvlText w:val="3"/>
      <w:numFmt w:val="bullet"/>
      <w:start w:val="1"/>
    </w:lvl>
  </w:abstractNum>
  <w:abstractNum w:abstractNumId="4">
    <w:nsid w:val="1F16E9E8"/>
    <w:multiLevelType w:val="hybridMultilevel"/>
    <w:lvl w:ilvl="0">
      <w:lvlJc w:val="left"/>
      <w:lvlText w:val="4"/>
      <w:numFmt w:val="bullet"/>
      <w:start w:val="1"/>
    </w:lvl>
  </w:abstractNum>
  <w:abstractNum w:abstractNumId="5">
    <w:nsid w:val="1190CDE7"/>
    <w:multiLevelType w:val="hybridMultilevel"/>
    <w:lvl w:ilvl="0">
      <w:lvlJc w:val="left"/>
      <w:lvlText w:val="9"/>
      <w:numFmt w:val="bullet"/>
      <w:start w:val="1"/>
    </w:lvl>
  </w:abstractNum>
  <w:abstractNum w:abstractNumId="6">
    <w:nsid w:val="66EF438D"/>
    <w:multiLevelType w:val="hybridMultilevel"/>
    <w:lvl w:ilvl="0">
      <w:lvlJc w:val="left"/>
      <w:lvlText w:val="%1"/>
      <w:numFmt w:val="decimal"/>
      <w:start w:val="10"/>
    </w:lvl>
  </w:abstractNum>
  <w:abstractNum w:abstractNumId="7">
    <w:nsid w:val="140E0F76"/>
    <w:multiLevelType w:val="hybridMultilevel"/>
    <w:lvl w:ilvl="0">
      <w:lvlJc w:val="left"/>
      <w:lvlText w:val="1"/>
      <w:numFmt w:val="bullet"/>
      <w:start w:val="1"/>
    </w:lvl>
  </w:abstractNum>
  <w:abstractNum w:abstractNumId="8">
    <w:nsid w:val="3352255A"/>
    <w:multiLevelType w:val="hybridMultilevel"/>
    <w:lvl w:ilvl="0">
      <w:lvlJc w:val="left"/>
      <w:lvlText w:val="2"/>
      <w:numFmt w:val="bullet"/>
      <w:start w:val="1"/>
    </w:lvl>
    <w:lvl w:ilvl="1">
      <w:lvlJc w:val="left"/>
      <w:lvlText w:val="(%2)"/>
      <w:numFmt w:val="lowerLetter"/>
      <w:start w:val="1"/>
    </w:lvl>
  </w:abstractNum>
  <w:abstractNum w:abstractNumId="9">
    <w:nsid w:val="109CF92E"/>
    <w:multiLevelType w:val="hybridMultilevel"/>
    <w:lvl w:ilvl="0">
      <w:lvlJc w:val="left"/>
      <w:lvlText w:val="3"/>
      <w:numFmt w:val="bullet"/>
      <w:start w:val="1"/>
    </w:lvl>
  </w:abstractNum>
  <w:abstractNum w:abstractNumId="10">
    <w:nsid w:val="DED7263"/>
    <w:multiLevelType w:val="hybridMultilevel"/>
    <w:lvl w:ilvl="0">
      <w:lvlJc w:val="left"/>
      <w:lvlText w:val="4"/>
      <w:numFmt w:val="bullet"/>
      <w:start w:val="1"/>
    </w:lvl>
  </w:abstractNum>
  <w:abstractNum w:abstractNumId="11">
    <w:nsid w:val="7FDCC233"/>
    <w:multiLevelType w:val="hybridMultilevel"/>
    <w:lvl w:ilvl="0">
      <w:lvlJc w:val="left"/>
      <w:lvlText w:val="9"/>
      <w:numFmt w:val="bullet"/>
      <w:start w:val="1"/>
    </w:lvl>
  </w:abstractNum>
  <w:abstractNum w:abstractNumId="12">
    <w:nsid w:val="1BEFD79F"/>
    <w:multiLevelType w:val="hybridMultilevel"/>
    <w:lvl w:ilvl="0">
      <w:lvlJc w:val="left"/>
      <w:lvlText w:val="%1"/>
      <w:numFmt w:val="decimal"/>
      <w:start w:val="10"/>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3"/>
    </w:lvl>
    <w:lvl w:ilvl="1">
      <w:lvlJc w:val="left"/>
      <w:lvlText w:val="(%2)"/>
      <w:numFmt w:val="lowerLetter"/>
      <w:start w:val="9"/>
    </w:lvl>
  </w:abstractNum>
  <w:abstractNum w:abstractNumId="15">
    <w:nsid w:val="4E6AFB66"/>
    <w:multiLevelType w:val="hybridMultilevel"/>
    <w:lvl w:ilvl="0">
      <w:lvlJc w:val="left"/>
      <w:lvlText w:val="(%1)"/>
      <w:numFmt w:val="lowerRoman"/>
      <w:start w:val="2"/>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2022-02-15T09:02:30Z</dcterms:created>
  <dcterms:modified xsi:type="dcterms:W3CDTF">2022-02-15T09:02:30Z</dcterms:modified>
</cp:coreProperties>
</file>