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140" w:hanging="197"/>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b w:val="1"/>
                <w:bCs w:val="1"/>
                <w:color w:val="auto"/>
              </w:rPr>
              <w:t>For the transition period from</w:t>
            </w:r>
          </w:p>
        </w:tc>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to</w:t>
            </w:r>
          </w:p>
        </w:tc>
      </w:tr>
      <w:tr>
        <w:trPr>
          <w:trHeight w:val="495"/>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0" w:type="dxa"/>
            <w:vAlign w:val="bottom"/>
            <w:gridSpan w:val="6"/>
          </w:tcPr>
          <w:p>
            <w:pPr>
              <w:jc w:val="center"/>
              <w:ind w:right="3750"/>
              <w:spacing w:after="0"/>
              <w:rPr>
                <w:sz w:val="20"/>
                <w:szCs w:val="20"/>
                <w:color w:val="auto"/>
              </w:rPr>
            </w:pPr>
            <w:r>
              <w:rPr>
                <w:rFonts w:ascii="Arial" w:cs="Arial" w:eastAsia="Arial" w:hAnsi="Arial"/>
                <w:sz w:val="25"/>
                <w:szCs w:val="25"/>
                <w:b w:val="1"/>
                <w:bCs w:val="1"/>
                <w:color w:val="auto"/>
              </w:rPr>
              <w:t>PRESTO AUTOMATION INC.</w:t>
            </w:r>
          </w:p>
        </w:tc>
      </w:tr>
      <w:tr>
        <w:trPr>
          <w:trHeight w:val="234"/>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0" w:type="dxa"/>
            <w:vAlign w:val="bottom"/>
            <w:gridSpan w:val="7"/>
          </w:tcPr>
          <w:p>
            <w:pPr>
              <w:jc w:val="center"/>
              <w:ind w:right="353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39"/>
        </w:trPr>
        <w:tc>
          <w:tcPr>
            <w:tcW w:w="3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0"/>
              </w:rPr>
              <w:t>001-39830</w:t>
            </w:r>
          </w:p>
        </w:tc>
        <w:tc>
          <w:tcPr>
            <w:tcW w:w="454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84-2968594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auto"/>
            </w:tcBorders>
            <w:gridSpan w:val="3"/>
          </w:tcPr>
          <w:p>
            <w:pPr>
              <w:jc w:val="center"/>
              <w:ind w:left="646"/>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incorporation or organization)</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64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2"/>
              </w:rPr>
              <w:t>985 Industrial Road</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3640" w:type="dxa"/>
            <w:vAlign w:val="bottom"/>
            <w:tcBorders>
              <w:bottom w:val="single" w:sz="8" w:color="auto"/>
            </w:tcBorders>
            <w:gridSpan w:val="2"/>
          </w:tcPr>
          <w:p>
            <w:pPr>
              <w:jc w:val="center"/>
              <w:ind w:left="1790"/>
              <w:spacing w:after="0"/>
              <w:rPr>
                <w:sz w:val="20"/>
                <w:szCs w:val="20"/>
                <w:color w:val="auto"/>
              </w:rPr>
            </w:pPr>
            <w:r>
              <w:rPr>
                <w:rFonts w:ascii="Arial" w:cs="Arial" w:eastAsia="Arial" w:hAnsi="Arial"/>
                <w:sz w:val="18"/>
                <w:szCs w:val="18"/>
                <w:b w:val="1"/>
                <w:bCs w:val="1"/>
                <w:color w:val="auto"/>
                <w:w w:val="91"/>
              </w:rPr>
              <w:t>San Carlos, California</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Arial" w:cs="Arial" w:eastAsia="Arial" w:hAnsi="Arial"/>
                <w:sz w:val="18"/>
                <w:szCs w:val="18"/>
                <w:b w:val="1"/>
                <w:bCs w:val="1"/>
                <w:color w:val="auto"/>
              </w:rPr>
              <w:t>94070</w:t>
            </w:r>
          </w:p>
        </w:tc>
      </w:tr>
      <w:tr>
        <w:trPr>
          <w:trHeight w:val="234"/>
        </w:trPr>
        <w:tc>
          <w:tcPr>
            <w:tcW w:w="5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r>
        <w:trPr>
          <w:trHeight w:val="395"/>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0"/>
              </w:rPr>
              <w:t>(650) 817-9012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0" w:type="dxa"/>
            <w:vAlign w:val="bottom"/>
            <w:gridSpan w:val="7"/>
          </w:tcPr>
          <w:p>
            <w:pPr>
              <w:jc w:val="center"/>
              <w:ind w:right="353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414"/>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0" w:type="dxa"/>
            <w:vAlign w:val="bottom"/>
            <w:gridSpan w:val="6"/>
          </w:tcPr>
          <w:p>
            <w:pPr>
              <w:jc w:val="center"/>
              <w:ind w:right="3750"/>
              <w:spacing w:after="0"/>
              <w:rPr>
                <w:sz w:val="20"/>
                <w:szCs w:val="20"/>
                <w:color w:val="auto"/>
              </w:rPr>
            </w:pPr>
            <w:r>
              <w:rPr>
                <w:rFonts w:ascii="Arial" w:cs="Arial" w:eastAsia="Arial" w:hAnsi="Arial"/>
                <w:sz w:val="18"/>
                <w:szCs w:val="18"/>
                <w:b w:val="1"/>
                <w:bCs w:val="1"/>
                <w:color w:val="auto"/>
              </w:rPr>
              <w:t>VENTOUX CCM ACQUISITION CORP.</w:t>
            </w:r>
          </w:p>
        </w:tc>
      </w:tr>
      <w:tr>
        <w:trPr>
          <w:trHeight w:val="216"/>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0" w:type="dxa"/>
            <w:vAlign w:val="bottom"/>
            <w:gridSpan w:val="6"/>
          </w:tcPr>
          <w:p>
            <w:pPr>
              <w:jc w:val="center"/>
              <w:ind w:right="3730"/>
              <w:spacing w:after="0"/>
              <w:rPr>
                <w:sz w:val="20"/>
                <w:szCs w:val="20"/>
                <w:color w:val="auto"/>
              </w:rPr>
            </w:pPr>
            <w:r>
              <w:rPr>
                <w:rFonts w:ascii="Arial" w:cs="Arial" w:eastAsia="Arial" w:hAnsi="Arial"/>
                <w:sz w:val="18"/>
                <w:szCs w:val="18"/>
                <w:b w:val="1"/>
                <w:bCs w:val="1"/>
                <w:color w:val="auto"/>
                <w:w w:val="90"/>
              </w:rPr>
              <w:t>1 East Putnam Avenue, Floor 4</w:t>
            </w:r>
          </w:p>
        </w:tc>
      </w:tr>
      <w:tr>
        <w:trPr>
          <w:trHeight w:val="216"/>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3"/>
          </w:tcPr>
          <w:p>
            <w:pPr>
              <w:jc w:val="center"/>
              <w:ind w:left="626"/>
              <w:spacing w:after="0"/>
              <w:rPr>
                <w:sz w:val="20"/>
                <w:szCs w:val="20"/>
                <w:color w:val="auto"/>
              </w:rPr>
            </w:pPr>
            <w:r>
              <w:rPr>
                <w:rFonts w:ascii="Arial" w:cs="Arial" w:eastAsia="Arial" w:hAnsi="Arial"/>
                <w:sz w:val="18"/>
                <w:szCs w:val="18"/>
                <w:b w:val="1"/>
                <w:bCs w:val="1"/>
                <w:color w:val="auto"/>
                <w:w w:val="90"/>
              </w:rPr>
              <w:t>Greenwich, Connecticut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11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r>
      <w:tr>
        <w:trPr>
          <w:trHeight w:val="432"/>
        </w:trPr>
        <w:tc>
          <w:tcPr>
            <w:tcW w:w="67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Borders>
              <w:bottom w:val="single" w:sz="8" w:color="auto"/>
            </w:tcBorders>
            <w:gridSpan w:val="3"/>
          </w:tcPr>
          <w:p>
            <w:pPr>
              <w:jc w:val="center"/>
              <w:ind w:left="646"/>
              <w:spacing w:after="0"/>
              <w:rPr>
                <w:sz w:val="20"/>
                <w:szCs w:val="20"/>
                <w:color w:val="auto"/>
              </w:rPr>
            </w:pPr>
            <w:r>
              <w:rPr>
                <w:rFonts w:ascii="Arial" w:cs="Arial" w:eastAsia="Arial" w:hAnsi="Arial"/>
                <w:sz w:val="18"/>
                <w:szCs w:val="18"/>
                <w:b w:val="1"/>
                <w:bCs w:val="1"/>
                <w:color w:val="auto"/>
                <w:w w:val="91"/>
              </w:rPr>
              <w:t>Trading Symbol(s)</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16"/>
        </w:trPr>
        <w:tc>
          <w:tcPr>
            <w:tcW w:w="3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Common Stock, par value $0.0001 per share</w:t>
            </w:r>
          </w:p>
        </w:tc>
        <w:tc>
          <w:tcPr>
            <w:tcW w:w="20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jc w:val="center"/>
              <w:ind w:left="646"/>
              <w:spacing w:after="0"/>
              <w:rPr>
                <w:sz w:val="20"/>
                <w:szCs w:val="20"/>
                <w:color w:val="auto"/>
              </w:rPr>
            </w:pPr>
            <w:r>
              <w:rPr>
                <w:rFonts w:ascii="Arial" w:cs="Arial" w:eastAsia="Arial" w:hAnsi="Arial"/>
                <w:sz w:val="18"/>
                <w:szCs w:val="18"/>
                <w:color w:val="auto"/>
                <w:w w:val="91"/>
              </w:rPr>
              <w:t>PRST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6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64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20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jc w:val="center"/>
              <w:ind w:left="646"/>
              <w:spacing w:after="0" w:line="201" w:lineRule="exact"/>
              <w:rPr>
                <w:sz w:val="20"/>
                <w:szCs w:val="20"/>
                <w:color w:val="auto"/>
              </w:rPr>
            </w:pPr>
            <w:r>
              <w:rPr>
                <w:rFonts w:ascii="Arial" w:cs="Arial" w:eastAsia="Arial" w:hAnsi="Arial"/>
                <w:sz w:val="18"/>
                <w:szCs w:val="18"/>
                <w:color w:val="auto"/>
                <w:w w:val="92"/>
              </w:rPr>
              <w:t>PRSTW</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share of Common Stock, each at an exercise price</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of $8.21 per share</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418"/>
        </w:trPr>
        <w:tc>
          <w:tcPr>
            <w:tcW w:w="11240" w:type="dxa"/>
            <w:vAlign w:val="bottom"/>
            <w:gridSpan w:val="9"/>
          </w:tcPr>
          <w:p>
            <w:pPr>
              <w:spacing w:after="0"/>
              <w:rPr>
                <w:sz w:val="20"/>
                <w:szCs w:val="20"/>
                <w:color w:val="auto"/>
              </w:rPr>
            </w:pPr>
            <w:r>
              <w:rPr>
                <w:rFonts w:ascii="Arial" w:cs="Arial" w:eastAsia="Arial" w:hAnsi="Arial"/>
                <w:sz w:val="18"/>
                <w:szCs w:val="18"/>
                <w:color w:val="auto"/>
                <w:w w:val="93"/>
              </w:rPr>
              <w:t>Indicate by check mark whether the registrant (1) has filed all reports required to be filed by Section 13 or 15(d) of the Securities Exchange Act of 1934</w:t>
            </w:r>
          </w:p>
        </w:tc>
      </w:tr>
      <w:tr>
        <w:trPr>
          <w:trHeight w:val="183"/>
        </w:trPr>
        <w:tc>
          <w:tcPr>
            <w:tcW w:w="11240" w:type="dxa"/>
            <w:vAlign w:val="bottom"/>
            <w:gridSpan w:val="9"/>
          </w:tcPr>
          <w:p>
            <w:pPr>
              <w:spacing w:after="0" w:line="183" w:lineRule="exact"/>
              <w:rPr>
                <w:sz w:val="20"/>
                <w:szCs w:val="20"/>
                <w:color w:val="auto"/>
              </w:rPr>
            </w:pPr>
            <w:r>
              <w:rPr>
                <w:rFonts w:ascii="Arial" w:cs="Arial" w:eastAsia="Arial" w:hAnsi="Arial"/>
                <w:sz w:val="18"/>
                <w:szCs w:val="18"/>
                <w:color w:val="auto"/>
                <w:w w:val="94"/>
              </w:rPr>
              <w:t>during the preceding 12 months (or for such shorter period that the registrant was required to file such reports), and (2) has been subject to such filing</w:t>
            </w:r>
          </w:p>
        </w:tc>
      </w:tr>
      <w:tr>
        <w:trPr>
          <w:trHeight w:val="283"/>
        </w:trPr>
        <w:tc>
          <w:tcPr>
            <w:tcW w:w="3640" w:type="dxa"/>
            <w:vAlign w:val="bottom"/>
            <w:gridSpan w:val="2"/>
          </w:tcPr>
          <w:p>
            <w:pPr>
              <w:spacing w:after="0" w:line="207" w:lineRule="exact"/>
              <w:rPr>
                <w:sz w:val="20"/>
                <w:szCs w:val="20"/>
                <w:color w:val="auto"/>
              </w:rPr>
            </w:pPr>
            <w:r>
              <w:rPr>
                <w:rFonts w:ascii="Arial" w:cs="Arial" w:eastAsia="Arial" w:hAnsi="Arial"/>
                <w:sz w:val="18"/>
                <w:szCs w:val="18"/>
                <w:color w:val="auto"/>
                <w:w w:val="94"/>
              </w:rPr>
              <w:t xml:space="preserve">requirements for the past 90 days. Yes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No </w:t>
            </w:r>
            <w:r>
              <w:rPr>
                <w:rFonts w:ascii="MS PGothic" w:cs="MS PGothic" w:eastAsia="MS PGothic" w:hAnsi="MS PGothic"/>
                <w:sz w:val="18"/>
                <w:szCs w:val="18"/>
                <w:color w:val="auto"/>
                <w:w w:val="94"/>
              </w:rPr>
              <w:t>☐</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82"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2022, 50,639,837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132"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40" w:type="dxa"/>
            <w:vAlign w:val="bottom"/>
            <w:gridSpan w:val="8"/>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Cautionary Statement Regarding Forward-Looking Statements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176"/>
        </w:trPr>
        <w:tc>
          <w:tcPr>
            <w:tcW w:w="452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5940" w:type="dxa"/>
            <w:vAlign w:val="bottom"/>
            <w:tcBorders>
              <w:top w:val="single" w:sz="8" w:color="CCEEFF"/>
            </w:tcBorders>
            <w:gridSpan w:val="8"/>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Financial Statements (Unaudited)</w:t>
            </w:r>
          </w:p>
        </w:tc>
        <w:tc>
          <w:tcPr>
            <w:tcW w:w="518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175"/>
        </w:trPr>
        <w:tc>
          <w:tcPr>
            <w:tcW w:w="840" w:type="dxa"/>
            <w:vAlign w:val="bottom"/>
          </w:tcPr>
          <w:p>
            <w:pPr>
              <w:spacing w:after="0"/>
              <w:rPr>
                <w:sz w:val="15"/>
                <w:szCs w:val="15"/>
                <w:color w:val="auto"/>
              </w:rPr>
            </w:pPr>
          </w:p>
        </w:tc>
        <w:tc>
          <w:tcPr>
            <w:tcW w:w="96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Condensed Consolidated Balance Sheets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Operations and Comprehensive Income (Loss)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176"/>
        </w:trPr>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220" w:type="dxa"/>
            <w:vAlign w:val="bottom"/>
            <w:tcBorders>
              <w:top w:val="single" w:sz="8" w:color="0000EE"/>
            </w:tcBorders>
            <w:gridSpan w:val="16"/>
          </w:tcPr>
          <w:p>
            <w:pPr>
              <w:spacing w:after="0" w:line="176" w:lineRule="exact"/>
              <w:rPr>
                <w:sz w:val="20"/>
                <w:szCs w:val="20"/>
                <w:color w:val="auto"/>
              </w:rPr>
            </w:pPr>
            <w:r>
              <w:rPr>
                <w:rFonts w:ascii="Arial" w:cs="Arial" w:eastAsia="Arial" w:hAnsi="Arial"/>
                <w:sz w:val="18"/>
                <w:szCs w:val="18"/>
                <w:color w:val="0000EE"/>
              </w:rPr>
              <w:t>Condensed Consolidated Statements of Stockholders’ Equity (Deficit)</w:t>
            </w:r>
          </w:p>
        </w:tc>
        <w:tc>
          <w:tcPr>
            <w:tcW w:w="3220" w:type="dxa"/>
            <w:vAlign w:val="bottom"/>
            <w:tcBorders>
              <w:top w:val="single" w:sz="8" w:color="CCEEFF"/>
            </w:tcBorders>
            <w:gridSpan w:val="3"/>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87"/>
              </w:rPr>
              <w:t>Condensed Statements of Cash Flows</w:t>
            </w:r>
          </w:p>
        </w:tc>
        <w:tc>
          <w:tcPr>
            <w:tcW w:w="6720" w:type="dxa"/>
            <w:vAlign w:val="bottom"/>
            <w:tcBorders>
              <w:bottom w:val="single" w:sz="8" w:color="CCEEFF"/>
            </w:tcBorders>
            <w:gridSpan w:val="1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176"/>
        </w:trPr>
        <w:tc>
          <w:tcPr>
            <w:tcW w:w="840" w:type="dxa"/>
            <w:vAlign w:val="bottom"/>
          </w:tcPr>
          <w:p>
            <w:pPr>
              <w:spacing w:after="0"/>
              <w:rPr>
                <w:sz w:val="15"/>
                <w:szCs w:val="15"/>
                <w:color w:val="auto"/>
              </w:rPr>
            </w:pPr>
          </w:p>
        </w:tc>
        <w:tc>
          <w:tcPr>
            <w:tcW w:w="96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80" w:type="dxa"/>
            <w:vAlign w:val="bottom"/>
            <w:shd w:val="clear" w:color="auto" w:fill="CCEEFF"/>
          </w:tcPr>
          <w:p>
            <w:pPr>
              <w:spacing w:after="0"/>
              <w:rPr>
                <w:sz w:val="15"/>
                <w:szCs w:val="15"/>
                <w:color w:val="auto"/>
              </w:rPr>
            </w:pPr>
          </w:p>
        </w:tc>
        <w:tc>
          <w:tcPr>
            <w:tcW w:w="94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60" w:type="dxa"/>
            <w:vAlign w:val="bottom"/>
            <w:gridSpan w:val="21"/>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78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810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Risk Factors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 from Registered Securities</w:t>
            </w:r>
          </w:p>
        </w:tc>
        <w:tc>
          <w:tcPr>
            <w:tcW w:w="312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Defaults Upon Senior Securities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Other Information</w:t>
            </w:r>
          </w:p>
        </w:tc>
        <w:tc>
          <w:tcPr>
            <w:tcW w:w="7680" w:type="dxa"/>
            <w:vAlign w:val="bottom"/>
            <w:tcBorders>
              <w:top w:val="single" w:sz="8" w:color="CCEEFF"/>
            </w:tcBorders>
            <w:gridSpan w:val="14"/>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20"/>
            <w:shd w:val="clear" w:color="auto" w:fill="CCEEFF"/>
          </w:tcPr>
          <w:p>
            <w:pPr>
              <w:ind w:left="180"/>
              <w:spacing w:after="0" w:line="176" w:lineRule="exact"/>
              <w:rPr>
                <w:sz w:val="20"/>
                <w:szCs w:val="20"/>
                <w:color w:val="auto"/>
              </w:rPr>
            </w:pPr>
            <w:r>
              <w:rPr>
                <w:rFonts w:ascii="Arial" w:cs="Arial" w:eastAsia="Arial" w:hAnsi="Arial"/>
                <w:sz w:val="18"/>
                <w:szCs w:val="18"/>
                <w:color w:val="0000EE"/>
              </w:rPr>
              <w:t>Exhibits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ind w:left="24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Quarterly Report on Form 10-Q contains statements that Presto Automation Inc. (the “Company” or “Presto”) believes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Quarterly Report,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Some factors that could cause actual results to differ include, but are not limited to, the following:</w:t>
      </w:r>
    </w:p>
    <w:p>
      <w:pPr>
        <w:spacing w:after="0" w:line="187" w:lineRule="exact"/>
        <w:rPr>
          <w:sz w:val="20"/>
          <w:szCs w:val="20"/>
          <w:color w:val="auto"/>
        </w:rPr>
      </w:pPr>
    </w:p>
    <w:p>
      <w:pPr>
        <w:ind w:left="980" w:right="14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pacing w:after="0" w:line="146" w:lineRule="exact"/>
        <w:rPr>
          <w:rFonts w:ascii="Arial" w:cs="Arial" w:eastAsia="Arial" w:hAnsi="Arial"/>
          <w:sz w:val="17"/>
          <w:szCs w:val="17"/>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Presto’s limited operating history with its new Vision and Voice products in a new and developing market makes it difficult to evaluate its current business and future prospects and may increase the risk that it will not be successful.</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has a history of generating net losses, and if it is unable to achieve adequate revenue growth while its expenses increase, it may not achieve or maintain profitability in the future.</w:t>
      </w:r>
    </w:p>
    <w:p>
      <w:pPr>
        <w:spacing w:after="0" w:line="170"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146"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Presto recognizes revenue from the sale of its products over a multi-year term, downturns or upturns in sales are not immediately reflected in full in its results of operations.</w:t>
      </w:r>
    </w:p>
    <w:p>
      <w:pPr>
        <w:spacing w:after="0" w:line="170"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and certain of its third-party partners, service providers, and sub processors transmit and store personal information of its customers and consumers. If the security of this information is compromised, Presto’s reputation may be harmed, and it may be exposed to liability and loss of business.</w:t>
      </w:r>
    </w:p>
    <w:p>
      <w:pPr>
        <w:spacing w:after="0" w:line="183"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is subject to stringent and changing privacy laws, regulations and standards, and contractual obligations related to data privacy and security, and noncompliance with such laws could adversely affect its business.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 w:name="page4"/>
    <w:bookmarkEnd w:id="3"/>
    <w:p>
      <w:pPr>
        <w:ind w:left="324" w:right="460" w:hanging="324"/>
        <w:spacing w:after="0" w:line="308" w:lineRule="auto"/>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146" w:lineRule="exact"/>
        <w:rPr>
          <w:rFonts w:ascii="Arial" w:cs="Arial" w:eastAsia="Arial" w:hAnsi="Arial"/>
          <w:sz w:val="17"/>
          <w:szCs w:val="17"/>
          <w:color w:val="auto"/>
        </w:rPr>
      </w:pPr>
    </w:p>
    <w:p>
      <w:pPr>
        <w:ind w:left="324" w:right="56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has outstanding secured debt that contains financial covenants and other restrictions on its actions that may limit its operational flexibility or otherwise adversely affect its results of operations.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Presto’s sales cycles can be long and unpredictable, and its sales efforts require considerable investment of time and expense.</w:t>
      </w:r>
    </w:p>
    <w:p>
      <w:pPr>
        <w:spacing w:after="0" w:line="225" w:lineRule="exact"/>
        <w:rPr>
          <w:rFonts w:ascii="Arial" w:cs="Arial" w:eastAsia="Arial" w:hAnsi="Arial"/>
          <w:sz w:val="18"/>
          <w:szCs w:val="18"/>
          <w:color w:val="auto"/>
        </w:rPr>
      </w:pPr>
    </w:p>
    <w:p>
      <w:pPr>
        <w:ind w:left="324" w:right="12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is substantial doubt about our ability to continue as a going concern if we do not receive additional financing in a timely manner.</w:t>
      </w:r>
    </w:p>
    <w:p>
      <w:pPr>
        <w:spacing w:after="0" w:line="236" w:lineRule="exact"/>
        <w:rPr>
          <w:rFonts w:ascii="Arial" w:cs="Arial" w:eastAsia="Arial" w:hAnsi="Arial"/>
          <w:sz w:val="17"/>
          <w:szCs w:val="17"/>
          <w:color w:val="auto"/>
        </w:rPr>
      </w:pPr>
    </w:p>
    <w:p>
      <w:pPr>
        <w:ind w:left="324" w:right="50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on a limited number of suppliers to provide part of the technology it offers. Thus, it is at risk of shortages, price increases, changes, delays or discontinuations of hardware.</w:t>
      </w:r>
    </w:p>
    <w:p>
      <w:pPr>
        <w:spacing w:after="0" w:line="170" w:lineRule="exact"/>
        <w:rPr>
          <w:rFonts w:ascii="Arial" w:cs="Arial" w:eastAsia="Arial" w:hAnsi="Arial"/>
          <w:sz w:val="18"/>
          <w:szCs w:val="18"/>
          <w:color w:val="auto"/>
        </w:rPr>
      </w:pPr>
    </w:p>
    <w:p>
      <w:pPr>
        <w:jc w:val="both"/>
        <w:ind w:left="324" w:right="400" w:hanging="324"/>
        <w:spacing w:after="0" w:line="263"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18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on computer hardware, licensed software and services rendered by third parties and the interoperability thereof in order to run its business.</w:t>
      </w:r>
    </w:p>
    <w:p>
      <w:pPr>
        <w:spacing w:after="0" w:line="170" w:lineRule="exact"/>
        <w:rPr>
          <w:rFonts w:ascii="Arial" w:cs="Arial" w:eastAsia="Arial" w:hAnsi="Arial"/>
          <w:sz w:val="18"/>
          <w:szCs w:val="18"/>
          <w:color w:val="auto"/>
        </w:rPr>
      </w:pPr>
    </w:p>
    <w:p>
      <w:pPr>
        <w:jc w:val="both"/>
        <w:ind w:left="324" w:right="380" w:hanging="324"/>
        <w:spacing w:after="0" w:line="286" w:lineRule="auto"/>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165" w:lineRule="exact"/>
        <w:rPr>
          <w:rFonts w:ascii="Arial" w:cs="Arial" w:eastAsia="Arial" w:hAnsi="Arial"/>
          <w:sz w:val="17"/>
          <w:szCs w:val="17"/>
          <w:color w:val="auto"/>
        </w:rPr>
      </w:pPr>
    </w:p>
    <w:p>
      <w:pPr>
        <w:ind w:left="324" w:right="36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U.S. and international trade policies that restrict imports or increase tariffs could have a material adverse effect on Presto’s results of operations.</w:t>
      </w:r>
    </w:p>
    <w:p>
      <w:pPr>
        <w:spacing w:after="0" w:line="170" w:lineRule="exact"/>
        <w:rPr>
          <w:rFonts w:ascii="Arial" w:cs="Arial" w:eastAsia="Arial" w:hAnsi="Arial"/>
          <w:sz w:val="18"/>
          <w:szCs w:val="18"/>
          <w:color w:val="auto"/>
        </w:rPr>
      </w:pPr>
    </w:p>
    <w:p>
      <w:pPr>
        <w:ind w:left="324" w:right="16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70" w:lineRule="exact"/>
        <w:rPr>
          <w:rFonts w:ascii="Arial" w:cs="Arial" w:eastAsia="Arial" w:hAnsi="Arial"/>
          <w:sz w:val="18"/>
          <w:szCs w:val="18"/>
          <w:color w:val="auto"/>
        </w:rPr>
      </w:pPr>
    </w:p>
    <w:p>
      <w:pPr>
        <w:ind w:left="324" w:right="8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may be subject to claims by third parties of intellectual property infringement.</w:t>
      </w:r>
    </w:p>
    <w:p>
      <w:pPr>
        <w:spacing w:after="0" w:line="225" w:lineRule="exact"/>
        <w:rPr>
          <w:rFonts w:ascii="Arial" w:cs="Arial" w:eastAsia="Arial" w:hAnsi="Arial"/>
          <w:sz w:val="18"/>
          <w:szCs w:val="18"/>
          <w:color w:val="auto"/>
        </w:rPr>
      </w:pPr>
    </w:p>
    <w:p>
      <w:pPr>
        <w:ind w:left="324" w:right="10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uses open-source software in its platform, which could negatively affect its ability to sell its services or subject it to litigation or other actions.</w:t>
      </w:r>
    </w:p>
    <w:p>
      <w:pPr>
        <w:spacing w:after="0" w:line="170" w:lineRule="exact"/>
        <w:rPr>
          <w:rFonts w:ascii="Arial" w:cs="Arial" w:eastAsia="Arial" w:hAnsi="Arial"/>
          <w:sz w:val="18"/>
          <w:szCs w:val="18"/>
          <w:color w:val="auto"/>
        </w:rPr>
      </w:pPr>
    </w:p>
    <w:p>
      <w:pPr>
        <w:ind w:left="324" w:right="62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disclosed in this Quarterly Report on Form 10-Q and the Company’s other filings with the Securities and Exchange Commission (the “SEC”).</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881" w:right="39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000"/>
              <w:spacing w:after="0"/>
              <w:rPr>
                <w:sz w:val="20"/>
                <w:szCs w:val="20"/>
                <w:color w:val="auto"/>
              </w:rPr>
            </w:pPr>
            <w:r>
              <w:rPr>
                <w:rFonts w:ascii="Arial" w:cs="Arial" w:eastAsia="Arial" w:hAnsi="Arial"/>
                <w:sz w:val="18"/>
                <w:szCs w:val="18"/>
                <w:b w:val="1"/>
                <w:bCs w:val="1"/>
                <w:color w:val="auto"/>
              </w:rPr>
              <w:t>(In thousands, except share and par value)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June 30,</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$126 and $353 as of September 30, 2022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June 30, 2022, respectively</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2,063</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costs, current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6,662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8,443</w:t>
            </w: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20"/>
                <w:szCs w:val="20"/>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69,459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14,554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net of current portion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transaction costs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5,765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5,630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4,226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48"/>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7,282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obligations, current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Term loans, current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25,443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 current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 current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6,640</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10,532</w:t>
            </w:r>
          </w:p>
        </w:tc>
        <w:tc>
          <w:tcPr>
            <w:tcW w:w="80" w:type="dxa"/>
            <w:vAlign w:val="bottom"/>
          </w:tcPr>
          <w:p>
            <w:pPr>
              <w:spacing w:after="0"/>
              <w:rPr>
                <w:sz w:val="19"/>
                <w:szCs w:val="19"/>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loans, noncurrent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49,424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4,149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152,995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(Refer to Note 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value–1,500,000 shares authorized as of</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September 30, 2022 and June 30, 2022, respectively; no shares issued and outstanding as of September 30, 2022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June 30, 2022, respectively</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value–180,000,000 shares authorized as of September 30, 2022 and June 30, 2022,</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4"/>
              </w:rPr>
              <w:t>respectively; 50,639,837 and 27,574,417 shares issued and outstanding as of September 30, 2022 and June 30,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2022, respectively</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(165,994)</w:t>
            </w: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(200,783)</w:t>
            </w: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 (deficit)</w:t>
            </w: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79,859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8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Platform</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37"/>
        </w:trPr>
        <w:tc>
          <w:tcPr>
            <w:tcW w:w="8680" w:type="dxa"/>
            <w:vAlign w:val="bottom"/>
          </w:tcPr>
          <w:p>
            <w:pPr>
              <w:ind w:left="540"/>
              <w:spacing w:after="0"/>
              <w:rPr>
                <w:sz w:val="20"/>
                <w:szCs w:val="20"/>
                <w:color w:val="auto"/>
              </w:rPr>
            </w:pPr>
            <w:r>
              <w:rPr>
                <w:rFonts w:ascii="Arial" w:cs="Arial" w:eastAsia="Arial" w:hAnsi="Arial"/>
                <w:sz w:val="18"/>
                <w:szCs w:val="18"/>
                <w:color w:val="auto"/>
              </w:rPr>
              <w:t>Transaction</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2,959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Arial" w:cs="Arial" w:eastAsia="Arial" w:hAnsi="Arial"/>
                <w:sz w:val="18"/>
                <w:szCs w:val="18"/>
                <w:color w:val="auto"/>
              </w:rPr>
              <w:t>Platform</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4,292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Transaction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37"/>
        </w:trPr>
        <w:tc>
          <w:tcPr>
            <w:tcW w:w="8680" w:type="dxa"/>
            <w:vAlign w:val="bottom"/>
          </w:tcPr>
          <w:p>
            <w:pPr>
              <w:ind w:left="540"/>
              <w:spacing w:after="0"/>
              <w:rPr>
                <w:sz w:val="20"/>
                <w:szCs w:val="20"/>
                <w:color w:val="auto"/>
              </w:rPr>
            </w:pPr>
            <w:r>
              <w:rPr>
                <w:rFonts w:ascii="Arial" w:cs="Arial" w:eastAsia="Arial" w:hAnsi="Arial"/>
                <w:sz w:val="18"/>
                <w:szCs w:val="18"/>
                <w:color w:val="auto"/>
              </w:rPr>
              <w:t>Depreciation and impairment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60"/>
              <w:spacing w:after="0" w:line="203"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552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Loss on infrequent product repairs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(14,159)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(7,177)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(3,376)</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48,948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(12,332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 and comprehensive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(loss) per share attributable to common stockholders,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attributable to common stockholders, 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w w:val="93"/>
              </w:rPr>
              <w:t>Weighted-average shares used in computing net income (loss) per share attributable to common stockholders, basic</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29,521,505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27,137,792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shares used in computing net income (loss) per share attributable to common stockholders, diluted</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40,366,902</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27,137,792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6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Convertible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2"/>
                <w:szCs w:val="22"/>
                <w:color w:val="auto"/>
              </w:rPr>
            </w:pPr>
          </w:p>
        </w:tc>
        <w:tc>
          <w:tcPr>
            <w:tcW w:w="16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90"/>
              </w:rPr>
              <w:t>Preferred Stock</w:t>
            </w:r>
          </w:p>
        </w:tc>
        <w:tc>
          <w:tcPr>
            <w:tcW w:w="3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4"/>
          </w:tcPr>
          <w:p>
            <w:pPr>
              <w:jc w:val="center"/>
              <w:ind w:right="1"/>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5,132,354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w w:val="97"/>
              </w:rPr>
              <w:t>Retrospective application of recapitalization</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580" w:type="dxa"/>
            <w:vAlign w:val="bottom"/>
          </w:tcPr>
          <w:p>
            <w:pPr>
              <w:ind w:left="360"/>
              <w:spacing w:after="0"/>
              <w:rPr>
                <w:sz w:val="20"/>
                <w:szCs w:val="20"/>
                <w:color w:val="auto"/>
              </w:rPr>
            </w:pPr>
            <w:r>
              <w:rPr>
                <w:rFonts w:ascii="Arial" w:cs="Arial" w:eastAsia="Arial" w:hAnsi="Arial"/>
                <w:sz w:val="18"/>
                <w:szCs w:val="18"/>
                <w:color w:val="auto"/>
              </w:rPr>
              <w:t>(Note 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(28,343,420)</w:t>
            </w:r>
          </w:p>
        </w:tc>
        <w:tc>
          <w:tcPr>
            <w:tcW w:w="4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21,980,406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balance, beginning of period</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27,112,760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w w:val="96"/>
              </w:rPr>
              <w:t>Issuance of common stock upon exercise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78,916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(19,509)</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(19,509)</w:t>
            </w:r>
          </w:p>
        </w:tc>
        <w:tc>
          <w:tcPr>
            <w:tcW w:w="0" w:type="dxa"/>
            <w:vAlign w:val="bottom"/>
          </w:tcPr>
          <w:p>
            <w:pPr>
              <w:spacing w:after="0"/>
              <w:rPr>
                <w:sz w:val="1"/>
                <w:szCs w:val="1"/>
                <w:color w:val="auto"/>
              </w:rPr>
            </w:pPr>
          </w:p>
        </w:tc>
      </w:tr>
      <w:tr>
        <w:trPr>
          <w:trHeight w:val="27"/>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580" w:type="dxa"/>
            <w:vAlign w:val="bottom"/>
            <w:vMerge w:val="continue"/>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27,191,676</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74,952</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(163,978</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3580" w:type="dxa"/>
            <w:vAlign w:val="bottom"/>
          </w:tcPr>
          <w:p>
            <w:pPr>
              <w:spacing w:after="0"/>
              <w:rPr>
                <w:sz w:val="24"/>
                <w:szCs w:val="24"/>
                <w:color w:val="auto"/>
              </w:rPr>
            </w:pPr>
          </w:p>
        </w:tc>
        <w:tc>
          <w:tcPr>
            <w:tcW w:w="1620" w:type="dxa"/>
            <w:vAlign w:val="bottom"/>
            <w:gridSpan w:val="3"/>
            <w:vMerge w:val="restart"/>
          </w:tcPr>
          <w:p>
            <w:pPr>
              <w:jc w:val="center"/>
              <w:ind w:left="210"/>
              <w:spacing w:after="0"/>
              <w:rPr>
                <w:sz w:val="20"/>
                <w:szCs w:val="20"/>
                <w:color w:val="auto"/>
              </w:rPr>
            </w:pPr>
            <w:r>
              <w:rPr>
                <w:rFonts w:ascii="Arial" w:cs="Arial" w:eastAsia="Arial" w:hAnsi="Arial"/>
                <w:sz w:val="18"/>
                <w:szCs w:val="18"/>
                <w:b w:val="1"/>
                <w:bCs w:val="1"/>
                <w:color w:val="auto"/>
                <w:w w:val="92"/>
              </w:rPr>
              <w:t>Convertible</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ind w:left="80"/>
              <w:spacing w:after="0" w:line="202" w:lineRule="exact"/>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41"/>
        </w:trPr>
        <w:tc>
          <w:tcPr>
            <w:tcW w:w="35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90"/>
              </w:rPr>
              <w:t>Preferred Stock</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4"/>
          </w:tcPr>
          <w:p>
            <w:pPr>
              <w:jc w:val="center"/>
              <w:ind w:right="1"/>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19"/>
                <w:szCs w:val="19"/>
                <w:color w:val="auto"/>
              </w:rPr>
            </w:pPr>
          </w:p>
        </w:tc>
        <w:tc>
          <w:tcPr>
            <w:tcW w:w="10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6,196,257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(200,783)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Retrospective application of recapitalization</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(28,343,420)</w:t>
            </w:r>
          </w:p>
        </w:tc>
        <w:tc>
          <w:tcPr>
            <w:tcW w:w="440" w:type="dxa"/>
            <w:vAlign w:val="bottom"/>
          </w:tcPr>
          <w:p>
            <w:pPr>
              <w:spacing w:after="0"/>
              <w:rPr>
                <w:sz w:val="17"/>
                <w:szCs w:val="17"/>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21,378,160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gridSpan w:val="2"/>
            <w:vMerge w:val="restart"/>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580" w:type="dxa"/>
            <w:vAlign w:val="bottom"/>
          </w:tcPr>
          <w:p>
            <w:pPr>
              <w:ind w:left="180"/>
              <w:spacing w:after="0"/>
              <w:rPr>
                <w:sz w:val="20"/>
                <w:szCs w:val="20"/>
                <w:color w:val="auto"/>
              </w:rPr>
            </w:pPr>
            <w:r>
              <w:rPr>
                <w:rFonts w:ascii="Arial" w:cs="Arial" w:eastAsia="Arial" w:hAnsi="Arial"/>
                <w:sz w:val="18"/>
                <w:szCs w:val="18"/>
                <w:color w:val="auto"/>
              </w:rPr>
              <w:t>(Note 1)</w:t>
            </w:r>
          </w:p>
        </w:tc>
        <w:tc>
          <w:tcPr>
            <w:tcW w:w="11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balance, beginning of period</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27,574,417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(200,783)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w w:val="96"/>
              </w:rPr>
              <w:t>Issuance of common stock upon exercise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43,712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Issuance of common stock upon net exercise</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warrants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136,681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Issuance of common stock (Note 10)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133,333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Issuance of common stock upon vesting of</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 (Note 12)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399,960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w w:val="97"/>
              </w:rPr>
              <w:t>Issuance of shares and transfer of warrants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upon termination of convertible note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agreement (Note 10)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323,968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convertible notes into</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(Note 7)</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8,147,938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41,392</w:t>
            </w: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rPr>
              <w:t>Warrants issued with Credit Agreement</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(Note 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of liability classified</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to equity (Note 11)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rPr>
              <w:t>Contribution by shareholder in conjunction</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with Credit Agreement (Note 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Earnout shares stock-based compensation</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Merger and PIPE Financing (Note 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13,879,828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35,738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(Note 12)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23"/>
        </w:trPr>
        <w:tc>
          <w:tcPr>
            <w:tcW w:w="3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34,789</w:t>
            </w:r>
          </w:p>
        </w:tc>
        <w:tc>
          <w:tcPr>
            <w:tcW w:w="1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34,789</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50,639,837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34,789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2,175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479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share 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expense attributable to fair value liabilities assumed in Merger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liability classified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(11,551)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(48,271)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12,117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7,758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Paid-in-kind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 and warrant cost on termination of convertible note agreement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unvested founder shares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disposal off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132</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3,466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2,828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352</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Vendor financing facility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(3,722)</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36"/>
        </w:trPr>
        <w:tc>
          <w:tcPr>
            <w:tcW w:w="86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(3,430)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(3,139)</w:t>
            </w:r>
          </w:p>
        </w:tc>
      </w:tr>
      <w:tr>
        <w:trPr>
          <w:trHeight w:val="223"/>
        </w:trPr>
        <w:tc>
          <w:tcPr>
            <w:tcW w:w="86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51" w:orient="portrait"/>
          <w:cols w:equalWidth="0" w:num="1">
            <w:col w:w="11240"/>
          </w:cols>
          <w:pgMar w:left="320" w:top="877" w:right="339" w:bottom="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Payments relating to capitalized software</w:t>
      </w:r>
    </w:p>
    <w:p>
      <w:pPr>
        <w:spacing w:after="0" w:line="41" w:lineRule="exact"/>
        <w:rPr>
          <w:sz w:val="20"/>
          <w:szCs w:val="20"/>
          <w:color w:val="auto"/>
        </w:rPr>
      </w:pPr>
    </w:p>
    <w:p>
      <w:pPr>
        <w:jc w:val="right"/>
        <w:ind w:right="53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560" w:hanging="1331"/>
        <w:spacing w:after="0"/>
        <w:tabs>
          <w:tab w:leader="none" w:pos="1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(76)</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(1,327)</w:t>
      </w:r>
      <w:r>
        <w:rPr>
          <w:rFonts w:ascii="Arial" w:cs="Arial" w:eastAsia="Arial" w:hAnsi="Arial"/>
          <w:sz w:val="17"/>
          <w:szCs w:val="17"/>
          <w:color w:val="auto"/>
        </w:rPr>
        <w:t>(373)</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(1,374)</w:t>
      </w:r>
      <w:r>
        <w:rPr>
          <w:rFonts w:ascii="Arial" w:cs="Arial" w:eastAsia="Arial" w:hAnsi="Arial"/>
          <w:sz w:val="17"/>
          <w:szCs w:val="17"/>
          <w:color w:val="auto"/>
        </w:rPr>
        <w:t>(449)</w:t>
      </w:r>
    </w:p>
    <w:p>
      <w:pPr>
        <w:spacing w:after="0" w:line="36" w:lineRule="exact"/>
        <w:rPr>
          <w:sz w:val="20"/>
          <w:szCs w:val="20"/>
          <w:color w:val="auto"/>
        </w:rPr>
      </w:pPr>
    </w:p>
    <w:p>
      <w:pPr>
        <w:sectPr>
          <w:pgSz w:w="11900" w:h="16851" w:orient="portrait"/>
          <w:cols w:equalWidth="0" w:num="2">
            <w:col w:w="8620" w:space="720"/>
            <w:col w:w="1900"/>
          </w:cols>
          <w:pgMar w:left="320" w:top="877" w:right="339" w:bottom="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term 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60,250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term loans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(32,980)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penalties and other costs on extinguishment of debt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promissory notes and embedded 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obligations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Merger and PIPE financing, net of transaction costs and other payments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deferred transaction costs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51" w:orient="portrait"/>
          <w:cols w:equalWidth="0" w:num="1">
            <w:col w:w="11240"/>
          </w:cols>
          <w:pgMar w:left="320" w:top="877" w:right="33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56,232</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(15,530)</w:t>
            </w:r>
          </w:p>
        </w:tc>
      </w:tr>
      <w:tr>
        <w:trPr>
          <w:trHeight w:val="230"/>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3,017</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36,909</w:t>
            </w:r>
          </w:p>
        </w:tc>
        <w:tc>
          <w:tcPr>
            <w:tcW w:w="6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59,249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21,379</w:t>
            </w:r>
          </w:p>
        </w:tc>
        <w:tc>
          <w:tcPr>
            <w:tcW w:w="60" w:type="dxa"/>
            <w:vAlign w:val="bottom"/>
          </w:tcPr>
          <w:p>
            <w:pPr>
              <w:spacing w:after="0"/>
              <w:rPr>
                <w:sz w:val="21"/>
                <w:szCs w:val="21"/>
                <w:color w:val="auto"/>
              </w:rPr>
            </w:pP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51" w:orient="portrait"/>
          <w:cols w:equalWidth="0" w:num="2">
            <w:col w:w="7960" w:space="720"/>
            <w:col w:w="2560"/>
          </w:cols>
          <w:pgMar w:left="320" w:top="877" w:right="3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Capitalization of stock-based compensation expense to capitalized software</w:t>
            </w:r>
          </w:p>
        </w:tc>
        <w:tc>
          <w:tcPr>
            <w:tcW w:w="1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shareholder in conjunction with Credit Agreement</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2,779</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Issuance of warrants in conjunction with Credit Agreement</w:t>
            </w:r>
          </w:p>
        </w:tc>
        <w:tc>
          <w:tcPr>
            <w:tcW w:w="19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2,076</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in conjunction with Lago Term Loan</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Convertible note conversion to common stock</w:t>
            </w:r>
          </w:p>
        </w:tc>
        <w:tc>
          <w:tcPr>
            <w:tcW w:w="19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41,392</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warrants from liabilities to equity</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Recognition of liability classified warrants upon Merger</w:t>
            </w:r>
          </w:p>
        </w:tc>
        <w:tc>
          <w:tcPr>
            <w:tcW w:w="19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9,388</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Unvested Founder Shares liability</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Forgiveness of PPP Loan</w:t>
            </w:r>
          </w:p>
        </w:tc>
        <w:tc>
          <w:tcPr>
            <w:tcW w:w="1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recorded in accounts payable and accrued liabilities</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Right of use asset in exchange for operating lease liability</w:t>
            </w:r>
          </w:p>
        </w:tc>
        <w:tc>
          <w:tcPr>
            <w:tcW w:w="19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ectPr>
          <w:pgSz w:w="11900" w:h="16851" w:orient="portrait"/>
          <w:cols w:equalWidth="0" w:num="1">
            <w:col w:w="11240"/>
          </w:cols>
          <w:pgMar w:left="320" w:top="877" w:right="33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Presto Automation Inc. and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September 21, 2022, Ventoux CCM Acquisition Corp. (“Ventoux”) and its subsidiaries, then a special purpose acquisition corporation, acquired Legacy Presto via a series of mergers, whereby Legacy Presto became a limited liability company and a wholly owned subsidiary of Ventoux (the “Merger”). Ventoux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Proceeds and PIPE investment</w:t>
      </w:r>
    </w:p>
    <w:p>
      <w:pPr>
        <w:spacing w:after="0" w:line="22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Following the closing of the Ventoux’s initial public offering on December 30, 2020, $151,500 was placed in a trust account, (the “Trust”), for which various redemptions of amounts in the Trust were made up until the date of the Merger. At the closing date of the Merger, $9,498 of unredeemed funds were released to Ventoux from the Trust.</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$55,400, in a private placement pursuant to the subscription agreements (the “PIPE”). The PIPE investment closed simultaneously with the consummation of the Merger.</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Upon consummation of the Merger, Presto received approximately $49,840 from the Trust and PIPE, net of transaction costs and other payments as set forth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Net Cash</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Cash—Ventoux Trust and working capital 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Cash—PIPE investment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55,400</w:t>
            </w:r>
          </w:p>
        </w:tc>
        <w:tc>
          <w:tcPr>
            <w:tcW w:w="80" w:type="dxa"/>
            <w:vAlign w:val="bottom"/>
          </w:tcPr>
          <w:p>
            <w:pPr>
              <w:spacing w:after="0"/>
              <w:rPr>
                <w:sz w:val="18"/>
                <w:szCs w:val="18"/>
                <w:color w:val="auto"/>
              </w:rPr>
            </w:pPr>
          </w:p>
        </w:tc>
      </w:tr>
      <w:tr>
        <w:trPr>
          <w:trHeight w:val="290"/>
        </w:trPr>
        <w:tc>
          <w:tcPr>
            <w:tcW w:w="100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Less: transaction costs and other payments</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(15,144)</w:t>
            </w:r>
          </w:p>
        </w:tc>
      </w:tr>
      <w:tr>
        <w:trPr>
          <w:trHeight w:val="223"/>
        </w:trPr>
        <w:tc>
          <w:tcPr>
            <w:tcW w:w="100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49,840</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34"/>
        </w:trPr>
        <w:tc>
          <w:tcPr>
            <w:tcW w:w="10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ind w:left="340" w:right="10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reflects (1) the repayment of $1,925 of Ventoux related party loans utilizing proceeds from Trust, (2) the payment of $7,771 in Ventoux transaction costs related to the Merger, (3) the payment of $4,874 in Legacy Presto transaction costs related to the Merger and (4) the payment of certain other costs not directly related to the Merger in the amount of $499. Legacy Presto also incurred $2,090 in transaction costs which were paid via the issuance of 260,000 Company shares. Further in conjunction with the Merger, Legacy Presto incurred $3,247 in transaction costs which were either paid prior to or after the Merger and as of September 30, 2022 $220 of transaction costs incurred by Legacy Presto remain unpaid. Accordingly, in total Legacy Presto incurred transaction costs of $10,431.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Legacy Presto Convertible Promissory Notes and Equity and the Exchange</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Immediately prior to the closing of the Merger, all convertible promissory notes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Arrangement with holders of Legacy Presto common stock and outstanding equity awards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84" w:lineRule="exact"/>
        <w:rPr>
          <w:sz w:val="20"/>
          <w:szCs w:val="20"/>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7,500,000 shares, if, during the period from and after the closing of the Merger until the third anniversary of the closing of the Merger, the Volume 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as defined in the Business Combination Agreement) of Presto common stock is greater than or equal to $12.50 for any 20 trading days within a period of 30 consecutive trading days, and</w:t>
      </w:r>
    </w:p>
    <w:p>
      <w:pPr>
        <w:spacing w:after="0" w:line="183"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8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The earnout shares are equity classified since they do not meet the liability classification criteria outlined in ASC 480, </w:t>
      </w:r>
      <w:r>
        <w:rPr>
          <w:rFonts w:ascii="Arial" w:cs="Arial" w:eastAsia="Arial" w:hAnsi="Arial"/>
          <w:sz w:val="16"/>
          <w:szCs w:val="16"/>
          <w:i w:val="1"/>
          <w:iCs w:val="1"/>
          <w:color w:val="auto"/>
        </w:rPr>
        <w:t>Distinguishing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Equity </w:t>
      </w:r>
      <w:r>
        <w:rPr>
          <w:rFonts w:ascii="Arial" w:cs="Arial" w:eastAsia="Arial" w:hAnsi="Arial"/>
          <w:sz w:val="16"/>
          <w:szCs w:val="16"/>
          <w:color w:val="auto"/>
        </w:rPr>
        <w:t>and are under ASC 815-40 are both (i) indexed to the Company’s own shares and (ii) meet the criteria for equity classification.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and during the period from the date of the Merger through September 30, 2022, the Company recorded stock-based compensation expense associated with earnouts in the amount of $178 to equity award holders who held awards associated with the Company’s equity incentive plan and to common stock holders held by current employees and directors, of which $132, $32, and $14 are recorded within general and administrative, research and development and sales and marketing expenses, respectively, in the condensed consolidated statement of operations and comprehensive income (loss). As of September 30, 2022 unrecognized stock-based compensation expense was $13,917, which is expected to be recognized over a weighted-average period of 2.23 years. Unrecognized stock-based compensation expense for awards with a performance-based vesting condition that was not deemed probable of occurring as of September 30, 2022 is $1,024, which is expected to time-vest over a remaining weighted-average period of 4.71 years, subject to the performance-based vesting condition being satisfied or deemed probable, at which point the Company will recognize a cumulative adjustment for the service condition satisfied at such point. The Earnout shares given to common stock holders not held by current employees and directors and warrant holders have been recorded with equal and offsetting effects on additional paid-in capital on its condensed consolidated balance sheet. As of September 30, 2022, all of the earnout shares remain unissued as the conditions to issuance have not been achieved.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Unvested Founder Share Arrangement with Founders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the Closing, 444,500 founders shares held by the Sponsors (the “unvested founders shares”) became subject to the following vesting and forfeiture provisions:</w:t>
      </w:r>
    </w:p>
    <w:p>
      <w:pPr>
        <w:spacing w:after="0" w:line="170" w:lineRule="exact"/>
        <w:rPr>
          <w:sz w:val="20"/>
          <w:szCs w:val="20"/>
          <w:color w:val="auto"/>
        </w:rPr>
      </w:pPr>
    </w:p>
    <w:p>
      <w:pPr>
        <w:ind w:left="980" w:right="4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first 25% of such Unvested Founder Shares owned by the Sponsors vest at such time as a $12.00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next 25% of such unvested founder shares owned by the Sponsors vests at such time as a $15.00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next 25% of such unvested founder shares owned by the Sponsors vest at such time as a $20.00 Stock Price Level is achieved on or before the date that is five years after the Closing Date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remaining 25% of such unvested founder shares owned by the Sponsors shall vest at such time as a $25.00 Stock Price Level is achieved on or before the date that is five years after the Closing Date.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September 30, 2022, all of the unvested founder shares remain unvested as the conditions to vesting have not been achieved.</w:t>
      </w:r>
    </w:p>
    <w:p>
      <w:pPr>
        <w:spacing w:after="0" w:line="18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has concluded that the unvested founder shares are accounted for as equity-linked instruments under ASC 815-40 and are not indexed to the entity’s own stock and accordingly such instruments are liability classified. With the closing of the Merger the Company recorded $1,588 within other long-term liabilities. During the period from the closing of the Merger until September 30, 2022, the Company recorded a gain on remeasurement of the liability of $1,175 which is included in other financing and financial instrument (costs) income, net in the condensed consolidated statement of operations and comprehensive income (loss).</w:t>
      </w:r>
    </w:p>
    <w:p>
      <w:pPr>
        <w:spacing w:after="0" w:line="188"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color w:val="auto"/>
        </w:rPr>
        <w:t>Upon the closing of the Merger, Ventoux’s certificate of incorporation was amended and restated to, among other things, change the name of Ventoux to Presto Automation Inc., increase the total number of authorized shares of all classes of capital stock to 181,500,000 shares, of</w:t>
      </w:r>
    </w:p>
    <w:p>
      <w:pPr>
        <w:ind w:right="200"/>
        <w:spacing w:after="0" w:line="255" w:lineRule="auto"/>
        <w:rPr>
          <w:sz w:val="20"/>
          <w:szCs w:val="20"/>
          <w:color w:val="auto"/>
        </w:rPr>
      </w:pPr>
      <w:r>
        <w:rPr>
          <w:rFonts w:ascii="Arial" w:cs="Arial" w:eastAsia="Arial" w:hAnsi="Arial"/>
          <w:sz w:val="18"/>
          <w:szCs w:val="18"/>
          <w:color w:val="auto"/>
        </w:rPr>
        <w:t>which 180,000,000 shares are designated as common stock, $0.0001 par value per share; 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9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6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Total net liabilities of Ventoux assumed by the Company was $9,768, which is inclusive of a liability for the private warrants of $9,389. The remaining net liabilities assumed were immaterial to the Company. Such amount, excludes the 55,400 in PIPE proceeds raised by Ventoux immediately prior to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2" w:name="page13"/>
    <w:bookmarkEnd w:id="12"/>
    <w:p>
      <w:pPr>
        <w:ind w:right="420" w:firstLine="648"/>
        <w:spacing w:after="0" w:line="257" w:lineRule="auto"/>
        <w:rPr>
          <w:sz w:val="20"/>
          <w:szCs w:val="20"/>
          <w:color w:val="auto"/>
        </w:rPr>
      </w:pPr>
      <w:r>
        <w:rPr>
          <w:rFonts w:ascii="Arial" w:cs="Arial" w:eastAsia="Arial" w:hAnsi="Arial"/>
          <w:sz w:val="18"/>
          <w:szCs w:val="18"/>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Company’s total annual gross revenue is at least $1,070,000, (ii) the last day of the fiscal year following the fifth anniversary of the completion of Ventoux’s initial public offering, which occurred on December 30, 2020, (iii) the date on which the Company issued more than $1,000,000 in non-convertible debt securities during the prior three-year period, or (iv) the date on which the Company becomes a large accelerated filer.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generally accepted accounting principles in the United States of America (“</w:t>
      </w:r>
      <w:r>
        <w:rPr>
          <w:rFonts w:ascii="Arial" w:cs="Arial" w:eastAsia="Arial" w:hAnsi="Arial"/>
          <w:sz w:val="17"/>
          <w:szCs w:val="17"/>
          <w:b w:val="1"/>
          <w:bCs w:val="1"/>
          <w:color w:val="auto"/>
        </w:rPr>
        <w:t>U.S. GAAP</w:t>
      </w:r>
      <w:r>
        <w:rPr>
          <w:rFonts w:ascii="Arial" w:cs="Arial" w:eastAsia="Arial" w:hAnsi="Arial"/>
          <w:sz w:val="17"/>
          <w:szCs w:val="17"/>
          <w:color w:val="auto"/>
        </w:rPr>
        <w:t>”) and the rules and regulations of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All intercompany balances and transactions have been eliminated in consolidation. References to ASC and ASU included herein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accompanying condensed consolidated balance sheet as of September 30, 2022, and the related condensed consolidated statements of operations and comprehensive income (loss), condensed consolidated statements of stockholders’ equity (deficit), and condensed consolidated statements of cash flows for the three months ended September 30, 2022, and 2021 and amounts relating to the interim periods included in the accompanying notes to the interim condensed consolidated financial statements are unaudited.</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unaudited interim condensed consolidated financial statements are presented in accordance with the rules and regulations of the SEC and do not include all disclosures normally required in annual consolidated financial statements prepared in accordance with U.S. GAAP. 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September 30, 2022, and its results of operations and cash flows for the three months ended September 30, 2022, and 2021. The results for the three months ended September 30, 2022, are not necessarily indicative of the results expected for the year or any other periods. These interim financial statements should be read in conjunction with the Legacy Presto’s financial statements and related notes for the fiscal year ended June 30, 2022 included as Exhibit 99.2 of the Current Report on Form 8-K as filed with the SEC on September 27, 2022. The unaudited condensed consolidated balance sheet as of June 30, 2022, has been derived from the Company’s audited financial statements. Certain prior period balances have been reclassified to conform to the current period presentation in the condensed consolidated financial statements and the accompanying notes.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8"/>
          <w:szCs w:val="18"/>
          <w:b w:val="1"/>
          <w:bCs w:val="1"/>
          <w:color w:val="auto"/>
        </w:rPr>
        <w:t>COVID-19</w:t>
      </w:r>
      <w:r>
        <w:rPr>
          <w:rFonts w:ascii="Arial" w:cs="Arial" w:eastAsia="Arial" w:hAnsi="Arial"/>
          <w:sz w:val="18"/>
          <w:szCs w:val="18"/>
          <w:color w:val="auto"/>
        </w:rPr>
        <w:t>”) on the restaurant industry.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was and is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Over the course of the three months ended September 30, 2022, and the fiscal years ended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7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In July 2022, the Company was granted forgiveness of the second loan of approximately $2,000. Refer to Note 7 for further details.</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the three months ended September 30,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$435 of loss on infrequent customer repairs related to this issue for the three months ended September 30, 2021, which is presented as a separate line item on the Company’s condensed consolidated statement of operations and comprehensive income (loss). The Company has claimed to recover the costs from its third-party subcontractor who manufactures the hardware, for which the Company received a favorable arbitrator ruling. Refer to Note 8 for further details.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4" w:name="page15"/>
    <w:bookmarkEnd w:id="14"/>
    <w:p>
      <w:pPr>
        <w:ind w:firstLine="648"/>
        <w:spacing w:after="0" w:line="271" w:lineRule="auto"/>
        <w:rPr>
          <w:sz w:val="20"/>
          <w:szCs w:val="20"/>
          <w:color w:val="auto"/>
        </w:rPr>
      </w:pPr>
      <w:r>
        <w:rPr>
          <w:rFonts w:ascii="Arial" w:cs="Arial" w:eastAsia="Arial" w:hAnsi="Arial"/>
          <w:sz w:val="17"/>
          <w:szCs w:val="17"/>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 liquidity, or results of operations remains highly uncertain.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September 30, 2022 and June 30, 2022, the Company’s principal sources of liquidity were cash and cash equivalents of $59,249 and $3,017, respectively, which were held for working capital purposes.</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$14,159 and $7,177 for the three months ended September 30, 2022 and 2021, respectively. As of September 30, 2022 and June 30 ,2022, respectively, the Company had an accumulated deficit of $165,994 and $200,783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$49,840 from the completion of the Merger and raised net cash proceeds of $13,730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6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4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three largest restaurant logos (including, as applicable, the franchisees of such restaurants aggregated as a single customer for reporting purposes) accounted for more than 10% of revenues during the three months ended September 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70"/>
        </w:trPr>
        <w:tc>
          <w:tcPr>
            <w:tcW w:w="86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Customer C</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0"/>
        </w:trPr>
        <w:tc>
          <w:tcPr>
            <w:tcW w:w="86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5540" w:right="1960" w:hanging="5532"/>
        <w:spacing w:after="0" w:line="618" w:lineRule="auto"/>
        <w:tabs>
          <w:tab w:leader="none" w:pos="338"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decrease in revenue is attributable to the customer relationship cancellation with certain franchisees within Customer C.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7"/>
          <w:szCs w:val="17"/>
          <w:color w:val="auto"/>
        </w:rPr>
        <w:t>The following three restaurant logos accounted for more than 10% of accounts receivable as of September 30, 2022 and June 30,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5240" w:type="dxa"/>
            <w:vAlign w:val="bottom"/>
            <w:gridSpan w:val="3"/>
          </w:tcPr>
          <w:p>
            <w:pPr>
              <w:jc w:val="center"/>
              <w:ind w:left="353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484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3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Customer B</w:t>
            </w:r>
          </w:p>
        </w:tc>
        <w:tc>
          <w:tcPr>
            <w:tcW w:w="524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3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Customer D</w:t>
            </w:r>
          </w:p>
        </w:tc>
        <w:tc>
          <w:tcPr>
            <w:tcW w:w="38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388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Customers with a dash accounted for less than 10% of accounts receivable at period end.</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is exposed to vendor concentration risk as it supplies tablets from one vendor. The Company’s operating results could be adversely affected should the vendor increase prices or incur disruptions in its tablet supply.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Comprehensive income (loss) is comprised of net income (loss) and other comprehensive income (loss). The Company has no components of other comprehensive income (loss). Therefore, net income (loss) equals comprehensive income (loss) for all periods presented.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6"/>
          <w:szCs w:val="16"/>
          <w:b w:val="1"/>
          <w:bCs w:val="1"/>
          <w:color w:val="auto"/>
        </w:rPr>
        <w:t>CODM</w:t>
      </w:r>
      <w:r>
        <w:rPr>
          <w:rFonts w:ascii="Arial" w:cs="Arial" w:eastAsia="Arial" w:hAnsi="Arial"/>
          <w:sz w:val="16"/>
          <w:szCs w:val="16"/>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operations in the United States and Canada. The Company earns primarily all of its revenue in the United States and all of its long-lived assets are held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leases real estate facilities under a non-cancelable operating lease with remaining lease terms of 6 months to 3 years. The Company determines if an arrangement contains a lease at inception based on whether there is an identified property or equipment and whether the Company controls the use of the identified asset throughout the period of use.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on July 1, 2022, using the modified retrospective approach</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ind w:right="20" w:firstLine="648"/>
        <w:spacing w:after="0" w:line="272" w:lineRule="auto"/>
        <w:rPr>
          <w:sz w:val="20"/>
          <w:szCs w:val="20"/>
          <w:color w:val="auto"/>
        </w:rPr>
      </w:pPr>
      <w:r>
        <w:rPr>
          <w:rFonts w:ascii="Arial" w:cs="Arial" w:eastAsia="Arial" w:hAnsi="Arial"/>
          <w:sz w:val="17"/>
          <w:szCs w:val="17"/>
          <w:color w:val="auto"/>
        </w:rPr>
        <w:t>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12 months or less of all asset classes; lease expense from these leases are recognized on a straight-line basis over the lease term.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computes earnings per share (“EPS”) following ASC Topic 260, Earnings per share. Basic EPS is measured as the income or loss available to common stockholders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February 2016, the FASB issued Topic 842, </w:t>
      </w:r>
      <w:r>
        <w:rPr>
          <w:rFonts w:ascii="Arial" w:cs="Arial" w:eastAsia="Arial" w:hAnsi="Arial"/>
          <w:sz w:val="16"/>
          <w:szCs w:val="16"/>
          <w:i w:val="1"/>
          <w:iCs w:val="1"/>
          <w:color w:val="auto"/>
        </w:rPr>
        <w:t>Leases</w:t>
      </w:r>
      <w:r>
        <w:rPr>
          <w:rFonts w:ascii="Arial" w:cs="Arial" w:eastAsia="Arial" w:hAnsi="Arial"/>
          <w:sz w:val="16"/>
          <w:szCs w:val="16"/>
          <w:color w:val="auto"/>
        </w:rPr>
        <w:t>,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840,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adoption of the new standard resulted in recognition of an operating lease ROU asset and operating lease liability of $510 and $516,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eliminating some 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which requires an acquirer to recognize and measure contract assets and contract liabilities acquired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(Topic 326)</w:t>
      </w:r>
      <w:r>
        <w:rPr>
          <w:rFonts w:ascii="Arial" w:cs="Arial" w:eastAsia="Arial" w:hAnsi="Arial"/>
          <w:sz w:val="17"/>
          <w:szCs w:val="17"/>
          <w:color w:val="auto"/>
        </w:rPr>
        <w:t>, which requires an entity to utilize a new impairment model known as the current expected credit loss (CECL) model to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w:t>
      </w:r>
      <w:r>
        <w:rPr>
          <w:rFonts w:ascii="Arial" w:cs="Arial" w:eastAsia="Arial" w:hAnsi="Arial"/>
          <w:sz w:val="17"/>
          <w:szCs w:val="17"/>
          <w:color w:val="auto"/>
        </w:rPr>
        <w:t>which simplifies the accounting for convertible debt and convertible preferred stock by removing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March 2020 with an update in January 2021, the FASB issued ASU 2020-04, </w:t>
      </w:r>
      <w:r>
        <w:rPr>
          <w:rFonts w:ascii="Arial" w:cs="Arial" w:eastAsia="Arial" w:hAnsi="Arial"/>
          <w:sz w:val="16"/>
          <w:szCs w:val="16"/>
          <w:i w:val="1"/>
          <w:iCs w:val="1"/>
          <w:color w:val="auto"/>
        </w:rPr>
        <w:t>Reference Rate Reform (Topic 848):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and ASU 2021-01,</w:t>
      </w:r>
      <w:r>
        <w:rPr>
          <w:rFonts w:ascii="Arial" w:cs="Arial" w:eastAsia="Arial" w:hAnsi="Arial"/>
          <w:sz w:val="16"/>
          <w:szCs w:val="16"/>
          <w:i w:val="1"/>
          <w:iCs w:val="1"/>
          <w:color w:val="auto"/>
        </w:rPr>
        <w:t xml:space="preserve"> Reference Rate Reform (Topic 848), </w:t>
      </w:r>
      <w:r>
        <w:rPr>
          <w:rFonts w:ascii="Arial" w:cs="Arial" w:eastAsia="Arial" w:hAnsi="Arial"/>
          <w:sz w:val="16"/>
          <w:szCs w:val="16"/>
          <w:color w:val="auto"/>
        </w:rPr>
        <w:t>which provides optional expedients and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applying current U.S. GAAP to contracts, hedging relationships, and other transactions affected by the discontinuation of the London Interbank Offered Rate (“</w:t>
      </w:r>
      <w:r>
        <w:rPr>
          <w:rFonts w:ascii="Arial" w:cs="Arial" w:eastAsia="Arial" w:hAnsi="Arial"/>
          <w:sz w:val="16"/>
          <w:szCs w:val="16"/>
          <w:b w:val="1"/>
          <w:bCs w:val="1"/>
          <w:color w:val="auto"/>
        </w:rPr>
        <w:t>LIBOR</w:t>
      </w:r>
      <w:r>
        <w:rPr>
          <w:rFonts w:ascii="Arial" w:cs="Arial" w:eastAsia="Arial" w:hAnsi="Arial"/>
          <w:sz w:val="16"/>
          <w:szCs w:val="16"/>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140" w:firstLine="648"/>
        <w:spacing w:after="0" w:line="327" w:lineRule="auto"/>
        <w:rPr>
          <w:sz w:val="20"/>
          <w:szCs w:val="20"/>
          <w:color w:val="auto"/>
        </w:rPr>
      </w:pPr>
      <w:r>
        <w:rPr>
          <w:rFonts w:ascii="Arial" w:cs="Arial" w:eastAsia="Arial" w:hAnsi="Arial"/>
          <w:sz w:val="15"/>
          <w:szCs w:val="15"/>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$731 and $516 as of September 30, 2022 and June 30, 2022, respectively.</w:t>
      </w:r>
    </w:p>
    <w:p>
      <w:pPr>
        <w:spacing w:after="0" w:line="14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ectPr>
          <w:pgSz w:w="11900" w:h="16838" w:orient="portrait"/>
          <w:cols w:equalWidth="0" w:num="1">
            <w:col w:w="11240"/>
          </w:cols>
          <w:pgMar w:left="320" w:top="881" w:right="339" w:bottom="1440" w:gutter="0" w:footer="0" w:header="0"/>
        </w:sectPr>
      </w:pPr>
    </w:p>
    <w:p>
      <w:pPr>
        <w:spacing w:after="0" w:line="184" w:lineRule="exact"/>
        <w:rPr>
          <w:sz w:val="20"/>
          <w:szCs w:val="20"/>
          <w:color w:val="auto"/>
        </w:rPr>
      </w:pPr>
    </w:p>
    <w:p>
      <w:pPr>
        <w:jc w:val="right"/>
        <w:ind w:right="398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beginning of year – June 30,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Revenue recognized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end of period –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end of period –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Deferred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22" w:lineRule="exact"/>
        <w:rPr>
          <w:sz w:val="20"/>
          <w:szCs w:val="20"/>
          <w:color w:val="auto"/>
        </w:rPr>
      </w:pPr>
    </w:p>
    <w:p>
      <w:pPr>
        <w:ind w:left="620" w:hanging="6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25,623</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4,481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(19,335)</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10,769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681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(4,111)</w:t>
      </w:r>
    </w:p>
    <w:p>
      <w:pPr>
        <w:spacing w:after="0" w:line="62" w:lineRule="exact"/>
        <w:rPr>
          <w:sz w:val="20"/>
          <w:szCs w:val="20"/>
          <w:color w:val="auto"/>
        </w:rPr>
      </w:pPr>
    </w:p>
    <w:p>
      <w:pPr>
        <w:ind w:left="700" w:hanging="6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81" w:right="339" w:bottom="1440" w:gutter="0" w:footer="0" w:header="0"/>
          <w:type w:val="continuous"/>
        </w:sectPr>
      </w:pPr>
    </w:p>
    <w:p>
      <w:pPr>
        <w:spacing w:after="0" w:line="9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of September 30, 2022, approximately $8,109 of revenue is expected to be recognized from remaining performance obligations for customer contracts. The Company expects to recognize revenue on approximately $7,410 of these remaining performance obligations over the next 12 months with the balance recognized thereafter.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8" w:name="page19"/>
    <w:bookmarkEnd w:id="18"/>
    <w:p>
      <w:pPr>
        <w:ind w:right="20" w:firstLine="648"/>
        <w:spacing w:after="0" w:line="257" w:lineRule="auto"/>
        <w:rPr>
          <w:sz w:val="20"/>
          <w:szCs w:val="20"/>
          <w:color w:val="auto"/>
        </w:rPr>
      </w:pPr>
      <w:r>
        <w:rPr>
          <w:rFonts w:ascii="Arial" w:cs="Arial" w:eastAsia="Arial" w:hAnsi="Arial"/>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During the three months ended September 30, 2022 and 2021, the Company had incurred $0 and $170 of interest expense, respectively.</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September 29, 2021, the Company entered into a settlement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$171 interest expense was recognized against the prepaid interest balance, $3,200 was recognized as a reduction to accounts payable for the payment of the outstanding marketing development amount in October 2021 and $252 and $32 was recognized as revenue relating to the installation and replacement services provided as part of the contract modification as of and for the three months ended September 30, 2022 and 2021, respectively. The Company will continue to offset revenue recognized based on the original $5,000 marketing development fund.</w:t>
      </w:r>
    </w:p>
    <w:p>
      <w:pPr>
        <w:spacing w:after="0" w:line="17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404,961 shares of common stock. Refer to Note 11 for further details. The fair value of the warrant is treated as a reduction to the transaction price of the customer contract and will be recorded as contra-revenue. Contra-revenue recognized related to the warrant was not material for the three months ended September 30, 2022.</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commissions paid to restaurants under the Company’s revenue share agreement ranged between 83%-96% and 77%-98% of premium content revenue by customer logo for the three months ended September 30, 2022 and 2021,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the three months ended September 30, 2022 and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September 30, 2022 and 2021, $400 and $634 of revenues were from leasing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in the financial statements on a recurring basis.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The following table provides a summary of all financial instruments measured at fair value on a recurring basis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founder shares liability</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r>
      <w:tr>
        <w:trPr>
          <w:trHeight w:val="248"/>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4,149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76.0% as of the Merger date and September 30, 2022, respectively, based on the historical volatility of comparable publicly traded companies.</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As of June 30, 2022</w:t>
            </w: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20" w:type="dxa"/>
            <w:vAlign w:val="bottom"/>
          </w:tcPr>
          <w:p>
            <w:pPr>
              <w:spacing w:after="0"/>
              <w:rPr>
                <w:sz w:val="17"/>
                <w:szCs w:val="17"/>
                <w:color w:val="auto"/>
              </w:rPr>
            </w:pPr>
          </w:p>
        </w:tc>
        <w:tc>
          <w:tcPr>
            <w:tcW w:w="13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Next</w:t>
            </w:r>
          </w:p>
        </w:tc>
        <w:tc>
          <w:tcPr>
            <w:tcW w:w="1380" w:type="dxa"/>
            <w:vAlign w:val="bottom"/>
            <w:gridSpan w:val="2"/>
          </w:tcPr>
          <w:p>
            <w:pPr>
              <w:jc w:val="center"/>
              <w:ind w:right="210"/>
              <w:spacing w:after="0" w:line="198" w:lineRule="exact"/>
              <w:rPr>
                <w:sz w:val="20"/>
                <w:szCs w:val="20"/>
                <w:color w:val="auto"/>
              </w:rPr>
            </w:pPr>
            <w:r>
              <w:rPr>
                <w:rFonts w:ascii="Arial" w:cs="Arial" w:eastAsia="Arial" w:hAnsi="Arial"/>
                <w:sz w:val="18"/>
                <w:szCs w:val="18"/>
                <w:b w:val="1"/>
                <w:bCs w:val="1"/>
                <w:color w:val="auto"/>
                <w:w w:val="92"/>
              </w:rPr>
              <w:t>Next</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Financing -</w:t>
            </w:r>
          </w:p>
        </w:tc>
        <w:tc>
          <w:tcPr>
            <w:tcW w:w="13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9"/>
              </w:rPr>
              <w:t>Financing -</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Change in</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Maturity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Private</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Public</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Date</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Default</w:t>
            </w:r>
          </w:p>
        </w:tc>
        <w:tc>
          <w:tcPr>
            <w:tcW w:w="100" w:type="dxa"/>
            <w:vAlign w:val="bottom"/>
            <w:tcBorders>
              <w:bottom w:val="single" w:sz="8" w:color="CCEEFF"/>
            </w:tcBorders>
          </w:tcPr>
          <w:p>
            <w:pPr>
              <w:spacing w:after="0"/>
              <w:rPr>
                <w:sz w:val="20"/>
                <w:szCs w:val="20"/>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655"/>
        </w:trPr>
        <w:tc>
          <w:tcPr>
            <w:tcW w:w="4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As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50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508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ind w:left="180"/>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51,816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37,847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89,663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following table sets forth a summary of changes in the fair value of Level 3 convertible promissory notes and embedded warrants, Level 3 warrant liabilities and Level 3 unvested founder shares liability, for the three months ended September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Convertible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Promissory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Unvested</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Notes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Founder</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Embedded</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Warrant</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41"/>
        </w:trPr>
        <w:tc>
          <w:tcPr>
            <w:tcW w:w="6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Liabilities</w:t>
            </w: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16"/>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September 30, 2021</w:t>
            </w:r>
          </w:p>
        </w:tc>
        <w:tc>
          <w:tcPr>
            <w:tcW w:w="7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75,198</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2,891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89,663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liability classified warrants to equity</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Issuance of warrants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warrants and unvested founder shares liabilities assumed upon Merger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Change in fair value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(48,271)</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(11,551)</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3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warrant liabilities and convertible promissory notes</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(41,392)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September 30, 2022</w:t>
            </w: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1,999</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00"/>
              <w:spacing w:after="0" w:line="203" w:lineRule="exact"/>
              <w:rPr>
                <w:sz w:val="20"/>
                <w:szCs w:val="20"/>
                <w:color w:val="auto"/>
              </w:rPr>
            </w:pPr>
            <w:r>
              <w:rPr>
                <w:rFonts w:ascii="Arial" w:cs="Arial" w:eastAsia="Arial" w:hAnsi="Arial"/>
                <w:sz w:val="18"/>
                <w:szCs w:val="18"/>
                <w:color w:val="auto"/>
                <w:w w:val="86"/>
              </w:rPr>
              <w:t>413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920" w:type="dxa"/>
            <w:vAlign w:val="bottom"/>
            <w:vMerge w:val="restart"/>
          </w:tcPr>
          <w:p>
            <w:pPr>
              <w:ind w:left="5540"/>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692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7"/>
          <w:szCs w:val="17"/>
          <w:color w:val="auto"/>
        </w:rPr>
        <w:t>The Company measures certain non-financial assets and liabilities, including property and equipment, intangible assets, and inventory,</w:t>
      </w:r>
    </w:p>
    <w:p>
      <w:pPr>
        <w:spacing w:after="0" w:line="3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at fair value on a non-recurring basis. Fair value measurements of non-financial assets and non-financial liabilities are used primarily in the impairment analyses of property and equipment, intangible assets and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Consolidated Balance Sheet Components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Inventories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6,227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6,744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(4,536)</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$318 and $505 for the three months ended September 30, 2022 and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Intangible Assets, Net</w:t>
            </w:r>
          </w:p>
        </w:tc>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40" w:type="dxa"/>
            <w:vAlign w:val="bottom"/>
          </w:tcPr>
          <w:p>
            <w:pPr>
              <w:ind w:left="660"/>
              <w:spacing w:after="0"/>
              <w:rPr>
                <w:sz w:val="20"/>
                <w:szCs w:val="20"/>
                <w:color w:val="auto"/>
              </w:rPr>
            </w:pPr>
            <w:r>
              <w:rPr>
                <w:rFonts w:ascii="Arial" w:cs="Arial" w:eastAsia="Arial" w:hAnsi="Arial"/>
                <w:sz w:val="18"/>
                <w:szCs w:val="18"/>
                <w:color w:val="auto"/>
              </w:rPr>
              <w:t>Intangible assets, net consisted of the following:</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484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Developed technology</w:t>
            </w: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3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Intangible assets, gross</w:t>
            </w:r>
          </w:p>
        </w:tc>
        <w:tc>
          <w:tcPr>
            <w:tcW w:w="38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6,044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4,586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Intangible assets, net</w:t>
            </w:r>
          </w:p>
        </w:tc>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vMerge w:val="continue"/>
          </w:tcPr>
          <w:p>
            <w:pPr>
              <w:spacing w:after="0"/>
              <w:rPr>
                <w:sz w:val="20"/>
                <w:szCs w:val="20"/>
                <w:color w:val="auto"/>
              </w:rPr>
            </w:pPr>
          </w:p>
        </w:tc>
        <w:tc>
          <w:tcPr>
            <w:tcW w:w="406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40" w:type="dxa"/>
            <w:vAlign w:val="bottom"/>
            <w:vMerge w:val="restart"/>
          </w:tcPr>
          <w:p>
            <w:pPr>
              <w:jc w:val="right"/>
              <w:ind w:right="287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Developed technology</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Amortization expense of intangible assets was $115 and $30 for the three months ended September 30, 2022 and 2021, respectively. Within capitalized software on September 30, 2022 and June 30, 2022, $4,305 and $2,786, respectively, are in process capitalized software costs and accordingly, the amortization of such costs are excluded from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Total future amortization expense for intangible assets was estimated as follows: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Repair cost reserve (Refer to Note 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COVID-19 deferred compensation and deferred payroll tax</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sales tax</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 current portion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Accrued other</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2,383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2022 the Company recorded a right of use asset of $748 within other noncurrent assets on condensed consolidated balance sheet. The Company also has $349 of operating lease liabilities, current and $407 presented within other long-term liabilities on condensed consolidated balance sheet at September 30, 2022. For the three months ended September 30, 2022, the Company recorded operating lease costs of $95 including variable operating lease costs of $15.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information related to the Company’s operating lease was as follows for the three months ended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w:t>
            </w:r>
          </w:p>
        </w:tc>
        <w:tc>
          <w:tcPr>
            <w:tcW w:w="3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Operating lease liability arising from obtaining ROU asset (1)</w:t>
            </w: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824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30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 years</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0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ind w:left="340" w:right="18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includes (i) $516 related to the adoption of ASC 842 for existing operating leases on July 1, 2022, (ii) $308 related to the Company entering into a new non-cancelable operating lease agreement during the three months ending September 30,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ind w:right="100" w:firstLine="648"/>
        <w:spacing w:after="0" w:line="277" w:lineRule="auto"/>
        <w:rPr>
          <w:sz w:val="20"/>
          <w:szCs w:val="20"/>
          <w:color w:val="auto"/>
        </w:rPr>
      </w:pPr>
      <w:r>
        <w:rPr>
          <w:rFonts w:ascii="Arial" w:cs="Arial" w:eastAsia="Arial" w:hAnsi="Arial"/>
          <w:sz w:val="18"/>
          <w:szCs w:val="18"/>
          <w:color w:val="auto"/>
        </w:rPr>
        <w:t>Future minimum lease payments under the Company’s non-cancelable operating leases with an initial lease term in excess of one year subsequent to September 30, 2022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lease payments</w:t>
            </w: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37"/>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net future minimum lease payments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As of September 30, 2022, the present value of net future minimum lease payments is recorded in the amount of $349 within accrued liabilities on the condensed consolidated balance sheet and $407 within other long-term liabilities on the condensed consolidated balance sheet.</w:t>
      </w:r>
    </w:p>
    <w:p>
      <w:pPr>
        <w:spacing w:after="0" w:line="14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Under the previous lease accounting standard ASC 840, Leases, the aggregate future minimum lease payments under the Company’s non-cancelable operating lease, as of June 30, 2022,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Rent expense for the three months ended September 30, 2021 was $108.</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6. Financing Obligations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financing obligations, net of discounts, consist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Equipment financing facility</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financing obligations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financing obligations, current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(7,216)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financing obligations, noncurrent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both"/>
        <w:ind w:right="100" w:firstLine="648"/>
        <w:spacing w:after="0" w:line="311" w:lineRule="auto"/>
        <w:rPr>
          <w:sz w:val="20"/>
          <w:szCs w:val="20"/>
          <w:color w:val="auto"/>
        </w:rPr>
      </w:pPr>
      <w:r>
        <w:rPr>
          <w:rFonts w:ascii="Arial" w:cs="Arial" w:eastAsia="Arial" w:hAnsi="Arial"/>
          <w:sz w:val="16"/>
          <w:szCs w:val="16"/>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fiscal year 2022 and during the three months ended September 30, 2022, due to the Company’s liquidity position and other commitments, the Company postponed certain payments on certain arrangements with third party financiers, which resulted in the Company defaulting on said arrangements. The Company is seeking to remedy the matter via repayment agreements with its third-party financiers. Non-payment under the arrangements permits the financiers to declare the amounts owed under the arrangement due and payable and exercise their right to secure the tablets under lease. Although we intend to repay, we have classified all of our obligations under these arrangements as short-term within financing obligations, current as of September 30, 2022 and June 30,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7. Debt Arrangements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80" w:type="dxa"/>
            <w:vAlign w:val="bottom"/>
          </w:tcPr>
          <w:p>
            <w:pPr>
              <w:ind w:left="660"/>
              <w:spacing w:after="0"/>
              <w:rPr>
                <w:sz w:val="20"/>
                <w:szCs w:val="20"/>
                <w:color w:val="auto"/>
              </w:rPr>
            </w:pPr>
            <w:r>
              <w:rPr>
                <w:rFonts w:ascii="Arial" w:cs="Arial" w:eastAsia="Arial" w:hAnsi="Arial"/>
                <w:sz w:val="18"/>
                <w:szCs w:val="18"/>
                <w:color w:val="auto"/>
              </w:rPr>
              <w:t>The Company’s outstanding debt, net of debt discounts, consists of the following:</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7680" w:type="dxa"/>
            <w:vAlign w:val="bottom"/>
          </w:tcPr>
          <w:p>
            <w:pPr>
              <w:spacing w:after="0"/>
              <w:rPr>
                <w:sz w:val="18"/>
                <w:szCs w:val="18"/>
                <w:color w:val="auto"/>
              </w:rPr>
            </w:pPr>
          </w:p>
        </w:tc>
        <w:tc>
          <w:tcPr>
            <w:tcW w:w="2460" w:type="dxa"/>
            <w:vAlign w:val="bottom"/>
            <w:gridSpan w:val="4"/>
          </w:tcPr>
          <w:p>
            <w:pPr>
              <w:ind w:left="11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76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100" w:type="dxa"/>
            <w:vAlign w:val="bottom"/>
            <w:gridSpan w:val="2"/>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Term loans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49,424</w:t>
            </w: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25,443</w:t>
            </w:r>
          </w:p>
        </w:tc>
      </w:tr>
      <w:tr>
        <w:trPr>
          <w:trHeight w:val="23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PPP Loan</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0"/>
                <w:szCs w:val="20"/>
                <w:color w:val="auto"/>
              </w:rPr>
            </w:pPr>
          </w:p>
        </w:tc>
      </w:tr>
      <w:tr>
        <w:trPr>
          <w:trHeight w:val="203"/>
        </w:trPr>
        <w:tc>
          <w:tcPr>
            <w:tcW w:w="7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debt</w:t>
            </w:r>
          </w:p>
        </w:tc>
        <w:tc>
          <w:tcPr>
            <w:tcW w:w="1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49,424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117,106</w:t>
            </w:r>
          </w:p>
        </w:tc>
        <w:tc>
          <w:tcPr>
            <w:tcW w:w="100" w:type="dxa"/>
            <w:vAlign w:val="bottom"/>
            <w:tcBorders>
              <w:top w:val="single" w:sz="8" w:color="CCEEFF"/>
            </w:tcBorders>
            <w:gridSpan w:val="2"/>
          </w:tcPr>
          <w:p>
            <w:pPr>
              <w:spacing w:after="0"/>
              <w:rPr>
                <w:sz w:val="17"/>
                <w:szCs w:val="17"/>
                <w:color w:val="auto"/>
              </w:rPr>
            </w:pPr>
          </w:p>
        </w:tc>
      </w:tr>
      <w:tr>
        <w:trPr>
          <w:trHeight w:val="23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(115,106)</w:t>
            </w:r>
          </w:p>
        </w:tc>
      </w:tr>
      <w:tr>
        <w:trPr>
          <w:trHeight w:val="210"/>
        </w:trPr>
        <w:tc>
          <w:tcPr>
            <w:tcW w:w="7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debt, noncurrent</w:t>
            </w: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49,424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June 30, 2022, the Company had convertible notes outstanding to various investors, all of which were accounted for under the fair value option. As of June 30, 2022, the fair value of such convertible promissory notes was $89,663.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$41,392, resulting in a gain on remeasurement of $48,271 which was recorded within change in fair value of warrants and convertible promissory notes on the condensed consolidated statement of operations and comprehensive income (loss) for the three months ended September 30, 2022. As a consequence of the conversion, $41,392 was reclassified into additional paid-in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ind w:right="340" w:firstLine="648"/>
        <w:spacing w:after="0" w:line="263" w:lineRule="auto"/>
        <w:rPr>
          <w:sz w:val="20"/>
          <w:szCs w:val="20"/>
          <w:color w:val="auto"/>
        </w:rPr>
      </w:pPr>
      <w:r>
        <w:rPr>
          <w:rFonts w:ascii="Arial" w:cs="Arial" w:eastAsia="Arial" w:hAnsi="Arial"/>
          <w:sz w:val="18"/>
          <w:szCs w:val="18"/>
          <w:color w:val="auto"/>
        </w:rPr>
        <w:t>During the three months ended September 30, 2021 the Company issued $500 of convertible promissory notes and recorded a loss on remeasurement of $12,117 on all outstanding convertible promissory notes which was recorded within change in fair value of warrants and convertible promissory notes on the condensed consolidated statement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March 4, 2021, the Company entered into a loan agreement (the “Horizon Loan”) with Horizon Technology Finance Corporation,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entry into the Credit Agreement (defined below), on September 21, 2022 the Company repaid the Horizon Loan making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disbursement of $17,012, of which $15,000 was repayment of principal and $649 was payment of interest expense and accrued interest.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$1,737 was recorded as a loss on early extinguishment of debt on the condensed consolidated statement of operations and comprehensive income (loss).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11 for further details.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August 4, 2022, the Company amended the Lago Loan which provided the Company with $5,250. Further, as part of the amendment to the Lago Loan, the Company issued an additional 169,310 warrants to purchase common stock with the additional tranche. The Company determined that the amendment with the lender should be accounted for as an extinguishment and recorded a loss on early extinguishment of debt of $6,022 on its condensed consolidated statement of operations and comprehensive income (loss).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connection with the entry into the Credit Agreement (defined below) on September 21, 2022, the Company repaid all outstanding loans by making a cash disbursement of $22,351, of which $17,850 was repayment of principal and $130 was payment of payable in kind interest. Further $4,371 of cash was paid related to prepayment and other penalties.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$55,000 (the “Term Loans”).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6" w:name="page27"/>
    <w:bookmarkEnd w:id="26"/>
    <w:p>
      <w:pPr>
        <w:ind w:right="120" w:firstLine="648"/>
        <w:spacing w:after="0" w:line="291" w:lineRule="auto"/>
        <w:rPr>
          <w:sz w:val="20"/>
          <w:szCs w:val="20"/>
          <w:color w:val="auto"/>
        </w:rPr>
      </w:pPr>
      <w:r>
        <w:rPr>
          <w:rFonts w:ascii="Arial" w:cs="Arial" w:eastAsia="Arial" w:hAnsi="Arial"/>
          <w:sz w:val="16"/>
          <w:szCs w:val="16"/>
          <w:color w:val="auto"/>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spacing w:after="0" w:line="16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September 20, 2022, the Company was in compliance with all applicable covenants.</w:t>
      </w:r>
    </w:p>
    <w:p>
      <w:pPr>
        <w:spacing w:after="0" w:line="16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conjunction with the Credit agreement, the Company issued 1,500,000 warrants to purchase common stock to the Lenders. Such warrants were determined to be equity classified and the Company recorded the value associated with such warrants of $2,076 within additional paid in capital, with an offsetting debt discount being recorded. Refer to Note 11 for further details on the aforementioned warrants.</w:t>
      </w:r>
    </w:p>
    <w:p>
      <w:pPr>
        <w:spacing w:after="0" w:line="16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$2,779 in condensed consolidated balance sheet with an offsetting increase to additional paid-in capital for the contribution.</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incurred other debt issuance costs associated with professional services and fees paid to the lender of $1,006 in conjunction with the signing of the Credit Agreement which were recorded as a debt discount.</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During the three months ended September 30, 2022, the Company recorded PIK interest expense amounts of $229, which has been reflected as an increase to the outstanding debt balance. Further, during the three months ended September 30, 2022 the Company recorded interest expense associated with the amortization of debt discounts in the amount $56. Accordingly at September 30, 2022, the term loans, noncurrent balance of $49,424 reflects $55,000 of principal and $229 PIK interest accrual, as reduced by unamortized debt issuance costs of $5,805.</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Paycheck Protection Program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April 2020, we obtained a Paycheck Protection Program (“PPP”) loan for $2,599 through the U.S. Small Business Administration. In</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March 2021, a second PPP loan was obtained in the amount of $2,000, for a total of $4,599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three months ended September 30, 2021, the Company received forgiveness of the first PPP loan of $2,599 and recognized income on forgiveness within other income, net during the three months ended September 30, 2021. During the three months ended September 30, 2022, the Company received forgiveness of the second PPP loan of $2,000 and recognized income on forgiveness within other income, net during the three months ended September 30, 2022.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660"/>
              <w:spacing w:after="0"/>
              <w:rPr>
                <w:sz w:val="20"/>
                <w:szCs w:val="20"/>
                <w:color w:val="auto"/>
              </w:rPr>
            </w:pPr>
            <w:r>
              <w:rPr>
                <w:rFonts w:ascii="Arial" w:cs="Arial" w:eastAsia="Arial" w:hAnsi="Arial"/>
                <w:sz w:val="18"/>
                <w:szCs w:val="18"/>
                <w:color w:val="auto"/>
              </w:rPr>
              <w:t>As of September 30, 2022, future principal payments on debt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Ended June 30,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Total future payments on debt obligations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
        </w:trPr>
        <w:tc>
          <w:tcPr>
            <w:tcW w:w="10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Commitments and Contingencies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months ended September 30, 2022 and 2021, the Company has incurred costs to refurbish customer tablets of $658 and $617 recorded in cost of platform revenue in the Company’s condensed consolidated statement of operations and comprehensive income (loss). In connection with the service level agreements, the Company has recorded $229 and $724 in accrued liabilities in the condensed consolidated balance sheets for expected repair costs for customer tablets currently in the Company’s return merchandise authorization process as of September 30, 2022 and June 30, 2022, respectively.</w:t>
      </w:r>
    </w:p>
    <w:p>
      <w:pPr>
        <w:spacing w:after="0" w:line="1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ind w:right="160" w:firstLine="648"/>
        <w:spacing w:after="0" w:line="259" w:lineRule="auto"/>
        <w:rPr>
          <w:sz w:val="20"/>
          <w:szCs w:val="20"/>
          <w:color w:val="auto"/>
        </w:rPr>
      </w:pPr>
      <w:r>
        <w:rPr>
          <w:rFonts w:ascii="Arial" w:cs="Arial" w:eastAsia="Arial" w:hAnsi="Arial"/>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on Infrequent Product Repairs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three months ended September 30, 2021, the Company experienced an increase in hardware returned for repair or replacement using a Return Merchandise Authorization (“</w:t>
      </w:r>
      <w:r>
        <w:rPr>
          <w:rFonts w:ascii="Arial" w:cs="Arial" w:eastAsia="Arial" w:hAnsi="Arial"/>
          <w:sz w:val="18"/>
          <w:szCs w:val="18"/>
          <w:b w:val="1"/>
          <w:bCs w:val="1"/>
          <w:color w:val="auto"/>
        </w:rPr>
        <w:t>RMA</w:t>
      </w:r>
      <w:r>
        <w:rPr>
          <w:rFonts w:ascii="Arial" w:cs="Arial" w:eastAsia="Arial" w:hAnsi="Arial"/>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$435 of repair and replacement expenses related to this issue during the three months ended September 30, 2021.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(Deficit)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Effective with the closing of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On September 15, 2022, the Company (then Legacy Presto), received an equity investment of $1,000 from an investor in exchange for 133,333 shares in the Company. Further, such investor held a significant portion of outstanding convertible notes on the date the investment was made. The Company recorded the proceeds received as an increase to additional paid-in capital.</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$1,646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$531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 other financing cost of $766 within other financing and financial instrument (costs) income, net on the condensed consolidated statement of operations and comprehensive income (loss) with an offsetting increase to additional paid-in capital for the contribution.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8440" w:type="dxa"/>
            <w:vAlign w:val="bottom"/>
          </w:tcPr>
          <w:p>
            <w:pPr>
              <w:ind w:left="660"/>
              <w:spacing w:after="0"/>
              <w:rPr>
                <w:sz w:val="20"/>
                <w:szCs w:val="20"/>
                <w:color w:val="auto"/>
              </w:rPr>
            </w:pPr>
            <w:r>
              <w:rPr>
                <w:rFonts w:ascii="Arial" w:cs="Arial" w:eastAsia="Arial" w:hAnsi="Arial"/>
                <w:sz w:val="18"/>
                <w:szCs w:val="18"/>
                <w:color w:val="auto"/>
              </w:rPr>
              <w:t>The Company has the following shares of common stock reserved for future issuance:</w:t>
            </w:r>
          </w:p>
        </w:tc>
        <w:tc>
          <w:tcPr>
            <w:tcW w:w="1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440" w:type="dxa"/>
            <w:vAlign w:val="bottom"/>
          </w:tcPr>
          <w:p>
            <w:pPr>
              <w:spacing w:after="0"/>
              <w:rPr>
                <w:sz w:val="18"/>
                <w:szCs w:val="18"/>
                <w:color w:val="auto"/>
              </w:rPr>
            </w:pPr>
          </w:p>
        </w:tc>
        <w:tc>
          <w:tcPr>
            <w:tcW w:w="2800" w:type="dxa"/>
            <w:vAlign w:val="bottom"/>
            <w:gridSpan w:val="3"/>
          </w:tcPr>
          <w:p>
            <w:pPr>
              <w:jc w:val="center"/>
              <w:ind w:left="141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440" w:type="dxa"/>
            <w:vAlign w:val="bottom"/>
          </w:tcPr>
          <w:p>
            <w:pPr>
              <w:spacing w:after="0"/>
              <w:rPr>
                <w:sz w:val="20"/>
                <w:szCs w:val="20"/>
                <w:color w:val="auto"/>
              </w:rPr>
            </w:pPr>
          </w:p>
        </w:tc>
        <w:tc>
          <w:tcPr>
            <w:tcW w:w="270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6"/>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6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18,415,453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Options to purchase common stock and RSUs</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12,976,520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available for future grants</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4,617,400</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Earnout shares</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15,000,000</w:t>
            </w:r>
          </w:p>
        </w:tc>
      </w:tr>
      <w:tr>
        <w:trPr>
          <w:trHeight w:val="248"/>
        </w:trPr>
        <w:tc>
          <w:tcPr>
            <w:tcW w:w="844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51,009,373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period from June 30, 2022, through the date of the Merger, the Company had various warrant transactions:</w:t>
      </w:r>
    </w:p>
    <w:p>
      <w:pPr>
        <w:spacing w:after="0" w:line="225" w:lineRule="exact"/>
        <w:rPr>
          <w:sz w:val="20"/>
          <w:szCs w:val="20"/>
          <w:color w:val="auto"/>
        </w:rPr>
      </w:pPr>
    </w:p>
    <w:p>
      <w:pPr>
        <w:ind w:left="980" w:right="2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169,309 warrants to purchase common stock in conjunction with an amendment to the warrant agreement with Lago Loan, such amendment occurring in August of 2022.</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September 2022, the holder of 141,970 warrants net exercised such warrants with the Company issuing 136,681 common shares to the holder.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at the Merger date of 1,500,000 warrants to the Lenders to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Merger, the Company assumed 8,625,000 public warrants and 6,125,000 private warrants.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consummation of the Merger and the repayment of the Horizon loan, 294,725 of previously liability classified warrants were reclassified to equity in the amount of $830.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The following tables represent the warrants on common stock outstanding at September 30, 2022 and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w w:val="88"/>
              </w:rPr>
              <w:t>As of September 30, 2022</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8"/>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5"/>
              </w:rPr>
              <w:t>Term</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Classification</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7.80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40"/>
              <w:spacing w:after="0"/>
              <w:rPr>
                <w:sz w:val="20"/>
                <w:szCs w:val="20"/>
                <w:color w:val="auto"/>
              </w:rPr>
            </w:pPr>
            <w:r>
              <w:rPr>
                <w:rFonts w:ascii="Arial" w:cs="Arial" w:eastAsia="Arial" w:hAnsi="Arial"/>
                <w:sz w:val="18"/>
                <w:szCs w:val="18"/>
                <w:color w:val="auto"/>
                <w:w w:val="99"/>
              </w:rPr>
              <w:t>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40"/>
              <w:spacing w:after="0"/>
              <w:rPr>
                <w:sz w:val="20"/>
                <w:szCs w:val="20"/>
                <w:color w:val="auto"/>
              </w:rPr>
            </w:pPr>
            <w:r>
              <w:rPr>
                <w:rFonts w:ascii="Arial" w:cs="Arial" w:eastAsia="Arial" w:hAnsi="Arial"/>
                <w:sz w:val="18"/>
                <w:szCs w:val="18"/>
                <w:color w:val="auto"/>
                <w:w w:val="95"/>
              </w:rPr>
              <w:t>Equity</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41,636</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84,461</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87"/>
              </w:rPr>
              <w:t>6.5</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Liability</w:t>
            </w:r>
          </w:p>
        </w:tc>
      </w:tr>
      <w:tr>
        <w:trPr>
          <w:trHeight w:val="15"/>
        </w:trPr>
        <w:tc>
          <w:tcPr>
            <w:tcW w:w="4180" w:type="dxa"/>
            <w:vAlign w:val="bottom"/>
            <w:shd w:val="clear" w:color="auto" w:fill="CCEEFF"/>
          </w:tcPr>
          <w:p>
            <w:pPr>
              <w:spacing w:after="0"/>
              <w:rPr>
                <w:sz w:val="20"/>
                <w:szCs w:val="20"/>
                <w:color w:val="auto"/>
              </w:rPr>
            </w:pPr>
            <w:r>
              <w:rPr>
                <w:rFonts w:ascii="Arial" w:cs="Arial" w:eastAsia="Arial" w:hAnsi="Arial"/>
                <w:sz w:val="1"/>
                <w:szCs w:val="1"/>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
                <w:szCs w:val="1"/>
                <w:color w:val="auto"/>
              </w:rPr>
              <w:t>June 2028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0.01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404,961</w:t>
            </w: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
                <w:szCs w:val="1"/>
                <w:color w:val="auto"/>
              </w:rPr>
              <w:t>6.7</w:t>
            </w:r>
          </w:p>
        </w:tc>
        <w:tc>
          <w:tcPr>
            <w:tcW w:w="22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
                <w:szCs w:val="1"/>
                <w:color w:val="auto"/>
              </w:rPr>
              <w:t>Equity</w:t>
            </w:r>
          </w:p>
        </w:tc>
      </w:tr>
      <w:tr>
        <w:trPr>
          <w:trHeight w:val="201"/>
        </w:trPr>
        <w:tc>
          <w:tcPr>
            <w:tcW w:w="4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1120"/>
              <w:spacing w:after="0"/>
              <w:rPr>
                <w:sz w:val="20"/>
                <w:szCs w:val="20"/>
                <w:color w:val="auto"/>
              </w:rPr>
            </w:pPr>
            <w:r>
              <w:rPr>
                <w:rFonts w:ascii="Arial" w:cs="Arial" w:eastAsia="Arial" w:hAnsi="Arial"/>
                <w:sz w:val="15"/>
                <w:szCs w:val="15"/>
                <w:b w:val="1"/>
                <w:bCs w:val="1"/>
                <w:color w:val="auto"/>
              </w:rPr>
              <w:t>[E]</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[F]</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178,395</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57,952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86,532</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402,679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182,158</w:t>
            </w:r>
          </w:p>
        </w:tc>
        <w:tc>
          <w:tcPr>
            <w:tcW w:w="28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b w:val="1"/>
                <w:bCs w:val="1"/>
                <w:color w:val="auto"/>
              </w:rPr>
              <w:t>[A]</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15"/>
        </w:trPr>
        <w:tc>
          <w:tcPr>
            <w:tcW w:w="4180" w:type="dxa"/>
            <w:vAlign w:val="bottom"/>
          </w:tcPr>
          <w:p>
            <w:pPr>
              <w:spacing w:after="0"/>
              <w:rPr>
                <w:sz w:val="20"/>
                <w:szCs w:val="20"/>
                <w:color w:val="auto"/>
              </w:rPr>
            </w:pPr>
            <w:r>
              <w:rPr>
                <w:rFonts w:ascii="Arial" w:cs="Arial" w:eastAsia="Arial" w:hAnsi="Arial"/>
                <w:sz w:val="1"/>
                <w:szCs w:val="1"/>
                <w:color w:val="auto"/>
              </w:rPr>
              <w:t>Common</w:t>
            </w:r>
          </w:p>
        </w:tc>
        <w:tc>
          <w:tcPr>
            <w:tcW w:w="1680" w:type="dxa"/>
            <w:vAlign w:val="bottom"/>
          </w:tcPr>
          <w:p>
            <w:pPr>
              <w:jc w:val="center"/>
              <w:spacing w:after="0"/>
              <w:rPr>
                <w:sz w:val="20"/>
                <w:szCs w:val="20"/>
                <w:color w:val="auto"/>
              </w:rPr>
            </w:pPr>
            <w:r>
              <w:rPr>
                <w:rFonts w:ascii="Arial" w:cs="Arial" w:eastAsia="Arial" w:hAnsi="Arial"/>
                <w:sz w:val="1"/>
                <w:szCs w:val="1"/>
                <w:b w:val="1"/>
                <w:bCs w:val="1"/>
                <w:color w:val="auto"/>
              </w:rPr>
              <w:t>[B]</w:t>
            </w:r>
          </w:p>
        </w:tc>
        <w:tc>
          <w:tcPr>
            <w:tcW w:w="260" w:type="dxa"/>
            <w:vAlign w:val="bottom"/>
            <w:gridSpan w:val="2"/>
          </w:tcPr>
          <w:p>
            <w:pPr>
              <w:jc w:val="right"/>
              <w:spacing w:after="0"/>
              <w:rPr>
                <w:sz w:val="20"/>
                <w:szCs w:val="20"/>
                <w:color w:val="auto"/>
              </w:rPr>
            </w:pPr>
            <w:r>
              <w:rPr>
                <w:rFonts w:ascii="Arial" w:cs="Arial" w:eastAsia="Arial" w:hAnsi="Arial"/>
                <w:sz w:val="1"/>
                <w:sz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
                <w:szCs w:val="1"/>
                <w:color w:val="auto"/>
              </w:rPr>
              <w:t>6.53</w:t>
            </w:r>
          </w:p>
        </w:tc>
        <w:tc>
          <w:tcPr>
            <w:tcW w:w="1140" w:type="dxa"/>
            <w:vAlign w:val="bottom"/>
            <w:gridSpan w:val="2"/>
          </w:tcPr>
          <w:p>
            <w:pPr>
              <w:jc w:val="right"/>
              <w:ind w:right="20"/>
              <w:spacing w:after="0"/>
              <w:rPr>
                <w:sz w:val="20"/>
                <w:szCs w:val="20"/>
                <w:color w:val="auto"/>
              </w:rPr>
            </w:pPr>
            <w:r>
              <w:rPr>
                <w:rFonts w:ascii="Arial" w:cs="Arial" w:eastAsia="Arial" w:hAnsi="Arial"/>
                <w:sz w:val="1"/>
                <w:szCs w:val="1"/>
                <w:color w:val="auto"/>
              </w:rPr>
              <w:t>294,725</w:t>
            </w:r>
          </w:p>
        </w:tc>
        <w:tc>
          <w:tcPr>
            <w:tcW w:w="280" w:type="dxa"/>
            <w:vAlign w:val="bottom"/>
          </w:tcPr>
          <w:p>
            <w:pPr>
              <w:spacing w:after="0" w:line="20" w:lineRule="exact"/>
              <w:rPr>
                <w:sz w:val="1"/>
                <w:szCs w:val="1"/>
                <w:color w:val="auto"/>
              </w:rPr>
            </w:pPr>
          </w:p>
        </w:tc>
        <w:tc>
          <w:tcPr>
            <w:tcW w:w="1100" w:type="dxa"/>
            <w:vAlign w:val="bottom"/>
          </w:tcPr>
          <w:p>
            <w:pPr>
              <w:jc w:val="center"/>
              <w:ind w:left="40"/>
              <w:spacing w:after="0"/>
              <w:rPr>
                <w:sz w:val="20"/>
                <w:szCs w:val="20"/>
                <w:color w:val="auto"/>
              </w:rPr>
            </w:pPr>
            <w:r>
              <w:rPr>
                <w:rFonts w:ascii="Arial" w:cs="Arial" w:eastAsia="Arial" w:hAnsi="Arial"/>
                <w:sz w:val="1"/>
                <w:szCs w:val="1"/>
                <w:color w:val="auto"/>
              </w:rPr>
              <w:t>10</w:t>
            </w:r>
          </w:p>
        </w:tc>
        <w:tc>
          <w:tcPr>
            <w:tcW w:w="220" w:type="dxa"/>
            <w:vAlign w:val="bottom"/>
          </w:tcPr>
          <w:p>
            <w:pPr>
              <w:spacing w:after="0" w:line="20" w:lineRule="exact"/>
              <w:rPr>
                <w:sz w:val="1"/>
                <w:szCs w:val="1"/>
                <w:color w:val="auto"/>
              </w:rPr>
            </w:pPr>
          </w:p>
        </w:tc>
        <w:tc>
          <w:tcPr>
            <w:tcW w:w="1220" w:type="dxa"/>
            <w:vAlign w:val="bottom"/>
            <w:gridSpan w:val="2"/>
          </w:tcPr>
          <w:p>
            <w:pPr>
              <w:jc w:val="center"/>
              <w:spacing w:after="0"/>
              <w:rPr>
                <w:sz w:val="20"/>
                <w:szCs w:val="20"/>
                <w:color w:val="auto"/>
              </w:rPr>
            </w:pPr>
            <w:r>
              <w:rPr>
                <w:rFonts w:ascii="Arial" w:cs="Arial" w:eastAsia="Arial" w:hAnsi="Arial"/>
                <w:sz w:val="1"/>
                <w:szCs w:val="1"/>
                <w:color w:val="auto"/>
              </w:rPr>
              <w:t>Equity</w:t>
            </w:r>
          </w:p>
        </w:tc>
      </w:tr>
      <w:tr>
        <w:trPr>
          <w:trHeight w:val="197"/>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ind w:left="1120"/>
              <w:spacing w:after="0"/>
              <w:rPr>
                <w:sz w:val="20"/>
                <w:szCs w:val="20"/>
                <w:color w:val="auto"/>
              </w:rPr>
            </w:pPr>
            <w:r>
              <w:rPr>
                <w:rFonts w:ascii="Arial" w:cs="Arial" w:eastAsia="Arial" w:hAnsi="Arial"/>
                <w:sz w:val="15"/>
                <w:szCs w:val="15"/>
                <w:b w:val="1"/>
                <w:bCs w:val="1"/>
                <w:color w:val="auto"/>
              </w:rPr>
              <w:t>[B]</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374,912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September 2027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8,625,000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September 2027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6,125,000</w:t>
            </w:r>
          </w:p>
        </w:tc>
        <w:tc>
          <w:tcPr>
            <w:tcW w:w="280" w:type="dxa"/>
            <w:vAlign w:val="bottom"/>
          </w:tcPr>
          <w:p>
            <w:pPr>
              <w:spacing w:after="0"/>
              <w:rPr>
                <w:sz w:val="19"/>
                <w:szCs w:val="19"/>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Liability</w:t>
            </w:r>
          </w:p>
        </w:tc>
      </w:tr>
      <w:tr>
        <w:trPr>
          <w:trHeight w:val="248"/>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18,415,453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418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rPr>
              <w:t>As of June 30, 2022</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8"/>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5"/>
              </w:rPr>
              <w:t>Term</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Classification</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7.80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40"/>
              <w:spacing w:after="0"/>
              <w:rPr>
                <w:sz w:val="20"/>
                <w:szCs w:val="20"/>
                <w:color w:val="auto"/>
              </w:rPr>
            </w:pPr>
            <w:r>
              <w:rPr>
                <w:rFonts w:ascii="Arial" w:cs="Arial" w:eastAsia="Arial" w:hAnsi="Arial"/>
                <w:sz w:val="18"/>
                <w:szCs w:val="18"/>
                <w:color w:val="auto"/>
                <w:w w:val="99"/>
              </w:rPr>
              <w:t>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40"/>
              <w:spacing w:after="0"/>
              <w:rPr>
                <w:sz w:val="20"/>
                <w:szCs w:val="20"/>
                <w:color w:val="auto"/>
              </w:rPr>
            </w:pPr>
            <w:r>
              <w:rPr>
                <w:rFonts w:ascii="Arial" w:cs="Arial" w:eastAsia="Arial" w:hAnsi="Arial"/>
                <w:sz w:val="18"/>
                <w:szCs w:val="18"/>
                <w:color w:val="auto"/>
                <w:w w:val="95"/>
              </w:rPr>
              <w:t>Equity</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41,636</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84,461</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141,970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2,575,190</w:t>
            </w:r>
          </w:p>
        </w:tc>
        <w:tc>
          <w:tcPr>
            <w:tcW w:w="28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b w:val="1"/>
                <w:bCs w:val="1"/>
                <w:color w:val="auto"/>
              </w:rPr>
              <w:t>[D]</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Liability</w:t>
            </w:r>
          </w:p>
        </w:tc>
      </w:tr>
      <w:tr>
        <w:trPr>
          <w:trHeight w:val="15"/>
        </w:trPr>
        <w:tc>
          <w:tcPr>
            <w:tcW w:w="4180" w:type="dxa"/>
            <w:vAlign w:val="bottom"/>
            <w:shd w:val="clear" w:color="auto" w:fill="CCEEFF"/>
          </w:tcPr>
          <w:p>
            <w:pPr>
              <w:spacing w:after="0"/>
              <w:rPr>
                <w:sz w:val="20"/>
                <w:szCs w:val="20"/>
                <w:color w:val="auto"/>
              </w:rPr>
            </w:pPr>
            <w:r>
              <w:rPr>
                <w:rFonts w:ascii="Arial" w:cs="Arial" w:eastAsia="Arial" w:hAnsi="Arial"/>
                <w:sz w:val="1"/>
                <w:szCs w:val="1"/>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
                <w:szCs w:val="1"/>
                <w:color w:val="auto"/>
              </w:rPr>
              <w:t>June 2028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0.01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404,961</w:t>
            </w: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
                <w:szCs w:val="1"/>
                <w:color w:val="auto"/>
              </w:rPr>
              <w:t>6.7</w:t>
            </w:r>
          </w:p>
        </w:tc>
        <w:tc>
          <w:tcPr>
            <w:tcW w:w="22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
                <w:szCs w:val="1"/>
                <w:color w:val="auto"/>
              </w:rPr>
              <w:t>Equity</w:t>
            </w:r>
          </w:p>
        </w:tc>
      </w:tr>
      <w:tr>
        <w:trPr>
          <w:trHeight w:val="201"/>
        </w:trPr>
        <w:tc>
          <w:tcPr>
            <w:tcW w:w="4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1120"/>
              <w:spacing w:after="0"/>
              <w:rPr>
                <w:sz w:val="20"/>
                <w:szCs w:val="20"/>
                <w:color w:val="auto"/>
              </w:rPr>
            </w:pPr>
            <w:r>
              <w:rPr>
                <w:rFonts w:ascii="Arial" w:cs="Arial" w:eastAsia="Arial" w:hAnsi="Arial"/>
                <w:sz w:val="15"/>
                <w:szCs w:val="15"/>
                <w:b w:val="1"/>
                <w:bCs w:val="1"/>
                <w:color w:val="auto"/>
              </w:rPr>
              <w:t>[E]</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178,395</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57,952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86,532</w:t>
            </w:r>
          </w:p>
        </w:tc>
        <w:tc>
          <w:tcPr>
            <w:tcW w:w="280" w:type="dxa"/>
            <w:vAlign w:val="bottom"/>
          </w:tcPr>
          <w:p>
            <w:pPr>
              <w:spacing w:after="0"/>
              <w:rPr>
                <w:sz w:val="18"/>
                <w:szCs w:val="18"/>
                <w:color w:val="auto"/>
              </w:rPr>
            </w:pPr>
          </w:p>
        </w:tc>
        <w:tc>
          <w:tcPr>
            <w:tcW w:w="1100" w:type="dxa"/>
            <w:vAlign w:val="bottom"/>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402,679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182,158</w:t>
            </w:r>
          </w:p>
        </w:tc>
        <w:tc>
          <w:tcPr>
            <w:tcW w:w="28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b w:val="1"/>
                <w:bCs w:val="1"/>
                <w:color w:val="auto"/>
              </w:rPr>
              <w:t>[A]</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15"/>
        </w:trPr>
        <w:tc>
          <w:tcPr>
            <w:tcW w:w="4180" w:type="dxa"/>
            <w:vAlign w:val="bottom"/>
          </w:tcPr>
          <w:p>
            <w:pPr>
              <w:spacing w:after="0"/>
              <w:rPr>
                <w:sz w:val="20"/>
                <w:szCs w:val="20"/>
                <w:color w:val="auto"/>
              </w:rPr>
            </w:pPr>
            <w:r>
              <w:rPr>
                <w:rFonts w:ascii="Arial" w:cs="Arial" w:eastAsia="Arial" w:hAnsi="Arial"/>
                <w:sz w:val="1"/>
                <w:szCs w:val="1"/>
                <w:color w:val="auto"/>
              </w:rPr>
              <w:t>Common</w:t>
            </w:r>
          </w:p>
        </w:tc>
        <w:tc>
          <w:tcPr>
            <w:tcW w:w="1680" w:type="dxa"/>
            <w:vAlign w:val="bottom"/>
          </w:tcPr>
          <w:p>
            <w:pPr>
              <w:jc w:val="center"/>
              <w:spacing w:after="0"/>
              <w:rPr>
                <w:sz w:val="20"/>
                <w:szCs w:val="20"/>
                <w:color w:val="auto"/>
              </w:rPr>
            </w:pPr>
            <w:r>
              <w:rPr>
                <w:rFonts w:ascii="Arial" w:cs="Arial" w:eastAsia="Arial" w:hAnsi="Arial"/>
                <w:sz w:val="1"/>
                <w:szCs w:val="1"/>
                <w:color w:val="auto"/>
              </w:rPr>
              <w:t>March 2031</w:t>
            </w:r>
          </w:p>
        </w:tc>
        <w:tc>
          <w:tcPr>
            <w:tcW w:w="260" w:type="dxa"/>
            <w:vAlign w:val="bottom"/>
            <w:gridSpan w:val="2"/>
          </w:tcPr>
          <w:p>
            <w:pPr>
              <w:jc w:val="right"/>
              <w:spacing w:after="0"/>
              <w:rPr>
                <w:sz w:val="20"/>
                <w:szCs w:val="20"/>
                <w:color w:val="auto"/>
              </w:rPr>
            </w:pPr>
            <w:r>
              <w:rPr>
                <w:rFonts w:ascii="Arial" w:cs="Arial" w:eastAsia="Arial" w:hAnsi="Arial"/>
                <w:sz w:val="1"/>
                <w:sz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
                <w:szCs w:val="1"/>
                <w:color w:val="auto"/>
              </w:rPr>
              <w:t>6.53</w:t>
            </w:r>
          </w:p>
        </w:tc>
        <w:tc>
          <w:tcPr>
            <w:tcW w:w="1140" w:type="dxa"/>
            <w:vAlign w:val="bottom"/>
            <w:gridSpan w:val="2"/>
          </w:tcPr>
          <w:p>
            <w:pPr>
              <w:jc w:val="right"/>
              <w:ind w:right="20"/>
              <w:spacing w:after="0"/>
              <w:rPr>
                <w:sz w:val="20"/>
                <w:szCs w:val="20"/>
                <w:color w:val="auto"/>
              </w:rPr>
            </w:pPr>
            <w:r>
              <w:rPr>
                <w:rFonts w:ascii="Arial" w:cs="Arial" w:eastAsia="Arial" w:hAnsi="Arial"/>
                <w:sz w:val="1"/>
                <w:szCs w:val="1"/>
                <w:color w:val="auto"/>
              </w:rPr>
              <w:t>294,725</w:t>
            </w:r>
          </w:p>
        </w:tc>
        <w:tc>
          <w:tcPr>
            <w:tcW w:w="280" w:type="dxa"/>
            <w:vAlign w:val="bottom"/>
          </w:tcPr>
          <w:p>
            <w:pPr>
              <w:spacing w:after="0" w:line="20" w:lineRule="exact"/>
              <w:rPr>
                <w:sz w:val="1"/>
                <w:szCs w:val="1"/>
                <w:color w:val="auto"/>
              </w:rPr>
            </w:pPr>
          </w:p>
        </w:tc>
        <w:tc>
          <w:tcPr>
            <w:tcW w:w="1100" w:type="dxa"/>
            <w:vAlign w:val="bottom"/>
          </w:tcPr>
          <w:p>
            <w:pPr>
              <w:jc w:val="center"/>
              <w:ind w:left="40"/>
              <w:spacing w:after="0"/>
              <w:rPr>
                <w:sz w:val="20"/>
                <w:szCs w:val="20"/>
                <w:color w:val="auto"/>
              </w:rPr>
            </w:pPr>
            <w:r>
              <w:rPr>
                <w:rFonts w:ascii="Arial" w:cs="Arial" w:eastAsia="Arial" w:hAnsi="Arial"/>
                <w:sz w:val="1"/>
                <w:szCs w:val="1"/>
                <w:color w:val="auto"/>
              </w:rPr>
              <w:t>10</w:t>
            </w:r>
          </w:p>
        </w:tc>
        <w:tc>
          <w:tcPr>
            <w:tcW w:w="220" w:type="dxa"/>
            <w:vAlign w:val="bottom"/>
          </w:tcPr>
          <w:p>
            <w:pPr>
              <w:spacing w:after="0" w:line="20" w:lineRule="exact"/>
              <w:rPr>
                <w:sz w:val="1"/>
                <w:szCs w:val="1"/>
                <w:color w:val="auto"/>
              </w:rPr>
            </w:pPr>
          </w:p>
        </w:tc>
        <w:tc>
          <w:tcPr>
            <w:tcW w:w="1220" w:type="dxa"/>
            <w:vAlign w:val="bottom"/>
            <w:gridSpan w:val="2"/>
          </w:tcPr>
          <w:p>
            <w:pPr>
              <w:jc w:val="center"/>
              <w:spacing w:after="0"/>
              <w:rPr>
                <w:sz w:val="20"/>
                <w:szCs w:val="20"/>
                <w:color w:val="auto"/>
              </w:rPr>
            </w:pPr>
            <w:r>
              <w:rPr>
                <w:rFonts w:ascii="Arial" w:cs="Arial" w:eastAsia="Arial" w:hAnsi="Arial"/>
                <w:sz w:val="1"/>
                <w:szCs w:val="1"/>
                <w:color w:val="auto"/>
              </w:rPr>
              <w:t>Liability</w:t>
            </w:r>
          </w:p>
        </w:tc>
      </w:tr>
      <w:tr>
        <w:trPr>
          <w:trHeight w:val="197"/>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ind w:left="1120"/>
              <w:spacing w:after="0"/>
              <w:rPr>
                <w:sz w:val="20"/>
                <w:szCs w:val="20"/>
                <w:color w:val="auto"/>
              </w:rPr>
            </w:pPr>
            <w:r>
              <w:rPr>
                <w:rFonts w:ascii="Arial" w:cs="Arial" w:eastAsia="Arial" w:hAnsi="Arial"/>
                <w:sz w:val="15"/>
                <w:szCs w:val="15"/>
                <w:b w:val="1"/>
                <w:bCs w:val="1"/>
                <w:color w:val="auto"/>
              </w:rPr>
              <w:t>[B]</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205,602</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0"/>
        </w:trPr>
        <w:tc>
          <w:tcPr>
            <w:tcW w:w="4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4,713,303</w:t>
            </w: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34"/>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ind w:left="660" w:right="80" w:hanging="652"/>
        <w:spacing w:after="0" w:line="277" w:lineRule="auto"/>
        <w:tabs>
          <w:tab w:leader="none" w:pos="3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or one year after the effective date of a registration statement for an initial public offering.</w:t>
      </w:r>
    </w:p>
    <w:p>
      <w:pPr>
        <w:spacing w:after="0" w:line="170" w:lineRule="exact"/>
        <w:rPr>
          <w:rFonts w:ascii="Arial" w:cs="Arial" w:eastAsia="Arial" w:hAnsi="Arial"/>
          <w:sz w:val="18"/>
          <w:szCs w:val="18"/>
          <w:color w:val="auto"/>
        </w:rPr>
      </w:pPr>
    </w:p>
    <w:p>
      <w:pPr>
        <w:ind w:left="660" w:right="120" w:hanging="652"/>
        <w:spacing w:after="0" w:line="257"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intrinsic value of $1,925 over the exercise price of $6.53 as of September 30, 2022 and June 30, 2022. Warrant will also expire at the earliest of 10 years from the issuance date of March 5, 2021 or a consummation of an acquisition in which the sole consideration is cash or marketable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ind w:left="340" w:hanging="278"/>
        <w:spacing w:after="0"/>
        <w:tabs>
          <w:tab w:leader="none" w:pos="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Warrants expire 5 years from the effective date of a registration statement for an initial public offering should one occur.</w:t>
      </w:r>
    </w:p>
    <w:p>
      <w:pPr>
        <w:spacing w:after="0" w:line="225" w:lineRule="exact"/>
        <w:rPr>
          <w:rFonts w:ascii="Arial" w:cs="Arial" w:eastAsia="Arial" w:hAnsi="Arial"/>
          <w:sz w:val="18"/>
          <w:szCs w:val="18"/>
          <w:color w:val="auto"/>
        </w:rPr>
      </w:pPr>
    </w:p>
    <w:p>
      <w:pPr>
        <w:jc w:val="both"/>
        <w:ind w:left="660" w:right="80" w:hanging="652"/>
        <w:spacing w:after="0" w:line="259"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pacing w:after="0" w:line="186"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Warrants were issued in October 2021 and are exercisable contingent on rollouts of the Company’s products and services to the warrant holder.</w:t>
      </w:r>
    </w:p>
    <w:p>
      <w:pPr>
        <w:spacing w:after="0" w:line="46" w:lineRule="exact"/>
        <w:rPr>
          <w:rFonts w:ascii="Arial" w:cs="Arial" w:eastAsia="Arial" w:hAnsi="Arial"/>
          <w:sz w:val="16"/>
          <w:szCs w:val="16"/>
          <w:color w:val="auto"/>
        </w:rPr>
      </w:pPr>
    </w:p>
    <w:p>
      <w:pPr>
        <w:ind w:left="660" w:right="360"/>
        <w:spacing w:after="0" w:line="255" w:lineRule="auto"/>
        <w:rPr>
          <w:rFonts w:ascii="Arial" w:cs="Arial" w:eastAsia="Arial" w:hAnsi="Arial"/>
          <w:sz w:val="16"/>
          <w:szCs w:val="16"/>
          <w:color w:val="auto"/>
        </w:rPr>
      </w:pPr>
      <w:r>
        <w:rPr>
          <w:rFonts w:ascii="Arial" w:cs="Arial" w:eastAsia="Arial" w:hAnsi="Arial"/>
          <w:sz w:val="18"/>
          <w:szCs w:val="18"/>
          <w:color w:val="auto"/>
        </w:rPr>
        <w:t>Number of shares represents the maximum number of shares to be issued to the warrant holder of 404,961, of which 265,249 and 321,943 remained contingent as of September and June 30, 2022. Expense related to these warrants will be recognized as a reduction to revenue in the Company’s condensed consolidated statements of operations and comprehensive income (loss).</w:t>
      </w:r>
    </w:p>
    <w:p>
      <w:pPr>
        <w:spacing w:after="0" w:line="189" w:lineRule="exact"/>
        <w:rPr>
          <w:rFonts w:ascii="Arial" w:cs="Arial" w:eastAsia="Arial" w:hAnsi="Arial"/>
          <w:sz w:val="16"/>
          <w:szCs w:val="16"/>
          <w:color w:val="auto"/>
        </w:rPr>
      </w:pPr>
    </w:p>
    <w:p>
      <w:pPr>
        <w:ind w:left="660" w:right="200" w:hanging="652"/>
        <w:spacing w:after="0" w:line="277" w:lineRule="auto"/>
        <w:tabs>
          <w:tab w:leader="none" w:pos="2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Warrants will expire at the earliest of 10 years from the issuance date of March 11, 2016, a consummation of an acquisition or one year after the effective date of a registration statement for an initial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Prior to the Merger, the Company utilized the 2018 equity incentive plan (“</w:t>
      </w:r>
      <w:r>
        <w:rPr>
          <w:rFonts w:ascii="Arial" w:cs="Arial" w:eastAsia="Arial" w:hAnsi="Arial"/>
          <w:sz w:val="18"/>
          <w:szCs w:val="18"/>
          <w:b w:val="1"/>
          <w:bCs w:val="1"/>
          <w:color w:val="auto"/>
        </w:rPr>
        <w:t>2018 Plan</w:t>
      </w:r>
      <w:r>
        <w:rPr>
          <w:rFonts w:ascii="Arial" w:cs="Arial" w:eastAsia="Arial" w:hAnsi="Arial"/>
          <w:sz w:val="18"/>
          <w:szCs w:val="18"/>
          <w:color w:val="auto"/>
        </w:rPr>
        <w:t>”) which replaced the 2008 Stock Incentive Plan (“</w:t>
      </w:r>
      <w:r>
        <w:rPr>
          <w:rFonts w:ascii="Arial" w:cs="Arial" w:eastAsia="Arial" w:hAnsi="Arial"/>
          <w:sz w:val="18"/>
          <w:szCs w:val="18"/>
          <w:b w:val="1"/>
          <w:bCs w:val="1"/>
          <w:color w:val="auto"/>
        </w:rPr>
        <w:t>2008</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Effective with the Merger, the Board of Directors adopted the 2022 Incentive Award Plan (the “2022 Plan”). As of September 30, 2022,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of common stock reserved for future issuance under the 2022 Plan was 4,617,400.</w:t>
      </w:r>
    </w:p>
    <w:p>
      <w:pPr>
        <w:spacing w:after="0" w:line="18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6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July 2022, the Company granted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during the three months ended September 30, 2022 related to these RSUs as achievement of the performance-based vesting condition was not deemed probable of occurring. As of September 30, 2022, $9,108 of stock-based compensation related to these RSUs remains unrecognized, which is expected to time-vest over a remaining weighted-average period of 4.71 years, subject to the performance-based vesting condition being satisfied or deemed probable at which point the Company will recognize a cumulative adjustment for the service condition satisfied at such point.</w:t>
      </w:r>
    </w:p>
    <w:p>
      <w:pPr>
        <w:spacing w:after="0" w:line="16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September 2022, the Company granted 1,200,000 of RSUs to a director of the Company with a grant date fair value of $4.56 per RSU.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Company recorded compensation expense during the three months ended September 30, 2022 related to the RSUs of $1,824. As of September 30, 2022, $3,649 of stock-based compensation related to the RSU remains unrecognized, which is expected to be recognized over a remaining weighted-average period of 2.96 years. The RSUs time-based vesting would accelerate upon an acquisition of the Company. A deSPAC does not meet the definition of an acquisition as defined in the 2018 Plan.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2" w:name="page33"/>
    <w:bookmarkEnd w:id="32"/>
    <w:p>
      <w:pPr>
        <w:ind w:right="80" w:firstLine="648"/>
        <w:spacing w:after="0" w:line="272" w:lineRule="auto"/>
        <w:rPr>
          <w:sz w:val="20"/>
          <w:szCs w:val="20"/>
          <w:color w:val="auto"/>
        </w:rPr>
      </w:pPr>
      <w:r>
        <w:rPr>
          <w:rFonts w:ascii="Arial" w:cs="Arial" w:eastAsia="Arial" w:hAnsi="Arial"/>
          <w:sz w:val="17"/>
          <w:szCs w:val="17"/>
          <w:color w:val="auto"/>
        </w:rPr>
        <w:t>During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$27 for the three months ended September 30, 2022.</w:t>
      </w:r>
    </w:p>
    <w:p>
      <w:pPr>
        <w:spacing w:after="0" w:line="17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summary of the equity incentive plan activity for the three months ended September 30, 2022 is shown collectively for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the 2018 Plan and the 2008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Life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13,845,291</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w w:val="79"/>
              </w:rPr>
              <w:t>6.66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Retrospective application of recapitalization</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(2,631,676)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0.14</w:t>
            </w: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Balance – beginning of period</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11,213,615</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0.73</w:t>
            </w:r>
          </w:p>
        </w:tc>
        <w:tc>
          <w:tcPr>
            <w:tcW w:w="1320" w:type="dxa"/>
            <w:vAlign w:val="bottom"/>
            <w:tcBorders>
              <w:top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6.66</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(43,712)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0.76</w:t>
            </w: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3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and expired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(117,601)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 September 30, 2022</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11,052,302</w:t>
            </w:r>
          </w:p>
        </w:tc>
        <w:tc>
          <w:tcPr>
            <w:tcW w:w="26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b w:val="1"/>
                <w:bCs w:val="1"/>
                <w:color w:val="auto"/>
              </w:rPr>
              <w:t>0.73</w:t>
            </w:r>
          </w:p>
        </w:tc>
        <w:tc>
          <w:tcPr>
            <w:tcW w:w="1320" w:type="dxa"/>
            <w:vAlign w:val="bottom"/>
            <w:tcBorders>
              <w:top w:val="single" w:sz="8" w:color="CCEEFF"/>
            </w:tcBorders>
            <w:gridSpan w:val="2"/>
          </w:tcPr>
          <w:p>
            <w:pPr>
              <w:ind w:left="800"/>
              <w:spacing w:after="0" w:line="203" w:lineRule="exact"/>
              <w:rPr>
                <w:sz w:val="20"/>
                <w:szCs w:val="20"/>
                <w:color w:val="auto"/>
              </w:rPr>
            </w:pPr>
            <w:r>
              <w:rPr>
                <w:rFonts w:ascii="Arial" w:cs="Arial" w:eastAsia="Arial" w:hAnsi="Arial"/>
                <w:sz w:val="18"/>
                <w:szCs w:val="18"/>
                <w:b w:val="1"/>
                <w:bCs w:val="1"/>
                <w:color w:val="auto"/>
              </w:rPr>
              <w:t>6.43</w:t>
            </w:r>
          </w:p>
        </w:tc>
        <w:tc>
          <w:tcPr>
            <w:tcW w:w="1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gridSpan w:val="2"/>
          </w:tcPr>
          <w:p>
            <w:pPr>
              <w:ind w:left="700"/>
              <w:spacing w:after="0" w:line="203" w:lineRule="exact"/>
              <w:rPr>
                <w:sz w:val="20"/>
                <w:szCs w:val="20"/>
                <w:color w:val="auto"/>
              </w:rPr>
            </w:pPr>
            <w:r>
              <w:rPr>
                <w:rFonts w:ascii="Arial" w:cs="Arial" w:eastAsia="Arial" w:hAnsi="Arial"/>
                <w:sz w:val="18"/>
                <w:szCs w:val="18"/>
                <w:b w:val="1"/>
                <w:bCs w:val="1"/>
                <w:color w:val="auto"/>
              </w:rPr>
              <w:t>—</w:t>
            </w: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2022</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11,052,302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0.73</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14,554</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September 30, 2022</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8,840,903</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0.42</w:t>
            </w:r>
          </w:p>
        </w:tc>
        <w:tc>
          <w:tcPr>
            <w:tcW w:w="1320" w:type="dxa"/>
            <w:vAlign w:val="bottom"/>
            <w:tcBorders>
              <w:top w:val="single" w:sz="8" w:color="CCEEFF"/>
            </w:tcBorders>
            <w:gridSpan w:val="2"/>
          </w:tcPr>
          <w:p>
            <w:pPr>
              <w:ind w:left="800"/>
              <w:spacing w:after="0" w:line="203" w:lineRule="exact"/>
              <w:rPr>
                <w:sz w:val="20"/>
                <w:szCs w:val="20"/>
                <w:color w:val="auto"/>
              </w:rPr>
            </w:pPr>
            <w:r>
              <w:rPr>
                <w:rFonts w:ascii="Arial" w:cs="Arial" w:eastAsia="Arial" w:hAnsi="Arial"/>
                <w:sz w:val="18"/>
                <w:szCs w:val="18"/>
                <w:color w:val="auto"/>
              </w:rPr>
              <w:t>5.84</w:t>
            </w:r>
          </w:p>
        </w:tc>
        <w:tc>
          <w:tcPr>
            <w:tcW w:w="1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ind w:left="480"/>
              <w:spacing w:after="0" w:line="203" w:lineRule="exact"/>
              <w:rPr>
                <w:sz w:val="20"/>
                <w:szCs w:val="20"/>
                <w:color w:val="auto"/>
              </w:rPr>
            </w:pPr>
            <w:r>
              <w:rPr>
                <w:rFonts w:ascii="Arial" w:cs="Arial" w:eastAsia="Arial" w:hAnsi="Arial"/>
                <w:sz w:val="18"/>
                <w:szCs w:val="18"/>
                <w:color w:val="auto"/>
              </w:rPr>
              <w:t>13,793</w:t>
            </w:r>
          </w:p>
        </w:tc>
      </w:tr>
      <w:tr>
        <w:trPr>
          <w:trHeight w:val="34"/>
        </w:trPr>
        <w:tc>
          <w:tcPr>
            <w:tcW w:w="59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options exercised during the three months ended September 30, 2022 was $56.</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is a summary of the equity incentive plan RSU activity for the three months ended September 30, 2022 for the 2022 Plan and the 2018 Plan:</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Unvested Balance –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Retrospective application of recapitalization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Adjusted, unvested balance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Unvested Balance -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Awards</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432,666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6.46</w:t>
            </w:r>
          </w:p>
        </w:tc>
        <w:tc>
          <w:tcPr>
            <w:tcW w:w="20" w:type="dxa"/>
            <w:vAlign w:val="bottom"/>
          </w:tcPr>
          <w:p>
            <w:pPr>
              <w:spacing w:after="0"/>
              <w:rPr>
                <w:sz w:val="17"/>
                <w:szCs w:val="17"/>
                <w:color w:val="auto"/>
              </w:rPr>
            </w:pPr>
          </w:p>
        </w:tc>
      </w:tr>
      <w:tr>
        <w:trPr>
          <w:trHeight w:val="251"/>
        </w:trPr>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(82,240)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02"/>
        </w:trPr>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350,426</w:t>
            </w:r>
          </w:p>
        </w:tc>
        <w:tc>
          <w:tcPr>
            <w:tcW w:w="20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0"/>
              <w:spacing w:after="0" w:line="201" w:lineRule="exact"/>
              <w:rPr>
                <w:sz w:val="20"/>
                <w:szCs w:val="20"/>
                <w:color w:val="auto"/>
              </w:rPr>
            </w:pPr>
            <w:r>
              <w:rPr>
                <w:rFonts w:ascii="Arial" w:cs="Arial" w:eastAsia="Arial" w:hAnsi="Arial"/>
                <w:sz w:val="18"/>
                <w:szCs w:val="18"/>
                <w:b w:val="1"/>
                <w:bCs w:val="1"/>
                <w:color w:val="auto"/>
              </w:rPr>
              <w:t>7.98</w:t>
            </w:r>
          </w:p>
        </w:tc>
      </w:tr>
      <w:tr>
        <w:trPr>
          <w:trHeight w:val="216"/>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2,036,657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r>
      <w:tr>
        <w:trPr>
          <w:trHeight w:val="216"/>
        </w:trPr>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(399,960)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r>
      <w:tr>
        <w:trPr>
          <w:trHeight w:val="251"/>
        </w:trPr>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(62,905)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r>
      <w:tr>
        <w:trPr>
          <w:trHeight w:val="250"/>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1,924,218</w:t>
            </w:r>
          </w:p>
        </w:tc>
        <w:tc>
          <w:tcPr>
            <w:tcW w:w="200" w:type="dxa"/>
            <w:vAlign w:val="bottom"/>
          </w:tcPr>
          <w:p>
            <w:pPr>
              <w:spacing w:after="0"/>
              <w:rPr>
                <w:sz w:val="21"/>
                <w:szCs w:val="21"/>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6.93</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81"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related to employees and non-employees was $2,175 and $479 for the three months ended September 30, 2022 and 2021,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excluding stock-based compensation in capitalized software, by function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Three months</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ended</w:t>
            </w:r>
          </w:p>
        </w:tc>
        <w:tc>
          <w:tcPr>
            <w:tcW w:w="220" w:type="dxa"/>
            <w:vAlign w:val="bottom"/>
          </w:tcPr>
          <w:p>
            <w:pPr>
              <w:spacing w:after="0"/>
              <w:rPr>
                <w:sz w:val="18"/>
                <w:szCs w:val="18"/>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21"/>
                <w:szCs w:val="21"/>
                <w:color w:val="auto"/>
              </w:rPr>
            </w:pPr>
          </w:p>
        </w:tc>
      </w:tr>
      <w:tr>
        <w:trPr>
          <w:trHeight w:val="224"/>
        </w:trPr>
        <w:tc>
          <w:tcPr>
            <w:tcW w:w="86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34"/>
        </w:trPr>
        <w:tc>
          <w:tcPr>
            <w:tcW w:w="8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Stock-based compensation allocated to cost of goods sold was not material for the three months ended September 30, 2022 and 2021. The weighted-average grant date fair value of options vested during the three months ended September 30, 2022 was $1.38. As of September 30, 2022, the unrecognized stock-based compensation expense related to outstanding unvested stock options was $3,796, which is expected to be recognized over a weighted-average period of 2.89 years.</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Further, for the three months ended September 30, 2022 the Company recorded $178 of stock-based compensation expense associated with earnout shares granted to holders of common stock held by current employees and directors and holders of options and RSUs. Refer to Note 1 for further discussion of compensation recorded related to earnout shares granted to holders of common stock, options and RSUs.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Effective with the closing of the Merger, the Company adopted and employee stock purchase plan (“ESPP”). 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activity under the plan during the three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connection with the acquisition of CyborgOps (see Note 15), the Company issued 475,638 shares of common stock to former employees of CyborOps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three months ended September 30, 2022, the Company recognized $264 of stock-based compensation expense related to these awards. As of September 30, 2022, unrecognized stock-based compensation expense was $3,799, which is expected to be recognized over a weighted-average period of 3.62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is subject to U.S. federal, state, and local corporate income taxes. The Company’s income tax expense was not material for the three months ended September 30, 2022 and 2021. The Company does not expect any material changes in tax position for the remainder of the fiscal year.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basic and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(19,509)</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Weighted-average shares used in computing net income (loss) per share attributable to common stockholders, basic</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29,521,505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27,137,792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Add: Weighted average dilutive effect of stock options, RSUs and warrants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10,845,397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40,366,902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27,137,792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income (loss) per share attributable to common stockholders,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1.18</w:t>
            </w:r>
          </w:p>
        </w:tc>
        <w:tc>
          <w:tcPr>
            <w:tcW w:w="2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(0.72)</w:t>
            </w:r>
          </w:p>
        </w:tc>
        <w:tc>
          <w:tcPr>
            <w:tcW w:w="100" w:type="dxa"/>
            <w:vAlign w:val="bottom"/>
          </w:tcPr>
          <w:p>
            <w:pPr>
              <w:spacing w:after="0"/>
              <w:rPr>
                <w:sz w:val="17"/>
                <w:szCs w:val="17"/>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(0.72</w:t>
            </w:r>
            <w:r>
              <w:rPr>
                <w:rFonts w:ascii="Arial" w:cs="Arial" w:eastAsia="Arial" w:hAnsi="Arial"/>
                <w:sz w:val="29"/>
                <w:szCs w:val="29"/>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potential weighted average shares of common stock that were excluded from the computation of diluted net loss per share attributable to common stockholders for the periods presented because including them would have been antidilutive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221,140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11,570,149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notes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3,435,080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2,887,771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4,747,754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potential shares of common stock excluded from the computation of diluted net income (loss) per share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3,108,911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19,752,983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Warrants to purchase a weighted average of 2,887,771 shares of common stock were outstanding during the three months ended September 30, 2022 but were not included in the computation of diluted EPS because the warrants’ exercise price was greater than the average market price of the common shares.</w:t>
      </w:r>
    </w:p>
    <w:p>
      <w:pPr>
        <w:spacing w:after="0" w:line="184"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Company excluded a weighted average of 906,553 and 300,375 RSU’s and options from the calculation of diluted EPS as they are subject to performance conditions for which the necessary conditions have not been satisfied as of September 30, 2022 and 2021, respectively.</w:t>
      </w:r>
    </w:p>
    <w:p>
      <w:pPr>
        <w:spacing w:after="0" w:line="14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 excluded a weighted average of 1,630,435 earnout shares from the calculation of diluted EPS as they are subject to market conditions for which the necessary conditions have not been satisfied as of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Cyborg Ops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As a consequence, to the closing of the Merger, bonus and deferred consideration amounts owed to certain founding members of CyborgOps became due and payable resulting in an expense of $1,946, of which $1,878, and $68 has been recorded within research and development and sales and marketing, respectively, in the condensed consolidated statement of operations and comprehensive income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Company has certain convertible promissory notes and embedded warrants with entities in which a member of the Company’s board of directors is an officer of the entity and has a financial interest in the entity (“affiliated entities”). As of June 30, 2022, $9,566 of the Company’s convertible promissory notes and embedded warrants balance is due to a related party, all of which are due within 12 months. The convertible promissory notes and embedded warrants converted into shares of common stock during the three months ended September 30, 2022. Refer to Note 7 for further details.</w:t>
      </w:r>
    </w:p>
    <w:p>
      <w:pPr>
        <w:spacing w:after="0" w:line="157"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During the three months ended September 30, 2022, the Company received an equity investment of $1,000 from an investor in exchange for 133,333 shares in the Company. Refer to Note 10 for further details. In addition, the Company granted 1,200,000 of RSUs to a director of the Company with a grant date fair value of $4.56 per RSU. Refer to Note 12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have been no subsequent events that occurred during the period subsequent to the date of these condensed consolidated financial statements that would require adjustment to our disclosure in the condensed consolidated financial statements as presented.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should be read in conjunction with Presto’s condensed consolidated financial statements and related notes appearing elsewhere in the Quarterly Report on Form 10-Q and our audited consolidated financial statements as of and for the years ended June 30, 2022 and 2021 and the related notes contained in Exhibit 99.2 of the Current Report on Form 8-K filed with the SEC on September 27, 2022.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the this report. Additionally, Presto’s historical results are not necessarily indicative of the results that may be expected in any future period. Amounts are presented in U.S. dollars.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section to “we,” “us,” or “our” refers to the business and operations of E La Carte Inc. (“Legacy Presto”) and its consolidated subsidiary prior to the Business Combination (defined below) and to Presto Automation Inc. (“Presto”) and its subsidiaries following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5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Presto Touch product has accounted for the majority of our historical revenue. However, we expect an increasing mix of our future revenue to come from our Vision and Voice products.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benefit from a predictable, recurring revenue model from enterprise restaurant chains. We serve a blue-chip customer base with multibillion-dollar gross merchandise volume potential and high net retention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8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p>
    <w:p>
      <w:pPr>
        <w:spacing w:after="0" w:line="1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Process automation is a long-term priority for all physical businesses. As a result, restaurants need reliable and scalable products and technology that easily integrates with old, legacy systems.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the future, we may take advantage of several acquisition opportunities in customer relationship management and loyalty, POS products, front of house management, online ordering, AI tools, and integration middleware.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November 10, 2021 and as subsequently amended on April 1, 2022 and July 25, 2022,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The Business Combination has been accounted for as a reverse recapitalization in accordance with GAAP. Under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VTAQ, who is the legal acquirer, has been treated as the “acquired” company for financial reporting purposes and Presto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Business Combination has been treated as the equivalent of a capital transaction in which Presto is issuing stock for the net assets of VTAQ. The net assets of VTAQ have been stated at historical cost, with no goodwill or other intangible assets recorded. Operations prior to the Business Combination are those of Presto, as Presto is considered the predecessor for financial reporting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Company Costs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Subsequent to the Business Combination, New Presto is an SEC-registered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Presto was and is subject to risks and uncertainties as a result of the outbreak of a novel strain of coronavirus, designated “COVID-19” and declared to be a pandemic in March 2020.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p>
    <w:p>
      <w:pPr>
        <w:spacing w:after="0" w:line="17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Presto experienced three impacts from the initial onset of COVID-19 that resulted in significant charges to the statement of operations for the periods presented:</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37" w:name="page38"/>
    <w:bookmarkEnd w:id="37"/>
    <w:p>
      <w:pPr>
        <w:ind w:left="980" w:right="40" w:hanging="324"/>
        <w:spacing w:after="0" w:line="285"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Loss on Infrequent Product Repairs</w:t>
      </w:r>
      <w:r>
        <w:rPr>
          <w:rFonts w:ascii="Arial" w:cs="Arial" w:eastAsia="Arial" w:hAnsi="Arial"/>
          <w:sz w:val="16"/>
          <w:szCs w:val="16"/>
          <w:color w:val="auto"/>
        </w:rPr>
        <w:t>. Social distancing practices resulted in customers implementing a range of extreme cleaning protocols</w:t>
      </w:r>
      <w:r>
        <w:rPr>
          <w:rFonts w:ascii="Arial" w:cs="Arial" w:eastAsia="Arial" w:hAnsi="Arial"/>
          <w:sz w:val="16"/>
          <w:szCs w:val="16"/>
          <w:i w:val="1"/>
          <w:iCs w:val="1"/>
          <w:color w:val="auto"/>
        </w:rPr>
        <w:t xml:space="preserve"> </w:t>
      </w:r>
      <w:r>
        <w:rPr>
          <w:rFonts w:ascii="Arial" w:cs="Arial" w:eastAsia="Arial" w:hAnsi="Arial"/>
          <w:sz w:val="16"/>
          <w:szCs w:val="16"/>
          <w:color w:val="auto"/>
        </w:rPr>
        <w:t>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three months ended September 30, 2021, the volume of repair charges Presto experienced were higher than usual due to a liquid ingress issue resulting from COVID-19 related actions by its customers. In order to prevent disruption to customers’ businesses, Presto incurred $0.4 million of loss on infrequent product repairs related to this issue, in the three months ended September 30, 2021 which is presented as a separate line item on Presto’s condensed consolidated statement of operations and comprehensive income (loss).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a claim to recover the costs from the third-party subcontractor who manufactures the hardware. 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73" w:lineRule="exact"/>
        <w:rPr>
          <w:rFonts w:ascii="Arial" w:cs="Arial" w:eastAsia="Arial" w:hAnsi="Arial"/>
          <w:sz w:val="16"/>
          <w:szCs w:val="16"/>
          <w:color w:val="auto"/>
        </w:rPr>
      </w:pPr>
    </w:p>
    <w:p>
      <w:pPr>
        <w:ind w:left="980" w:right="4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Hardware Repair Expenses Related to COVID-19. </w:t>
      </w:r>
      <w:r>
        <w:rPr>
          <w:rFonts w:ascii="Arial" w:cs="Arial" w:eastAsia="Arial" w:hAnsi="Arial"/>
          <w:sz w:val="16"/>
          <w:szCs w:val="16"/>
          <w:color w:val="auto"/>
        </w:rPr>
        <w:t>As a result of COVID-19, Presto incurred higher than usual repair expenses for one-time,</w:t>
      </w:r>
      <w:r>
        <w:rPr>
          <w:rFonts w:ascii="Arial" w:cs="Arial" w:eastAsia="Arial" w:hAnsi="Arial"/>
          <w:sz w:val="16"/>
          <w:szCs w:val="16"/>
          <w:i w:val="1"/>
          <w:iCs w:val="1"/>
          <w:color w:val="auto"/>
        </w:rPr>
        <w:t xml:space="preserve"> </w:t>
      </w:r>
      <w:r>
        <w:rPr>
          <w:rFonts w:ascii="Arial" w:cs="Arial" w:eastAsia="Arial" w:hAnsi="Arial"/>
          <w:sz w:val="16"/>
          <w:szCs w:val="16"/>
          <w:color w:val="auto"/>
        </w:rPr>
        <w:t>infrequent product repairs that were not covered by Presto’s third-party manufacturer, who typically covers the costs during the three months ended September 30, 2021. The increase in expenses was a result of a higher volume of repair requests due to customer issues arising from COVID-19 related complications and a desire on the part of customers to have Presto reboot and re-certify equipment coming out of COVID-19. During the three months ended September 30, 2021, Presto incurred $0.4 million of hardware repair expenses related to COVID-19. The expenses incurred were not honored by the manufacturer’s warranty under the RMA process. The claim that was made to recover the costs from the third-party subcontractor who manufactures the hardware referred to above also included these hardware repair expenses.</w:t>
      </w:r>
    </w:p>
    <w:p>
      <w:pPr>
        <w:spacing w:after="0" w:line="166"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Over the course of fiscal year 2022 and the three months ended September 30, 2022, certain COVID-19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Presto has taken several actions to mitigate the effects of the COVID-19 pandemic on its operations and franchisees. In April 2020, Presto received a loan of approximately $2.6 million under the U.S. Small Business Administration (“</w:t>
      </w:r>
      <w:r>
        <w:rPr>
          <w:rFonts w:ascii="Arial" w:cs="Arial" w:eastAsia="Arial" w:hAnsi="Arial"/>
          <w:sz w:val="18"/>
          <w:szCs w:val="18"/>
          <w:b w:val="1"/>
          <w:bCs w:val="1"/>
          <w:color w:val="auto"/>
        </w:rPr>
        <w:t>SBA</w:t>
      </w:r>
      <w:r>
        <w:rPr>
          <w:rFonts w:ascii="Arial" w:cs="Arial" w:eastAsia="Arial" w:hAnsi="Arial"/>
          <w:sz w:val="18"/>
          <w:szCs w:val="18"/>
          <w:color w:val="auto"/>
        </w:rPr>
        <w:t>”)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8" w:name="page39"/>
    <w:bookmarkEnd w:id="38"/>
    <w:p>
      <w:pPr>
        <w:ind w:firstLine="648"/>
        <w:spacing w:after="0" w:line="254" w:lineRule="auto"/>
        <w:rPr>
          <w:sz w:val="20"/>
          <w:szCs w:val="20"/>
          <w:color w:val="auto"/>
        </w:rPr>
      </w:pPr>
      <w:r>
        <w:rPr>
          <w:rFonts w:ascii="Arial" w:cs="Arial" w:eastAsia="Arial" w:hAnsi="Arial"/>
          <w:sz w:val="18"/>
          <w:szCs w:val="18"/>
          <w:color w:val="auto"/>
        </w:rPr>
        <w:t>The severity of the continued impact of the COVID-19 pandemic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 on consumer discretionary spending the COVID-19 pandemic might have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the COVID-19 pandemic may continue to materially impact our financial condition, liquidity, or results of operations remains highly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three months ended September 30, 2022 and 2021, we derived our revenues from two revenue streams: (1) sales and leases of the Presto Touch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4" w:lineRule="exact"/>
        <w:rPr>
          <w:sz w:val="20"/>
          <w:szCs w:val="20"/>
          <w:color w:val="auto"/>
        </w:rPr>
      </w:pPr>
    </w:p>
    <w:p>
      <w:pPr>
        <w:ind w:left="980" w:right="40" w:hanging="324"/>
        <w:spacing w:after="0" w:line="25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Platform Revenue: </w:t>
      </w:r>
      <w:r>
        <w:rPr>
          <w:rFonts w:ascii="Arial" w:cs="Arial" w:eastAsia="Arial" w:hAnsi="Arial"/>
          <w:sz w:val="18"/>
          <w:szCs w:val="18"/>
          <w:color w:val="auto"/>
        </w:rPr>
        <w:t>the platform revenue stream is generated from fees charged to customers for access to our Presto Touch product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ratably. Part of the total contract value is due upon execution of the contract, and the remainder is due when the customer goes live. Our contracts with customers are generally for a term ranging from 12 to 48 months. Amounts invoiced in excess of revenue recognized are recorded as deferred revenue. Revenue generated from our newly launched Voice and Vision products were not material during the three months ended September 30, 2022 and 2021.</w:t>
      </w:r>
    </w:p>
    <w:p>
      <w:pPr>
        <w:spacing w:after="0" w:line="187" w:lineRule="exact"/>
        <w:rPr>
          <w:rFonts w:ascii="Arial" w:cs="Arial" w:eastAsia="Arial" w:hAnsi="Arial"/>
          <w:sz w:val="18"/>
          <w:szCs w:val="18"/>
          <w:color w:val="auto"/>
        </w:rPr>
      </w:pPr>
    </w:p>
    <w:p>
      <w:pPr>
        <w:ind w:left="980" w:right="320"/>
        <w:spacing w:after="0" w:line="263" w:lineRule="auto"/>
        <w:rPr>
          <w:rFonts w:ascii="Arial" w:cs="Arial" w:eastAsia="Arial" w:hAnsi="Arial"/>
          <w:sz w:val="18"/>
          <w:szCs w:val="18"/>
          <w:color w:val="auto"/>
        </w:rPr>
      </w:pPr>
      <w:r>
        <w:rPr>
          <w:rFonts w:ascii="Arial" w:cs="Arial" w:eastAsia="Arial" w:hAnsi="Arial"/>
          <w:sz w:val="18"/>
          <w:szCs w:val="18"/>
          <w:color w:val="auto"/>
        </w:rPr>
        <w:t>We also maintain arrangements with a certain legacy customer whereby we lease the Presto Touch product to that customer. Revenue associated with the lease was recognized on a straight-line basis as platform revenue over the lease term in the consolidated statements of operations and comprehensive loss.</w:t>
      </w:r>
    </w:p>
    <w:p>
      <w:pPr>
        <w:spacing w:after="0" w:line="183"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transaction revenue consists of a single performance obligation recognized at a point in time when the content is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9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Voice and Vision products, increase our platform revenues and maintain our relationships with current customers.</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39" w:name="page40"/>
    <w:bookmarkEnd w:id="39"/>
    <w:p>
      <w:pPr>
        <w:ind w:right="140" w:firstLine="648"/>
        <w:spacing w:after="0" w:line="277" w:lineRule="auto"/>
        <w:rPr>
          <w:sz w:val="20"/>
          <w:szCs w:val="20"/>
          <w:color w:val="auto"/>
        </w:rPr>
      </w:pPr>
      <w:r>
        <w:rPr>
          <w:rFonts w:ascii="Arial" w:cs="Arial" w:eastAsia="Arial" w:hAnsi="Arial"/>
          <w:sz w:val="18"/>
          <w:szCs w:val="18"/>
          <w:color w:val="auto"/>
        </w:rPr>
        <w:t>Our ability to achieve profitability and positive cash flows from operating activities will depend primarily on our ability to increase revenues due to the following factors:</w:t>
      </w:r>
    </w:p>
    <w:p>
      <w:pPr>
        <w:spacing w:after="0" w:line="170" w:lineRule="exact"/>
        <w:rPr>
          <w:sz w:val="20"/>
          <w:szCs w:val="20"/>
          <w:color w:val="auto"/>
        </w:rPr>
      </w:pPr>
    </w:p>
    <w:p>
      <w:pPr>
        <w:ind w:left="980" w:hanging="324"/>
        <w:spacing w:after="0" w:line="273"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Attracting New Customers and Expanding Locations in which Our Products are Used</w:t>
      </w:r>
      <w:r>
        <w:rPr>
          <w:rFonts w:ascii="Arial" w:cs="Arial" w:eastAsia="Arial" w:hAnsi="Arial"/>
          <w:sz w:val="17"/>
          <w:szCs w:val="17"/>
          <w:color w:val="auto"/>
        </w:rPr>
        <w:t>. Our future growth depends on our ability to attract new</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expand the locations across which our current and new customers use our products. For calendar years 2022 and 2023, we expect the majority of our new customer growth and new customer location expansion to come from sales of our Voice and Vision products. In an effort to attract new customers and expand our locations served, since the first calendar quarter of 2022, we have signed several Voice and Vision pilot customers. Certain of these pilot customers have more than a thousand locations each. Our goal is to convert these pilot customers into broader customer relationships in calendar year 2023.</w:t>
      </w:r>
    </w:p>
    <w:p>
      <w:pPr>
        <w:spacing w:after="0" w:line="177" w:lineRule="exact"/>
        <w:rPr>
          <w:rFonts w:ascii="Arial" w:cs="Arial" w:eastAsia="Arial" w:hAnsi="Arial"/>
          <w:sz w:val="17"/>
          <w:szCs w:val="17"/>
          <w:color w:val="auto"/>
        </w:rPr>
      </w:pPr>
    </w:p>
    <w:p>
      <w:pPr>
        <w:ind w:left="980" w:right="80" w:hanging="324"/>
        <w:spacing w:after="0" w:line="29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Increasing Voice and Vision Product Sales</w:t>
      </w:r>
      <w:r>
        <w:rPr>
          <w:rFonts w:ascii="Arial" w:cs="Arial" w:eastAsia="Arial" w:hAnsi="Arial"/>
          <w:sz w:val="16"/>
          <w:szCs w:val="16"/>
          <w:color w:val="auto"/>
        </w:rPr>
        <w:t>. Since the first calendar quarter of 2022, we have experienced increased demand for our Voice and</w:t>
      </w:r>
      <w:r>
        <w:rPr>
          <w:rFonts w:ascii="Arial" w:cs="Arial" w:eastAsia="Arial" w:hAnsi="Arial"/>
          <w:sz w:val="16"/>
          <w:szCs w:val="16"/>
          <w:i w:val="1"/>
          <w:iCs w:val="1"/>
          <w:color w:val="auto"/>
        </w:rPr>
        <w:t xml:space="preserve"> </w:t>
      </w:r>
      <w:r>
        <w:rPr>
          <w:rFonts w:ascii="Arial" w:cs="Arial" w:eastAsia="Arial" w:hAnsi="Arial"/>
          <w:sz w:val="16"/>
          <w:szCs w:val="16"/>
          <w:color w:val="auto"/>
        </w:rPr>
        <w:t>Vision products with respect to quick service restaurants, especially from chain enterprises with drive-throughs. This accelerated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we announced the industry’s first enterprise Voice rollout with Checkers, a nation-wide restaurant chain with approximately 840 locations. Our goal is to continue to increase sales of our Voice and Vision products to capture new customers.</w:t>
      </w:r>
    </w:p>
    <w:p>
      <w:pPr>
        <w:spacing w:after="0" w:line="164" w:lineRule="exact"/>
        <w:rPr>
          <w:rFonts w:ascii="Arial" w:cs="Arial" w:eastAsia="Arial" w:hAnsi="Arial"/>
          <w:sz w:val="16"/>
          <w:szCs w:val="16"/>
          <w:color w:val="auto"/>
        </w:rPr>
      </w:pPr>
    </w:p>
    <w:p>
      <w:pPr>
        <w:ind w:left="980" w:right="280" w:hanging="324"/>
        <w:spacing w:after="0" w:line="25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Increase Platform Revenues</w:t>
      </w:r>
      <w:r>
        <w:rPr>
          <w:rFonts w:ascii="Arial" w:cs="Arial" w:eastAsia="Arial" w:hAnsi="Arial"/>
          <w:sz w:val="18"/>
          <w:szCs w:val="18"/>
          <w:color w:val="auto"/>
        </w:rPr>
        <w:t>. As described above, we generate revenue through two main revenue streams: (i) platform revenue and (ii)</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revenue. We believe our overall growth will be largely driven by platform revenue growth, which we eventually expect to have higher margins than transaction revenues. Platform revenue growth will in turn be driven by an increase in sales of our Voice and Vision products.</w:t>
      </w:r>
    </w:p>
    <w:p>
      <w:pPr>
        <w:spacing w:after="0" w:line="186" w:lineRule="exact"/>
        <w:rPr>
          <w:rFonts w:ascii="Arial" w:cs="Arial" w:eastAsia="Arial" w:hAnsi="Arial"/>
          <w:sz w:val="18"/>
          <w:szCs w:val="18"/>
          <w:color w:val="auto"/>
        </w:rPr>
      </w:pPr>
    </w:p>
    <w:p>
      <w:pPr>
        <w:ind w:left="980" w:right="240" w:hanging="324"/>
        <w:spacing w:after="0" w:line="25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Maintain Relationships with Current Customers. </w:t>
      </w:r>
      <w:r>
        <w:rPr>
          <w:rFonts w:ascii="Arial" w:cs="Arial" w:eastAsia="Arial" w:hAnsi="Arial"/>
          <w:sz w:val="18"/>
          <w:szCs w:val="18"/>
          <w:color w:val="auto"/>
        </w:rPr>
        <w:t>In order to help foster robust contract renewals, our account management and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8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10-Q.</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Adjusted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Adjusted Gross Profit is calculated as gross profit adjusted to add back depreciation and hardware repair expenses related to COVID.</w:t>
      </w:r>
    </w:p>
    <w:p>
      <w:pPr>
        <w:spacing w:after="0" w:line="23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repair expenses related to COVID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gridSpan w:val="2"/>
          </w:tcPr>
          <w:p>
            <w:pPr>
              <w:spacing w:after="0"/>
              <w:rPr>
                <w:sz w:val="20"/>
                <w:szCs w:val="20"/>
                <w:color w:val="auto"/>
              </w:rPr>
            </w:pPr>
            <w:r>
              <w:rPr>
                <w:rFonts w:ascii="Arial" w:cs="Arial" w:eastAsia="Arial" w:hAnsi="Arial"/>
                <w:sz w:val="18"/>
                <w:szCs w:val="18"/>
                <w:color w:val="auto"/>
              </w:rPr>
              <w:t>Adjusted Gross Profit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Adjusted EBITDA is defined as net loss, adjusted to exclude interest, other income, net, income taxes, depreciation and amortization expense, earnout stock-based compensation expense, stock-based compensation expense, fair value adjustments on warrant liabilities and convertible promissory notes, loss on debt extinguishment, other financing and financial instrument (costs) income, net, deferred compensation and bonuses earned upon closing of the Merger, public relations fee due upon closing of the Merger, hardware repair expenses related to COVID and COVID-related expenses due to damage from liquid ingress.</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3,376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2,175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Earnout 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(59,822)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13,574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7,758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compensation and bonuses earned upon closing of the Merger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2,232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relations fee due upon closing of the Merger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gridSpan w:val="2"/>
          </w:tcPr>
          <w:p>
            <w:pPr>
              <w:spacing w:after="0" w:line="256" w:lineRule="exact"/>
              <w:rPr>
                <w:sz w:val="20"/>
                <w:szCs w:val="20"/>
                <w:color w:val="auto"/>
              </w:rPr>
            </w:pPr>
            <w:r>
              <w:rPr>
                <w:rFonts w:ascii="Arial" w:cs="Arial" w:eastAsia="Arial" w:hAnsi="Arial"/>
                <w:sz w:val="18"/>
                <w:szCs w:val="18"/>
                <w:color w:val="auto"/>
              </w:rPr>
              <w:t>Loss on infrequent product repairs</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435</w:t>
            </w:r>
          </w:p>
        </w:tc>
      </w:tr>
      <w:tr>
        <w:trPr>
          <w:trHeight w:val="290"/>
        </w:trPr>
        <w:tc>
          <w:tcPr>
            <w:tcW w:w="86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Hardware repair expense related to COVID</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September 30, 2022. As a result, the Company has not recognized any gain related to this settlement in its consolidated statement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one primary key performance indicator to evaluate our operational and financial performance: net revenue retention.</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4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quarterly annual recurring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 For the three months ended September 30, 2022, our net revenue retention was 105% while for the three months ended September 30, 2021, it was 119%. The decrease was due to customer relationship cancellations with the enterprise and certain associated franchisees under our third largest customer.</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of our Customers’ Revenue Growth</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Additional Products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Locations Per Customer</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New Locations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Development of New Products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from two main sources that are further described below: (1) platform revenue and (2) transaction revenue.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Platform revenue is generated from fees charged to customers for access to Presto Touch product and is recognized ratably. Revenue generated from Voice and Vision products was not material for the three months ended September 30, 2022 and 2021.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p>
    <w:p>
      <w:pPr>
        <w:spacing w:after="0" w:line="16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Vision and Voice products. Shipping/freight costs consist of all costs to transport equipment to customers. Installation costs include the labor cost to install the hardware in each restaurant. Other costs include the amortization of capitalized software and product support costs.</w:t>
      </w:r>
    </w:p>
    <w:p>
      <w:pPr>
        <w:spacing w:after="0" w:line="18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Arial" w:cs="Arial" w:eastAsia="Arial" w:hAnsi="Arial"/>
          <w:sz w:val="16"/>
          <w:szCs w:val="16"/>
          <w:b w:val="1"/>
          <w:bCs w:val="1"/>
          <w:color w:val="auto"/>
        </w:rPr>
        <w:t>RMA</w:t>
      </w:r>
      <w:r>
        <w:rPr>
          <w:rFonts w:ascii="Arial" w:cs="Arial" w:eastAsia="Arial" w:hAnsi="Arial"/>
          <w:sz w:val="16"/>
          <w:szCs w:val="16"/>
          <w:color w:val="auto"/>
        </w:rPr>
        <w:t>”) process as of the reporting period, which get charged to platform cost of revenue. Our hardware repair expense was higher in the three months ended September 30, 2021 due to COVID-related volume, whereby customers sent back tablets either simply to be checked or reset, or for cosmetic reasons or minor repairs.</w:t>
      </w:r>
    </w:p>
    <w:p>
      <w:pPr>
        <w:spacing w:after="0" w:line="16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revenue share agreement range on average between 83%-96% and 77%-98% of premium content revenue by customer logo for the three months ended September 30, 2022 and 2021, respectively.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4" w:name="page45"/>
    <w:bookmarkEnd w:id="44"/>
    <w:p>
      <w:pPr>
        <w:jc w:val="both"/>
        <w:ind w:right="20"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consist primarily of employee-related costs associated with maintenance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8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employee-related costs incurred to acquire new customers and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across our existing customer base. Marketing expenses also include fees incurred to generate demand through various advertising channels and allocated overhead costs.</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primarily of expenses related to facilities, finance, human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personnel and systems. General and administrative expenses also include costs related to fees paid for certain professional services, including legal, tax and accounting services and bad debt expenses.</w:t>
      </w:r>
    </w:p>
    <w:p>
      <w:pPr>
        <w:spacing w:after="0" w:line="18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4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 of charges incurred in connection with hardware</w:t>
      </w:r>
      <w:r>
        <w:rPr>
          <w:rFonts w:ascii="Arial" w:cs="Arial" w:eastAsia="Arial" w:hAnsi="Arial"/>
          <w:sz w:val="16"/>
          <w:szCs w:val="16"/>
          <w:i w:val="1"/>
          <w:iCs w:val="1"/>
          <w:color w:val="auto"/>
        </w:rPr>
        <w:t xml:space="preserve"> </w:t>
      </w:r>
      <w:r>
        <w:rPr>
          <w:rFonts w:ascii="Arial" w:cs="Arial" w:eastAsia="Arial" w:hAnsi="Arial"/>
          <w:sz w:val="16"/>
          <w:szCs w:val="16"/>
          <w:color w:val="auto"/>
        </w:rPr>
        <w:t>returned for repair or replacement using an RMA. While we have incurred RMA charges in the past and we expect to continue to incur RMA charges in the future, in the three months ended September 30,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64"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The standard warranty that we provide covers regular wear and tear and does not cover any damage caused by mishandling of the product. However, given the nature of issues, in order to prevent disruption to our customers’ businesses, we incurred approximately $0.4 million of repair and replacement expenses related to this issue during the three months ended September 30, 2021.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6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Other income, net consists of income of $2.0 million and $2.6 million due to the forgiveness of our PPP loans in the three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primarily consists of interest incurred on our financing obligations and outstanding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Loss on early extinguishment of debt consists of losses incurred related to the extinguishment of our term loans outstanding prior to the Merger during the three months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account for the arrangement related to the unvested founder shares in accordance with ASC 815-40 as equity-linked instruments and are not indexed to the entity’s own stock and accordingly such instruments are liability classified.</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81"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76"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Revenue</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Transaction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2,959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Cost of revenue</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Transaction</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2,644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3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w:t>
            </w:r>
          </w:p>
        </w:tc>
        <w:tc>
          <w:tcPr>
            <w:tcW w:w="3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7,227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2,399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Loss on infrequent product repairs</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3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(14,159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fair value of warrants and convertible promissory notes</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(3,376)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(7,758)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3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48,948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(12,332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 and comprehensive income (loss)</w:t>
            </w: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160" w:type="dxa"/>
            <w:vAlign w:val="bottom"/>
            <w:vMerge w:val="continue"/>
            <w:shd w:val="clear" w:color="auto" w:fill="CCEEFF"/>
          </w:tcPr>
          <w:p>
            <w:pPr>
              <w:spacing w:after="0"/>
              <w:rPr>
                <w:sz w:val="21"/>
                <w:szCs w:val="21"/>
                <w:color w:val="auto"/>
              </w:rPr>
            </w:pPr>
          </w:p>
        </w:tc>
        <w:tc>
          <w:tcPr>
            <w:tcW w:w="3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34,789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1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4,820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2,959</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2,692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7,779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Total revenue increased 8% to $7.8 million for the three months ended September 30, 2022, as compared to $7.2 million for the three months ended September 30, 2021.</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Platform revenue increased 6% to $4.8 million for the three months ended September 30, 2022, as compared to $4.5 million for the three months ended September 30, 2021. The increase was attributable to increases in certain replacement equipment.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Transaction revenue increased 10% to $3.0 million for the three months ended September 30, 2022, as compared to $2.7 million for the three months ended September 30, 2021. This is due to increases in pricing for the Company’s gaming fees.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At present, the substantial majority of our revenue is generated from our three largest customers (including, as applicable, the franchisees of such restaurants aggregated as a single customer for reporting purposes), which in the three months ended September 30, 2022 and 2021, generated an aggregate of approximately, 92% and 91% of our revenue, respectively. The successful renewal of our agreements with those customers is critical to our near-term results of operations and is dependent on product execution, key customer relationships, and in part, the health of the franchisees of our customers that have a predominantly franchised model. Although we experienced customer relationship cancellations with the enterprise and certain associated franchisees under our third largest customer, the most significant franchisee relationships are still in business or have renewed with us. Each of these agreements are subject to renewal in calendar year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2,644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r>
      <w:tr>
        <w:trPr>
          <w:trHeight w:val="23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59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costs of revenue</w:t>
            </w: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7,227</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6,822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405</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w w:val="87"/>
              </w:rPr>
              <w:t>%</w:t>
            </w:r>
          </w:p>
        </w:tc>
      </w:tr>
      <w:tr>
        <w:trPr>
          <w:trHeight w:val="34"/>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Cost of revenue increased 6% to $7.2 million for the three months ended September 30, 2022, as compared to $6.8 million for the three months ended September 30, 2021.</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platform cost of revenue increased 7% to $4.3 million for the three months ended September 30, 2022, as compared to $4.0 million for the three months ended September 30, 2021. The $0.3 million increase was primarily attributable to increases in installation and shipping costs during the three months ended September 30, 2022, relative to the three months ended September 30, 2021.</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transaction cost of revenue increased 13% to $2.6 million for the three months ended September 30, 2022, as compared to $2.3 million for the three months ended September 30, 2021. The $0.3 million increase was primarily attributable to increases in the revenue share owed to restaurants as a result of increases in pricing for the Company’s gaming fees and an increase in revenue at restaurants with a lower transaction revenue share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Cost of Revenue — Depreciation and Impairment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depreciation and impairment cost of revenue decreased 38% to $0.3 million for the three months ended September 30, 2022, as compared to $0.5 million for the three months ended September 30, 2021. The $0.2 million decrease was primarily attributable to the return of leased tablets in fiscal year 2022, which resulted in a lower amount of tablets in use and being depreciated.</w:t>
      </w:r>
    </w:p>
    <w:p>
      <w:pPr>
        <w:sectPr>
          <w:pgSz w:w="11900" w:h="16838" w:orient="portrait"/>
          <w:cols w:equalWidth="0" w:num="1">
            <w:col w:w="11240"/>
          </w:cols>
          <w:pgMar w:left="320" w:top="88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Loss on infrequent product repairs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6,388</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4,001</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2,387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1,225</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5,924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3,950</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14,711</w:t>
            </w:r>
          </w:p>
        </w:tc>
        <w:tc>
          <w:tcPr>
            <w:tcW w:w="22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7,584</w:t>
            </w:r>
          </w:p>
        </w:tc>
        <w:tc>
          <w:tcPr>
            <w:tcW w:w="22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7,127</w:t>
            </w:r>
          </w:p>
        </w:tc>
        <w:tc>
          <w:tcPr>
            <w:tcW w:w="3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-496570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-205105</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-788035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881" w:right="339" w:bottom="1440" w:gutter="0" w:footer="0" w:header="0"/>
          <w:type w:val="continuous"/>
        </w:sectPr>
      </w:pPr>
    </w:p>
    <w:p>
      <w:pPr>
        <w:spacing w:after="0" w:line="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Operating expenses increased by 94% to $14.7 million for the three months ended September 30, 2022, as compared to $7.6 million for the three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Research and development expenses increased 60% to $6.4 million for the three months ended September 30, 2022, as compared to $4.0 million for the three months ended September 30, 2021. The increase resulted primarily from an increase in salaries and employee benefits expense of $1.9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Sales and marketing expenses increased 104% to $2.4 million for the three months ended September 30, 2022, as compared to $1.2 million for the three months ended September 30, 2021. The increase resulted primarily from an increase in salaries and employee benefits expense of $0.7 million, and a public relations fee paid upon the completion of the Merger of $0.3 million in the three months ended September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General and administrative expenses increased 200% to $5.9 million for the three months ended September 30, 2022, as compared to $2.0 million for the three months ended September 30, 2021. The increase resulted primarily from an increase in stock-based compensation expense of $1.7 million, an increase in salaries and employee benefits expense of $1.0 million, and an increase in legal expense, accounting services expense and temporary services expenses of $1.1 million, $0.8 million of which are ancillary professional services fees in preparation for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had no loss on infrequent product repairs for the three months ended September 30, 2022, as compared to $0.4 million for the three months ended September 30, 2021, as a result of a decrease in the repair and replacement expenses related to damage caused to hardware caused by our customers’ use of extremely strong commercial disinfectant solutions to clean the hardware devices as a mandatory precaution protocol due to COVID-19 in the three months ended September 30,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the three months ended September 30, 2022, the change in fair value of warrants and convertible promissory notes changed due to a gain of $59.8 million, as compared to a loss of $13.6 million in the three months ended September 30, 2021.</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remeasurement gain recorded during the three months ended September 30, 2022, was primarily driven by two factors. First, immediately prior to the closing of the Merger, the convertible notes and warrants were remeasured to their then fair value of $41.4 million, resulting in a gain on remeasurement of $48.3 million. Second, with the close of the Merger, the Company assumed $9.4 million of warrant liabilities associated with the Private Warrants of VTAQ and issued additional warrants with a fair value of $0.8 million. At September 30, 2022, the warrants were remeasured to fair value based on the September 30, 2022 stock price, resulting in $11.6 million gain on remeasurement. The primary factor affecting the change in fair value of the warrants was the assumption of the Private Warrants, the issuance of additional warrant shares, and the decrease in the Company’s stock price during the three months ended September 30, 2022.</w:t>
      </w:r>
    </w:p>
    <w:p>
      <w:pPr>
        <w:spacing w:after="0" w:line="19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During the three months ended September 30, 2021, the convertible notes and embedded warrants were remeasured to a fair value of $75.2 million, reflecting the increased stock price of the then privately held entity. Such increases to the stock price were in contemplation of the anticipated Merger.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r>
    </w:tbl>
    <w:p>
      <w:pPr>
        <w:spacing w:after="0" w:line="20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Interest expense increased 143% to $3.4 million for the three months ended September 30, 2022, as compared to $1.4 million for the three months ended September 30, 2021. The increase was due to the Company having more interest bearing debt outstanding during the three months ended September 30, 2022 as compared to the three months ended September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Loss on Early Extinguishment of 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Loss on early extinguishment of debt increased 100% to $7.8 million for the three months ended September 30, 2022. The increase was due to the Company’s loss on the extinguishment of its term loans outstanding prior to the Merger during the three months ended September 30,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tc>
        <w:tc>
          <w:tcPr>
            <w:tcW w:w="240" w:type="dxa"/>
            <w:vAlign w:val="bottom"/>
          </w:tcPr>
          <w:p>
            <w:pPr>
              <w:spacing w:after="0"/>
              <w:rPr>
                <w:sz w:val="20"/>
                <w:szCs w:val="20"/>
                <w:color w:val="auto"/>
              </w:rPr>
            </w:pPr>
          </w:p>
        </w:tc>
        <w:tc>
          <w:tcPr>
            <w:tcW w:w="19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financing and financial instrument (costs) income, net increased 100% to $1.8 million for the three months ended September 30, 2022. The increase was due to the Company’s expense related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Other income, net decreased to a $2.0 million gain for the three months ended September 30, 2022, as compared to a $2.6 million gain for the three months ended September 30, 2021. The gains were due to the forgiveness of our PPP loans during the three months ended September 30,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 provision for income taxes was not material in the three months ended September 30, 2022 and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September 30, 2022 and June 30, 2022, our principal sources of liquidity were cash and cash equivalents of $59.2 million and $3.0 million, respectively, which were held for working capital purposes.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$14.2 million and $7.2 million for the three months ended September 30, 2022 and 2021, respectively. As of September 30, 2022 and June 30, 2022, we had an accumulated deficit of $166.0 million and $200.8 million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Merger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While the Merger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the plan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(455)</w:t>
            </w:r>
          </w:p>
        </w:tc>
      </w:tr>
      <w:tr>
        <w:trPr>
          <w:trHeight w:val="23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68,762</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20"/>
                <w:szCs w:val="20"/>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increase (decrease) in cash</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56,232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34"/>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For the three months ended September 30, 2022, net cash used in operating activities was $11.2 million. This consisted of adjustments for non-cash charges of $48.2 million partially offset by net income of $34.8 million and net proceeds of cash from changes in operating assets and liabilities of $2.3 million. The net proceeds of cash from changes in operating assets and liabilities primarily relate to decreases in deferred costs of $3.5 million and increases in accrued liabilities of $0.5 million, partially offset by decreases in deferred revenue of $3.4 million and an increase in accounts payable of $1.7 million. The non-cash adjustments primarily relate to the change in fair value of warrants and convertible promissory notes of $48.3 million, change in fair value of our liability classified warrants of $11.6 million, forgiveness of our outstanding PPP loan of $2.0 million, and change in fair value of unvested founder shares liability of $1.2 million, partially offset by stock-based compensation expense related to the earnout shares of $0.2 million, other stock-based compensation expense of $2.2 million, share and warrant cost on termination of convertible note agreement of $2.4 million, loss on debt extinguishment of $7.8 million, and amortization of debt discount of $1.4 million.</w:t>
      </w:r>
    </w:p>
    <w:p>
      <w:pPr>
        <w:spacing w:after="0" w:line="18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For the three months ended September 30, 2021, net cash used in operating activities was $15.4 million. This consisted of our net loss of $19.5 million and a net use of cash from changes in operating assets and liabilities of $8.0 million, partially offset by adjustments for non-cash charges of $12.1 million. The net use of cash from changes in operating assets and liabilities primarily relate to decreases in vendor financing facility of $3.7 million, deferred revenue of $3.1 million, accounts payable of $2.4 million and accrued liabilities of $1.5 million, partially offset by decreases in deferred costs of $2.8 million. The non-cash adjustments primarily relate to changes in the fair value of convertible promissory notes of $12.1 million, change in fair value of our liability-classified warrants of $1.5 million, partially offset by forgiveness of one of our PPP loans of $2.6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three months ended September 30, 2022, cash used in investing activities was $1.4 million which primarily consisted of cash outflows for capitalized software of $1.3 million.</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three months ended September 30, 2021, cash used in investing activities was $0.5 million which primarily consisted of cash outflows for capitalized software of $0.4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three months ended September 30, 2022, cash provided by financing activities was $68.8 million, which consisted primarily of proceeds from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$5.7 million, and principal payments of financing obligations of $0.9 million, payment of debt issuance costs of $1.1 million, and payment of deferred transactions costs of $1.7 million.</w:t>
      </w:r>
    </w:p>
    <w:p>
      <w:pPr>
        <w:spacing w:after="0" w:line="18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For the three months ended September 30, 2021, cash provided by financing activities was $0.3 million, which consisted primarily of proceeds from the issuance of convertible promissory notes of $0.5 million, partially offset by principal payments of financing obligations of $0.2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and June 30, 2022, the Company’s financing obligations consisted of the following:</w:t>
      </w:r>
    </w:p>
    <w:p>
      <w:pPr>
        <w:sectPr>
          <w:pgSz w:w="11900" w:h="16838" w:orient="portrait"/>
          <w:cols w:equalWidth="0" w:num="1">
            <w:col w:w="11240"/>
          </w:cols>
          <w:pgMar w:left="320" w:top="881" w:right="339"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Receivable financing facility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Equipment financing facility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26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5,911</w:t>
            </w:r>
          </w:p>
        </w:tc>
        <w:tc>
          <w:tcPr>
            <w:tcW w:w="20" w:type="dxa"/>
            <w:vAlign w:val="bottom"/>
          </w:tcPr>
          <w:p>
            <w:pPr>
              <w:spacing w:after="0"/>
              <w:rPr>
                <w:sz w:val="18"/>
                <w:szCs w:val="18"/>
                <w:color w:val="auto"/>
              </w:rPr>
            </w:pPr>
          </w:p>
        </w:tc>
      </w:tr>
      <w:tr>
        <w:trPr>
          <w:trHeight w:val="230"/>
        </w:trPr>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1,413</w:t>
            </w: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-299720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960" w:space="720"/>
            <w:col w:w="2560"/>
          </w:cols>
          <w:pgMar w:left="320" w:top="881" w:right="339" w:bottom="447"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8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financing obligations</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1"/>
              <w:spacing w:after="0" w:line="203" w:lineRule="exact"/>
              <w:rPr>
                <w:sz w:val="20"/>
                <w:szCs w:val="20"/>
                <w:color w:val="auto"/>
              </w:rPr>
            </w:pPr>
            <w:r>
              <w:rPr>
                <w:rFonts w:ascii="Arial" w:cs="Arial" w:eastAsia="Arial" w:hAnsi="Arial"/>
                <w:sz w:val="18"/>
                <w:szCs w:val="18"/>
                <w:color w:val="auto"/>
              </w:rPr>
              <w:t>7,216</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8,840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Less: financing obligations, current</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(7,216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(8,840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 non-current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Financing Facility</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August 15, 2021, November 16, 2021, February 22, 2022 and May 31, 2022, and August 18, 2022, in accordance with the terms of the receivable financing facility, we rolled forward the receivable financing facility, enabling us to continue our quarterly borrowings for a minimum of twelve-months. Subject to the approval of the financier, we expect to continue rolling forward the receivable financing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8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fiscal year 2022, due to our liquidity position and other commitments, we postponed certain payments on certain arrangements with third party financiers, which resulted in us defaulting on said arrangements. We are seeking to remedy the matter via repayment agreements with our third party financiers. Non-payment under the arrangements permits the financiers to declare the amounts owed under the arrangement due and payable and exercise their right to secure the tablets under lease. Although we intend to repay, we have classified all of our obligations under these arrangements as short-term within financing obligations, current as of September 30, 2022 and June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and June 30, 2022, our outstanding debt, net of debt discounts, consisted of the following:</w:t>
      </w:r>
    </w:p>
    <w:p>
      <w:pPr>
        <w:sectPr>
          <w:pgSz w:w="11900" w:h="16838" w:orient="portrait"/>
          <w:cols w:equalWidth="0" w:num="1">
            <w:col w:w="11240"/>
          </w:cols>
          <w:pgMar w:left="320" w:top="881" w:right="339" w:bottom="4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Convertible promissory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loans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As of</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As of</w:t>
            </w:r>
          </w:p>
        </w:tc>
      </w:tr>
      <w:tr>
        <w:trPr>
          <w:trHeight w:val="241"/>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20" w:type="dxa"/>
            <w:vAlign w:val="bottom"/>
          </w:tcPr>
          <w:p>
            <w:pPr>
              <w:jc w:val="center"/>
              <w:ind w:left="570"/>
              <w:spacing w:after="0" w:line="201" w:lineRule="exact"/>
              <w:rPr>
                <w:sz w:val="20"/>
                <w:szCs w:val="20"/>
                <w:color w:val="auto"/>
              </w:rPr>
            </w:pPr>
            <w:r>
              <w:rPr>
                <w:rFonts w:ascii="Arial" w:cs="Arial" w:eastAsia="Arial" w:hAnsi="Arial"/>
                <w:sz w:val="18"/>
                <w:szCs w:val="18"/>
                <w:color w:val="auto"/>
              </w:rPr>
              <w:t>—   $</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89,663</w:t>
            </w: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49,424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-289560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8100" w:space="720"/>
            <w:col w:w="2420"/>
          </w:cols>
          <w:pgMar w:left="320" w:top="881" w:right="339" w:bottom="447"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5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debt</w:t>
            </w:r>
          </w:p>
        </w:tc>
        <w:tc>
          <w:tcPr>
            <w:tcW w:w="52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49,424</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117,106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5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(115,106)</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debt, noncurrent</w:t>
            </w:r>
          </w:p>
        </w:tc>
        <w:tc>
          <w:tcPr>
            <w:tcW w:w="526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49,424</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5260" w:type="dxa"/>
            <w:vAlign w:val="bottom"/>
            <w:vMerge w:val="restart"/>
          </w:tcPr>
          <w:p>
            <w:pPr>
              <w:jc w:val="right"/>
              <w:ind w:right="3010"/>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447"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Convertible Promissory Notes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three months ended September 30, 2022. During the three months ended September 30, 2021, we recorded a loss on remeasurement of $12.1 million which was recorded within change in fair value of warrants and convertible promissory notes on the condensed consolidated statement of operations and comprehensive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Horizon Loan</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9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early extinguishment of debt on our condensed consolidated statement of operations and comprehensive income (loss).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Lago Loans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11 for further details.</w:t>
      </w:r>
    </w:p>
    <w:p>
      <w:pPr>
        <w:spacing w:after="0" w:line="1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early extinguishment of debt of $6.0 million on our condensed consolidated statement of operations and comprehensive income (loss).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connection with the entry into the Credit Agreement (defined below) on September 21, 2022, we repaid all outstanding loans by making a cash disbursement of $22.3 million, of which $17.8 million was repayment of principal and $0.1 million was payment of payable in kind interest. Further $4.4 million of cash was paid related to prepayment and other penalties.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On September 21, 2022, in connection with the consummation of the Business Combination, we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six months after the closing date, we may elect for 100% of the interest payment to be capitalized as PIK Interest on a monthly basis. With respect to interest accruing after the six month anniversary of the closing date, but before the 18 month anniversary of the closing date, we may elect for 50% of the interest payment to be capitalized as PIK Interest on a monthly basis. The Term Loans mature on March 21, 2025.</w:t>
      </w:r>
    </w:p>
    <w:p>
      <w:pPr>
        <w:spacing w:after="0" w:line="17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3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September 30, 2022, we were in compliance with all applicable covenants.</w:t>
      </w:r>
    </w:p>
    <w:p>
      <w:pPr>
        <w:spacing w:after="0" w:line="16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condition to entering into the Credit Agreement, Ventoux Acquisition Holdings LLC and Chardan International Investments LLC, the co-sponsors of VTAQ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spacing w:after="0" w:line="19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incurred cash debt issuance costs of $1.0 million in conjunction with the signing of the Credit Agreement which were recorded as a debt discount.</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During the three months ended September 30, 2022, we recorded PIK interest expense amounts of $0.2 million, which has been reflected as an increase to the outstanding debt balance. Further, during the three months ended September 30, 2022 we recorded interest expense associated with the amortization of debt discounts in the amount $0.1 million. Accordingly at September 30, 2022, the term loans, noncurrent balance of $49.4 million reflects $55.0 million of principal and $0.2 million PIK interest accrual, as reduced by unamortized debt issuance costs of $5.8 million.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Should the loans be forgiven, the forgiven loan balance will be recognized as income at that time. During the fiscal years ended June 30, 2022, we received forgiveness for the first PPP loan of $2.6 million and recognized as other income, net during the fiscal years ended June 30, 2022. No collateral or personal guarantees were required for the loan. These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6"/>
          <w:szCs w:val="16"/>
          <w:i w:val="1"/>
          <w:iCs w:val="1"/>
          <w:color w:val="auto"/>
        </w:rPr>
        <w:t>Debt</w:t>
      </w:r>
      <w:r>
        <w:rPr>
          <w:rFonts w:ascii="Arial" w:cs="Arial" w:eastAsia="Arial" w:hAnsi="Arial"/>
          <w:sz w:val="16"/>
          <w:szCs w:val="16"/>
          <w:color w:val="auto"/>
        </w:rPr>
        <w:t>. In July 2022, we were granted forgiveness of the second loan in an amount of approximately $2.0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September 30, 2022 and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June 2022, we received a favorable arbitrator ruling related to a matter with our third-party subcontractor and were awarded approximately $11.3 million in damages related to our loss on infrequent product repairs and to cover our legal expenses. The award has not met the criteria to be considered realizable as of September 30, 2022. As a result, we have not recognized any gain related to this settlement in our consolidated statement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three months ended September 30, 2022. Refer to Note 7 for further details.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we received an equity investment of $1,000 from an investor in exchange for 133,333 shares in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10 for further details. In addition, we granted 1,200,000 of RSUs to a director of the Company with a grant date fair value of $4.56 per RSU.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for further details.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These estimates and assumptions affect the reported amounts of assets, liabilities, revenues, expenses and disclosures. Our most significant estimates and judgments are related to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 and the related notes contained in exhibit 99.2 of the Current Report on Form 8-K filed with the SEC on September 27,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p>
      <w:pPr>
        <w:ind w:right="400" w:firstLine="648"/>
        <w:spacing w:after="0" w:line="286" w:lineRule="auto"/>
        <w:rPr>
          <w:sz w:val="20"/>
          <w:szCs w:val="20"/>
          <w:color w:val="auto"/>
        </w:rPr>
      </w:pPr>
      <w:r>
        <w:rPr>
          <w:rFonts w:ascii="Arial" w:cs="Arial" w:eastAsia="Arial" w:hAnsi="Arial"/>
          <w:sz w:val="17"/>
          <w:szCs w:val="17"/>
          <w:color w:val="auto"/>
        </w:rPr>
        <w:t>During the three months ended September 30, 2022 and 2021, we derived our revenues from two revenue streams: (1) sales and leases of the Presto Touch product (“</w:t>
      </w:r>
      <w:r>
        <w:rPr>
          <w:rFonts w:ascii="Arial" w:cs="Arial" w:eastAsia="Arial" w:hAnsi="Arial"/>
          <w:sz w:val="17"/>
          <w:szCs w:val="17"/>
          <w:b w:val="1"/>
          <w:bCs w:val="1"/>
          <w:color w:val="auto"/>
        </w:rPr>
        <w:t>Platform revenue</w:t>
      </w:r>
      <w:r>
        <w:rPr>
          <w:rFonts w:ascii="Arial" w:cs="Arial" w:eastAsia="Arial" w:hAnsi="Arial"/>
          <w:sz w:val="17"/>
          <w:szCs w:val="17"/>
          <w:color w:val="auto"/>
        </w:rPr>
        <w:t>”), which includes hardware, hardware accessories, software and customer support and maintenance, and (2) Premium Content (gaming) and other revenue, which includes professional services (“</w:t>
      </w:r>
      <w:r>
        <w:rPr>
          <w:rFonts w:ascii="Arial" w:cs="Arial" w:eastAsia="Arial" w:hAnsi="Arial"/>
          <w:sz w:val="17"/>
          <w:szCs w:val="17"/>
          <w:b w:val="1"/>
          <w:bCs w:val="1"/>
          <w:color w:val="auto"/>
        </w:rPr>
        <w:t>Transaction revenue</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platform revenue stream is generated from fees charged to customers for access to our Presto Touch products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our newly launched Voice and Vision products were not material during the three months ended September 30, 2022 and 2021.We also maintain arrangements with a certain customer whereby we leased the Presto Touch product to that customer. Revenue associated with the lease was recognized on a straight-line basis as platform revenue over the lease term in the consolidated statements of operations and comprehensive income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1" w:lineRule="exact"/>
        <w:rPr>
          <w:sz w:val="20"/>
          <w:szCs w:val="20"/>
          <w:color w:val="auto"/>
        </w:rPr>
      </w:pPr>
    </w:p>
    <w:p>
      <w:pPr>
        <w:ind w:left="980" w:hanging="324"/>
        <w:spacing w:after="0" w:line="25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 We enter into a master sales agreement (“</w:t>
      </w:r>
      <w:r>
        <w:rPr>
          <w:rFonts w:ascii="Arial" w:cs="Arial" w:eastAsia="Arial" w:hAnsi="Arial"/>
          <w:sz w:val="18"/>
          <w:szCs w:val="18"/>
          <w:b w:val="1"/>
          <w:bCs w:val="1"/>
          <w:color w:val="auto"/>
        </w:rPr>
        <w:t>MSA</w:t>
      </w:r>
      <w:r>
        <w:rPr>
          <w:rFonts w:ascii="Arial" w:cs="Arial" w:eastAsia="Arial" w:hAnsi="Arial"/>
          <w:sz w:val="18"/>
          <w:szCs w:val="18"/>
          <w:color w:val="auto"/>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91" w:lineRule="exact"/>
        <w:rPr>
          <w:rFonts w:ascii="Arial" w:cs="Arial" w:eastAsia="Arial" w:hAnsi="Arial"/>
          <w:sz w:val="18"/>
          <w:szCs w:val="18"/>
          <w:color w:val="auto"/>
        </w:rPr>
      </w:pPr>
    </w:p>
    <w:p>
      <w:pPr>
        <w:ind w:left="980" w:right="40" w:hanging="324"/>
        <w:spacing w:after="0" w:line="272"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7" w:lineRule="exact"/>
        <w:rPr>
          <w:rFonts w:ascii="Arial" w:cs="Arial" w:eastAsia="Arial" w:hAnsi="Arial"/>
          <w:sz w:val="17"/>
          <w:szCs w:val="17"/>
          <w:color w:val="auto"/>
        </w:rPr>
      </w:pPr>
    </w:p>
    <w:p>
      <w:pPr>
        <w:ind w:left="980" w:right="420"/>
        <w:spacing w:after="0" w:line="286" w:lineRule="auto"/>
        <w:rPr>
          <w:rFonts w:ascii="Arial" w:cs="Arial" w:eastAsia="Arial" w:hAnsi="Arial"/>
          <w:sz w:val="17"/>
          <w:szCs w:val="17"/>
          <w:color w:val="auto"/>
        </w:rPr>
      </w:pPr>
      <w:r>
        <w:rPr>
          <w:rFonts w:ascii="Arial" w:cs="Arial" w:eastAsia="Arial" w:hAnsi="Arial"/>
          <w:sz w:val="17"/>
          <w:szCs w:val="17"/>
          <w:color w:val="auto"/>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three months ended September 30, 2022 and 2021.</w:t>
      </w:r>
    </w:p>
    <w:p>
      <w:pPr>
        <w:spacing w:after="0" w:line="165" w:lineRule="exact"/>
        <w:rPr>
          <w:rFonts w:ascii="Arial" w:cs="Arial" w:eastAsia="Arial" w:hAnsi="Arial"/>
          <w:sz w:val="17"/>
          <w:szCs w:val="17"/>
          <w:color w:val="auto"/>
        </w:rPr>
      </w:pPr>
    </w:p>
    <w:p>
      <w:pPr>
        <w:jc w:val="both"/>
        <w:ind w:left="980" w:right="120"/>
        <w:spacing w:after="0" w:line="263" w:lineRule="auto"/>
        <w:rPr>
          <w:rFonts w:ascii="Arial" w:cs="Arial" w:eastAsia="Arial" w:hAnsi="Arial"/>
          <w:sz w:val="17"/>
          <w:szCs w:val="17"/>
          <w:color w:val="auto"/>
        </w:rPr>
      </w:pPr>
      <w:r>
        <w:rPr>
          <w:rFonts w:ascii="Arial" w:cs="Arial" w:eastAsia="Arial" w:hAnsi="Arial"/>
          <w:sz w:val="18"/>
          <w:szCs w:val="18"/>
          <w:color w:val="auto"/>
        </w:rPr>
        <w:t>The Presto Touch product is considered a single performance obligation because each element of the Presto Touch product is interdependent and cannot function independently. The software and hardware represent one combined output and the customer cannot benefit from the use of one element without the other.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57" w:name="page58"/>
    <w:bookmarkEnd w:id="57"/>
    <w:p>
      <w:pPr>
        <w:ind w:left="980" w:right="20"/>
        <w:spacing w:after="0" w:line="254" w:lineRule="auto"/>
        <w:rPr>
          <w:sz w:val="20"/>
          <w:szCs w:val="20"/>
          <w:color w:val="auto"/>
        </w:rPr>
      </w:pPr>
      <w:r>
        <w:rPr>
          <w:rFonts w:ascii="Arial" w:cs="Arial" w:eastAsia="Arial" w:hAnsi="Arial"/>
          <w:sz w:val="18"/>
          <w:szCs w:val="18"/>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95" w:lineRule="exact"/>
        <w:rPr>
          <w:sz w:val="20"/>
          <w:szCs w:val="20"/>
          <w:color w:val="auto"/>
        </w:rPr>
      </w:pPr>
    </w:p>
    <w:p>
      <w:pPr>
        <w:ind w:left="980" w:right="20" w:hanging="324"/>
        <w:spacing w:after="0" w:line="29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61" w:lineRule="exact"/>
        <w:rPr>
          <w:rFonts w:ascii="Arial" w:cs="Arial" w:eastAsia="Arial" w:hAnsi="Arial"/>
          <w:sz w:val="16"/>
          <w:szCs w:val="16"/>
          <w:color w:val="auto"/>
        </w:rPr>
      </w:pPr>
    </w:p>
    <w:p>
      <w:pPr>
        <w:ind w:left="980" w:right="44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 As the Presto Touch product is one combined performance obligation, no reallocation of the contract price is required. Our premium content contract is comprised of one performance obligation and does not require reallocation of the contract price.</w:t>
      </w:r>
    </w:p>
    <w:p>
      <w:pPr>
        <w:spacing w:after="0" w:line="183" w:lineRule="exact"/>
        <w:rPr>
          <w:rFonts w:ascii="Arial" w:cs="Arial" w:eastAsia="Arial" w:hAnsi="Arial"/>
          <w:sz w:val="18"/>
          <w:szCs w:val="18"/>
          <w:color w:val="auto"/>
        </w:rPr>
      </w:pPr>
    </w:p>
    <w:p>
      <w:pPr>
        <w:ind w:left="980" w:right="120" w:hanging="324"/>
        <w:spacing w:after="0" w:line="30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 — As the customer simultaneously receives and consumes the benefits provided by us through continuous access to our SaaS platform, revenue from the Presto Touch product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ind w:right="520" w:firstLine="648"/>
        <w:spacing w:after="0" w:line="277" w:lineRule="auto"/>
        <w:rPr>
          <w:sz w:val="20"/>
          <w:szCs w:val="20"/>
          <w:color w:val="auto"/>
        </w:rPr>
      </w:pPr>
      <w:r>
        <w:rPr>
          <w:rFonts w:ascii="Arial" w:cs="Arial" w:eastAsia="Arial" w:hAnsi="Arial"/>
          <w:sz w:val="18"/>
          <w:szCs w:val="18"/>
          <w:color w:val="auto"/>
        </w:rPr>
        <w:t>We estimated the fair values of each option awarded on the date of grant using the Black-Scholes-Merton option pricing model utilizing the assumptions noted below.</w:t>
      </w:r>
    </w:p>
    <w:p>
      <w:pPr>
        <w:spacing w:after="0" w:line="170" w:lineRule="exact"/>
        <w:rPr>
          <w:sz w:val="20"/>
          <w:szCs w:val="20"/>
          <w:color w:val="auto"/>
        </w:rPr>
      </w:pPr>
    </w:p>
    <w:p>
      <w:pPr>
        <w:ind w:left="980" w:right="14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The risk-free interest rate was calculated using the average of the published interest rates of U.S. Treasury zero-coupon issues with maturities that approximate the expected term. The dividend yield assumption is zero as we have no history of, nor plans to distribute, dividend payments.</w:t>
      </w:r>
    </w:p>
    <w:p>
      <w:pPr>
        <w:spacing w:after="0" w:line="183" w:lineRule="exact"/>
        <w:rPr>
          <w:rFonts w:ascii="Arial" w:cs="Arial" w:eastAsia="Arial" w:hAnsi="Arial"/>
          <w:sz w:val="18"/>
          <w:szCs w:val="18"/>
          <w:color w:val="auto"/>
        </w:rPr>
      </w:pPr>
    </w:p>
    <w:p>
      <w:pPr>
        <w:ind w:left="980" w:right="440" w:hanging="324"/>
        <w:spacing w:after="0" w:line="31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 The expected term of the options is based on the average period the stock options are expected to remain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148"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expected stock price volatility for our stock was determined by examining the historical volatilities of our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peers as we did not have any trading history of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Expected dividend yield </w:t>
      </w:r>
      <w:r>
        <w:rPr>
          <w:rFonts w:ascii="Arial" w:cs="Arial" w:eastAsia="Arial" w:hAnsi="Arial"/>
          <w:sz w:val="17"/>
          <w:szCs w:val="17"/>
          <w:color w:val="auto"/>
        </w:rPr>
        <w:t>— The dividend yield assumption is zero as we have no history of, nor plans to distribute, dividend payments.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options during the three months ended September 30, 2022.</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The earnout shares are equity classified since they do not meet the liability classification criteria outlined in ASC 480, </w:t>
      </w:r>
      <w:r>
        <w:rPr>
          <w:rFonts w:ascii="Arial" w:cs="Arial" w:eastAsia="Arial" w:hAnsi="Arial"/>
          <w:sz w:val="16"/>
          <w:szCs w:val="16"/>
          <w:i w:val="1"/>
          <w:iCs w:val="1"/>
          <w:color w:val="auto"/>
        </w:rPr>
        <w:t>Distinguishing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Equity </w:t>
      </w:r>
      <w:r>
        <w:rPr>
          <w:rFonts w:ascii="Arial" w:cs="Arial" w:eastAsia="Arial" w:hAnsi="Arial"/>
          <w:sz w:val="16"/>
          <w:szCs w:val="16"/>
          <w:color w:val="auto"/>
        </w:rPr>
        <w:t>and are under ASC 815-40 are both (i) indexed to the Company’s own shares and (ii) meet the criteria for equity classification.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months ended September 30, 2022 and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76"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225"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w:t>
      </w:r>
    </w:p>
    <w:p>
      <w:pPr>
        <w:spacing w:after="0" w:line="237"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9" w:name="page60"/>
    <w:bookmarkEnd w:id="59"/>
    <w:p>
      <w:pPr>
        <w:ind w:firstLine="648"/>
        <w:spacing w:after="0" w:line="254"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consolidated statement of operations and comprehensive loss.</w:t>
      </w:r>
    </w:p>
    <w:p>
      <w:pPr>
        <w:spacing w:after="0" w:line="19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76.0% as of the Merger date and September 30, 2022, respectively, based on the historical volatility of comparable publicly traded companies.</w:t>
      </w: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and “</w:t>
      </w:r>
      <w:r>
        <w:rPr>
          <w:rFonts w:ascii="Arial" w:cs="Arial" w:eastAsia="Arial" w:hAnsi="Arial"/>
          <w:sz w:val="17"/>
          <w:szCs w:val="17"/>
          <w:i w:val="1"/>
          <w:iCs w:val="1"/>
          <w:color w:val="auto"/>
        </w:rPr>
        <w:t>Recently Issued Accounting Standards Not Yet Adopted</w:t>
      </w:r>
      <w:r>
        <w:rPr>
          <w:rFonts w:ascii="Arial" w:cs="Arial" w:eastAsia="Arial" w:hAnsi="Arial"/>
          <w:sz w:val="17"/>
          <w:szCs w:val="17"/>
          <w:color w:val="auto"/>
        </w:rPr>
        <w:t>” in Note 1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have operations both in the United States and in Canada, and we are exposed to market risks in the ordinary course of our business. These risks primarily include interest rate, credit and inflation risks. We are not exposed to significant foreign exchange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p>
      <w:pPr>
        <w:spacing w:after="0" w:line="221"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43"/>
        </w:trPr>
        <w:tc>
          <w:tcPr>
            <w:tcW w:w="86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Customer C</w:t>
            </w:r>
            <w:r>
              <w:rPr>
                <w:rFonts w:ascii="Arial" w:cs="Arial" w:eastAsia="Arial" w:hAnsi="Arial"/>
                <w:sz w:val="28"/>
                <w:szCs w:val="28"/>
                <w:color w:val="auto"/>
                <w:vertAlign w:val="superscript"/>
              </w:rPr>
              <w:t>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0"/>
        </w:trPr>
        <w:tc>
          <w:tcPr>
            <w:tcW w:w="86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accounted for more than 10% of accounts receivable as of September 30, 2022 and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r>
      <w:tr>
        <w:trPr>
          <w:trHeight w:val="263"/>
        </w:trPr>
        <w:tc>
          <w:tcPr>
            <w:tcW w:w="86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2"/>
                <w:szCs w:val="2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57"/>
        </w:trPr>
        <w:tc>
          <w:tcPr>
            <w:tcW w:w="8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Customer C</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Pr>
          <w:p>
            <w:pPr>
              <w:spacing w:after="0"/>
              <w:rPr>
                <w:sz w:val="20"/>
                <w:szCs w:val="20"/>
                <w:color w:val="auto"/>
              </w:rPr>
            </w:pPr>
            <w:r>
              <w:rPr>
                <w:rFonts w:ascii="Arial" w:cs="Arial" w:eastAsia="Arial" w:hAnsi="Arial"/>
                <w:sz w:val="18"/>
                <w:szCs w:val="18"/>
                <w:color w:val="auto"/>
              </w:rPr>
              <w:t>Customer 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bl>
    <w:p>
      <w:pPr>
        <w:spacing w:after="0" w:line="8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The decrease in revenue is attributable to the customer relationship cancellation with certain franchisees within Customer C.</w:t>
      </w: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Customers with a dash accounted for less than 10% of accounts receivable at period end.</w:t>
      </w:r>
    </w:p>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are exposed to vendor concentration risk as we supply tablets from one vendor. Our operating results could be adversely affected should the vendor increase prices or incur disruptions in its tablet supply.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quarter ended September 30, 2022,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September 30, 2022,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Notwithstanding the identified material weaknesses, management, including our principal executive officer and principal financial officer, believes the condensed consolidated financial information included in this Quarterly Report on Form 10-Q fairly represent in all material respects our financial condition, results of operations and cash flows at and for the periods presented in accordance with U.S. GAAP.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previously identified four material weaknesses, as disclosed in our S-1 registration statement, filed with the SEC on October 21, 2022. The material weaknesses as of June 30, 2022 that we have identified are listed below.</w:t>
      </w:r>
    </w:p>
    <w:p>
      <w:pPr>
        <w:spacing w:after="0" w:line="170" w:lineRule="exact"/>
        <w:rPr>
          <w:sz w:val="20"/>
          <w:szCs w:val="20"/>
          <w:color w:val="auto"/>
        </w:rPr>
      </w:pPr>
    </w:p>
    <w:p>
      <w:pPr>
        <w:ind w:left="980" w:right="4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70" w:lineRule="exact"/>
        <w:rPr>
          <w:rFonts w:ascii="Arial" w:cs="Arial" w:eastAsia="Arial" w:hAnsi="Arial"/>
          <w:sz w:val="18"/>
          <w:szCs w:val="18"/>
          <w:color w:val="auto"/>
        </w:rPr>
      </w:pPr>
    </w:p>
    <w:p>
      <w:pPr>
        <w:jc w:val="both"/>
        <w:ind w:left="980" w:right="18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did not maintain internal accounting records to adequately support the reporting of certain transactions in our financial statements.</w:t>
      </w:r>
    </w:p>
    <w:p>
      <w:pPr>
        <w:spacing w:after="0" w:line="23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Management’s Remediation Initiatives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in the early stages of designing and implementing a plan to remediate the material weaknesses identified. Our plan includes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actions:</w:t>
      </w:r>
    </w:p>
    <w:p>
      <w:pPr>
        <w:spacing w:after="0" w:line="21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Presto.</w:t>
      </w:r>
    </w:p>
    <w:p>
      <w:pPr>
        <w:spacing w:after="0" w:line="225" w:lineRule="exact"/>
        <w:rPr>
          <w:rFonts w:ascii="Arial" w:cs="Arial" w:eastAsia="Arial" w:hAnsi="Arial"/>
          <w:sz w:val="18"/>
          <w:szCs w:val="18"/>
          <w:color w:val="auto"/>
        </w:rPr>
      </w:pPr>
    </w:p>
    <w:p>
      <w:pPr>
        <w:ind w:left="980" w:right="100" w:hanging="324"/>
        <w:spacing w:after="0" w:line="296"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complying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61"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Implementing controls to enable an effective and timely review of account analyses and account reconciliations.</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we may be subject to claims arising in the ordinary course of business or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disclosed in our Current Report on Form 8-K filed with the SEC on September 27, 2022,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20"/>
        <w:spacing w:after="0"/>
        <w:rPr>
          <w:sz w:val="20"/>
          <w:szCs w:val="20"/>
          <w:color w:val="auto"/>
        </w:rPr>
      </w:pPr>
      <w:r>
        <w:rPr>
          <w:rFonts w:ascii="Arial" w:cs="Arial" w:eastAsia="Arial" w:hAnsi="Arial"/>
          <w:sz w:val="16"/>
          <w:szCs w:val="16"/>
          <w:b w:val="1"/>
          <w:bCs w:val="1"/>
          <w:color w:val="auto"/>
        </w:rPr>
        <w:t>Item 4. Mine Safety Disclosures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40" w:type="dxa"/>
            <w:vAlign w:val="bottom"/>
            <w:gridSpan w:val="18"/>
          </w:tcPr>
          <w:p>
            <w:pPr>
              <w:ind w:left="660"/>
              <w:spacing w:after="0"/>
              <w:rPr>
                <w:sz w:val="20"/>
                <w:szCs w:val="20"/>
                <w:color w:val="auto"/>
              </w:rPr>
            </w:pPr>
            <w:r>
              <w:rPr>
                <w:rFonts w:ascii="Arial" w:cs="Arial" w:eastAsia="Arial" w:hAnsi="Arial"/>
                <w:sz w:val="18"/>
                <w:szCs w:val="18"/>
                <w:color w:val="auto"/>
              </w:rPr>
              <w:t>The following exhibits are filed or furnished as an exhibit to this Quarterly Report on Form 10-Q.</w:t>
            </w: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Merger Agreement, dated as of November 10, 2021, by and among VTAQ, Ventoux Merger Sub I, Ventoux Merger Sub II and Legacy</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8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Presto (incorporated by reference to Exhibit 2.1 to the Current Report on Form 8-K filed on November 10, 2021).</w:t>
              </w:r>
            </w:hyperlink>
          </w:p>
        </w:tc>
        <w:tc>
          <w:tcPr>
            <w:tcW w:w="420" w:type="dxa"/>
            <w:vAlign w:val="bottom"/>
            <w:tcBorders>
              <w:top w:val="single" w:sz="8" w:color="CCEEFF"/>
            </w:tcBorders>
            <w:gridSpan w:val="5"/>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9900" w:type="dxa"/>
            <w:vAlign w:val="bottom"/>
            <w:tcBorders>
              <w:bottom w:val="single" w:sz="8" w:color="0000EE"/>
            </w:tcBorders>
            <w:gridSpan w:val="12"/>
          </w:tcPr>
          <w:p>
            <w:pPr>
              <w:spacing w:after="0" w:line="17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Amendment No. 1 to Merger Agreement, dated as of April 1, 2022, by and among VTAQ, Ventoux Merger Sub I, Ventoux Merger Sub II</w:t>
              </w:r>
            </w:hyperlink>
          </w:p>
        </w:tc>
        <w:tc>
          <w:tcPr>
            <w:tcW w:w="200" w:type="dxa"/>
            <w:vAlign w:val="bottom"/>
            <w:gridSpan w:val="4"/>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and Presto (incorporated by reference to Exhibit 2.1 to the Current Report on Form 8-K filed on April 4,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Amendment No. 2 to Merger Agreement, dated as of July 25, 2022, by and among VTAQ, Ventoux Merger Sub I, Ventoux Merger Sub II</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and Presto (incorporated by reference to Exhibit 2.1 to the Current Report on Form 8-K filed on July 26, 2022).</w:t>
              </w:r>
            </w:hyperlink>
          </w:p>
        </w:tc>
        <w:tc>
          <w:tcPr>
            <w:tcW w:w="200" w:type="dxa"/>
            <w:vAlign w:val="bottom"/>
            <w:tcBorders>
              <w:top w:val="single" w:sz="8" w:color="CCEEFF"/>
            </w:tcBorders>
            <w:gridSpan w:val="4"/>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Second Amended &amp; Restated Certificate of Incorporation (incorporated by reference to Exhibit 3.1 to the Current Report on Form 8-K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on September 27, 2022).</w:t>
              </w:r>
            </w:hyperlink>
          </w:p>
        </w:tc>
        <w:tc>
          <w:tcPr>
            <w:tcW w:w="4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Bylaws of Presto Automation Inc. (incorporated by reference to Exhibit 3.2 to the Current Report on Form 8-K filed on September 27,</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2022).</w:t>
              </w:r>
            </w:hyperlink>
          </w:p>
        </w:tc>
        <w:tc>
          <w:tcPr>
            <w:tcW w:w="1280" w:type="dxa"/>
            <w:vAlign w:val="bottom"/>
            <w:tcBorders>
              <w:top w:val="single" w:sz="8" w:color="0000EE"/>
            </w:tcBorders>
            <w:shd w:val="clear" w:color="auto" w:fill="CCEEFF"/>
          </w:tcPr>
          <w:p>
            <w:pPr>
              <w:spacing w:after="0"/>
              <w:rPr>
                <w:sz w:val="17"/>
                <w:szCs w:val="17"/>
                <w:color w:val="auto"/>
              </w:rPr>
            </w:pPr>
          </w:p>
        </w:tc>
        <w:tc>
          <w:tcPr>
            <w:tcW w:w="1440" w:type="dxa"/>
            <w:vAlign w:val="bottom"/>
            <w:tcBorders>
              <w:top w:val="single" w:sz="8" w:color="0000EE"/>
            </w:tcBorders>
            <w:shd w:val="clear" w:color="auto" w:fill="CCEEFF"/>
          </w:tcPr>
          <w:p>
            <w:pPr>
              <w:spacing w:after="0"/>
              <w:rPr>
                <w:sz w:val="17"/>
                <w:szCs w:val="17"/>
                <w:color w:val="auto"/>
              </w:rPr>
            </w:pPr>
          </w:p>
        </w:tc>
        <w:tc>
          <w:tcPr>
            <w:tcW w:w="248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4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sz w:val="20"/>
                <w:szCs w:val="20"/>
                <w:color w:val="auto"/>
              </w:rPr>
            </w:pPr>
            <w:r>
              <w:rPr>
                <w:rFonts w:ascii="Arial" w:cs="Arial" w:eastAsia="Arial" w:hAnsi="Arial"/>
                <w:sz w:val="18"/>
                <w:szCs w:val="18"/>
                <w:color w:val="0000EE"/>
                <w:w w:val="96"/>
              </w:rPr>
              <w:t>Certification of Chief Executive Officer (Principal Executive Officer) Pursuant to Rules 13a-14(a) and 15d-14(a) under the Securities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Exchange Act of 1934, as Adopted Pursuant to Section 302 of the Sarbanes-Oxley Act of 2002.*</w:t>
            </w:r>
          </w:p>
        </w:tc>
        <w:tc>
          <w:tcPr>
            <w:tcW w:w="500" w:type="dxa"/>
            <w:vAlign w:val="bottom"/>
            <w:gridSpan w:val="7"/>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3"/>
              </w:rPr>
              <w:t>Certification of Chief Financial Officer (Principal Financial and Accounting Officer) Pursuant to Rules 13a-14(a) and 15d-14(a) under the</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40" w:type="dxa"/>
            <w:vAlign w:val="bottom"/>
            <w:tcBorders>
              <w:top w:val="single" w:sz="8" w:color="0000EE"/>
            </w:tcBorders>
            <w:gridSpan w:val="13"/>
            <w:shd w:val="clear" w:color="auto" w:fill="CCEEFF"/>
          </w:tcPr>
          <w:p>
            <w:pPr>
              <w:spacing w:after="0" w:line="196" w:lineRule="exact"/>
              <w:rPr>
                <w:sz w:val="20"/>
                <w:szCs w:val="20"/>
                <w:color w:val="auto"/>
              </w:rPr>
            </w:pPr>
            <w:r>
              <w:rPr>
                <w:rFonts w:ascii="Arial" w:cs="Arial" w:eastAsia="Arial" w:hAnsi="Arial"/>
                <w:sz w:val="18"/>
                <w:szCs w:val="18"/>
                <w:color w:val="0000EE"/>
              </w:rPr>
              <w:t>Securities Exchange Act of 1934, as Adopted Pursuant to Section 302 of the Sarbanes-Oxley Act of 2002.*</w:t>
            </w:r>
          </w:p>
        </w:tc>
        <w:tc>
          <w:tcPr>
            <w:tcW w:w="160" w:type="dxa"/>
            <w:vAlign w:val="bottom"/>
            <w:tcBorders>
              <w:top w:val="single" w:sz="8" w:color="CCEEFF"/>
            </w:tcBorders>
            <w:gridSpan w:val="3"/>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sz w:val="20"/>
                <w:szCs w:val="20"/>
                <w:color w:val="auto"/>
              </w:rPr>
            </w:pPr>
            <w:r>
              <w:rPr>
                <w:rFonts w:ascii="Arial" w:cs="Arial" w:eastAsia="Arial" w:hAnsi="Arial"/>
                <w:sz w:val="18"/>
                <w:szCs w:val="18"/>
                <w:color w:val="0000EE"/>
                <w:w w:val="93"/>
              </w:rPr>
              <w:t>Certification of Chief Executive Officer (Principal Executive Officer) Pursuant to 18 U.S.C. Section 1350, as Adopted Pursuant to Section</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906 of the Sarbanes-Oxley Act of 2002.**</w:t>
            </w:r>
          </w:p>
        </w:tc>
        <w:tc>
          <w:tcPr>
            <w:tcW w:w="1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Chief Financial Officer (Principal Financial and Accounting Officer) Pursuant to 18 U.S.C. Section 1350, as Adopted</w:t>
            </w:r>
          </w:p>
        </w:tc>
        <w:tc>
          <w:tcPr>
            <w:tcW w:w="48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0000EE"/>
            </w:tcBorders>
            <w:gridSpan w:val="4"/>
            <w:shd w:val="clear" w:color="auto" w:fill="CCEEFF"/>
          </w:tcPr>
          <w:p>
            <w:pPr>
              <w:spacing w:after="0" w:line="196" w:lineRule="exact"/>
              <w:rPr>
                <w:sz w:val="20"/>
                <w:szCs w:val="20"/>
                <w:color w:val="auto"/>
              </w:rPr>
            </w:pPr>
            <w:r>
              <w:rPr>
                <w:rFonts w:ascii="Arial" w:cs="Arial" w:eastAsia="Arial" w:hAnsi="Arial"/>
                <w:sz w:val="18"/>
                <w:szCs w:val="18"/>
                <w:color w:val="0000EE"/>
                <w:w w:val="91"/>
              </w:rPr>
              <w:t>Pursuant to Section 906 of the Sarbanes-Oxley Act of 2002.**</w:t>
            </w:r>
          </w:p>
        </w:tc>
        <w:tc>
          <w:tcPr>
            <w:tcW w:w="5600" w:type="dxa"/>
            <w:vAlign w:val="bottom"/>
            <w:tcBorders>
              <w:bottom w:val="single" w:sz="8" w:color="CCEEFF"/>
            </w:tcBorders>
            <w:gridSpan w:val="12"/>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8"/>
                <w:szCs w:val="18"/>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w:t>
            </w:r>
          </w:p>
        </w:tc>
      </w:tr>
    </w:tbl>
    <w:p>
      <w:pPr>
        <w:spacing w:after="0" w:line="187" w:lineRule="exact"/>
        <w:rPr>
          <w:sz w:val="20"/>
          <w:szCs w:val="20"/>
          <w:color w:val="auto"/>
        </w:rPr>
      </w:pPr>
    </w:p>
    <w:p>
      <w:pPr>
        <w:ind w:left="340" w:right="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7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November 18, 2022</w:t>
      </w:r>
      <w:r>
        <w:rPr>
          <w:sz w:val="20"/>
          <w:szCs w:val="20"/>
          <w:color w:val="auto"/>
        </w:rPr>
        <w:tab/>
      </w: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Rajat Suri</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Ashish Gupta</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877" w:right="6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Rajat Suri, certify that:</w:t>
      </w:r>
    </w:p>
    <w:p>
      <w:pPr>
        <w:spacing w:after="0" w:line="225" w:lineRule="exact"/>
        <w:rPr>
          <w:sz w:val="20"/>
          <w:szCs w:val="20"/>
          <w:color w:val="auto"/>
        </w:rPr>
      </w:pPr>
    </w:p>
    <w:p>
      <w:pPr>
        <w:ind w:left="680" w:hanging="335"/>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Presto Automation Inc.;</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46" w:lineRule="exact"/>
        <w:rPr>
          <w:rFonts w:ascii="Arial" w:cs="Arial" w:eastAsia="Arial" w:hAnsi="Arial"/>
          <w:sz w:val="18"/>
          <w:szCs w:val="18"/>
          <w:color w:val="auto"/>
        </w:rPr>
      </w:pPr>
    </w:p>
    <w:p>
      <w:pPr>
        <w:ind w:left="680" w:right="120" w:hanging="335"/>
        <w:spacing w:after="0" w:line="260"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680" w:right="60" w:hanging="335"/>
        <w:spacing w:after="0" w:line="182" w:lineRule="auto"/>
        <w:tabs>
          <w:tab w:leader="none" w:pos="680" w:val="left"/>
        </w:tabs>
        <w:numPr>
          <w:ilvl w:val="0"/>
          <w:numId w:val="32"/>
        </w:numPr>
        <w:rPr>
          <w:rFonts w:ascii="Arial" w:cs="Arial" w:eastAsia="Arial" w:hAnsi="Arial"/>
          <w:sz w:val="34"/>
          <w:szCs w:val="34"/>
          <w:color w:val="auto"/>
          <w:vertAlign w:val="subscript"/>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34"/>
          <w:szCs w:val="34"/>
          <w:color w:val="auto"/>
          <w:vertAlign w:val="subscript"/>
        </w:rPr>
      </w:pPr>
    </w:p>
    <w:p>
      <w:pPr>
        <w:ind w:left="680"/>
        <w:spacing w:after="0"/>
        <w:rPr>
          <w:rFonts w:ascii="Arial" w:cs="Arial" w:eastAsia="Arial" w:hAnsi="Arial"/>
          <w:sz w:val="34"/>
          <w:szCs w:val="34"/>
          <w:color w:val="auto"/>
          <w:vertAlign w:val="subscript"/>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46" w:lineRule="exact"/>
        <w:rPr>
          <w:rFonts w:ascii="Arial" w:cs="Arial" w:eastAsia="Arial" w:hAnsi="Arial"/>
          <w:sz w:val="34"/>
          <w:szCs w:val="34"/>
          <w:color w:val="auto"/>
          <w:vertAlign w:val="subscript"/>
        </w:rPr>
      </w:pPr>
    </w:p>
    <w:p>
      <w:pPr>
        <w:ind w:left="680" w:right="20" w:hanging="335"/>
        <w:spacing w:after="0" w:line="260"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Exchange Act Rules 13a-15(e) and 15d-15(e)) and internal controls over financial reporting (as defined in Exchange Act Rules 13a-15(f) and 15d-15(f)) for the registrant and have:</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46" w:lineRule="exact"/>
        <w:rPr>
          <w:sz w:val="20"/>
          <w:szCs w:val="20"/>
          <w:color w:val="auto"/>
        </w:rPr>
      </w:pPr>
    </w:p>
    <w:p>
      <w:pPr>
        <w:ind w:left="1000" w:right="100" w:hanging="331"/>
        <w:spacing w:after="0" w:line="260"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8"/>
          <w:szCs w:val="18"/>
          <w:color w:val="auto"/>
        </w:rPr>
      </w:pPr>
    </w:p>
    <w:p>
      <w:pPr>
        <w:ind w:left="1000" w:right="340" w:hanging="331"/>
        <w:spacing w:after="0" w:line="260"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1000" w:right="500" w:hanging="331"/>
        <w:spacing w:after="0" w:line="194" w:lineRule="auto"/>
        <w:tabs>
          <w:tab w:leader="none" w:pos="1000" w:val="left"/>
        </w:tabs>
        <w:numPr>
          <w:ilvl w:val="1"/>
          <w:numId w:val="33"/>
        </w:numPr>
        <w:rPr>
          <w:rFonts w:ascii="Arial" w:cs="Arial" w:eastAsia="Arial" w:hAnsi="Arial"/>
          <w:sz w:val="32"/>
          <w:szCs w:val="32"/>
          <w:color w:val="auto"/>
          <w:vertAlign w:val="subscript"/>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32"/>
          <w:szCs w:val="32"/>
          <w:color w:val="auto"/>
          <w:vertAlign w:val="subscript"/>
        </w:rPr>
      </w:pPr>
    </w:p>
    <w:p>
      <w:pPr>
        <w:ind w:left="1000"/>
        <w:spacing w:after="0"/>
        <w:rPr>
          <w:rFonts w:ascii="Arial" w:cs="Arial" w:eastAsia="Arial" w:hAnsi="Arial"/>
          <w:sz w:val="32"/>
          <w:szCs w:val="32"/>
          <w:color w:val="auto"/>
          <w:vertAlign w:val="subscript"/>
        </w:rPr>
      </w:pPr>
      <w:r>
        <w:rPr>
          <w:rFonts w:ascii="Arial" w:cs="Arial" w:eastAsia="Arial" w:hAnsi="Arial"/>
          <w:sz w:val="17"/>
          <w:szCs w:val="17"/>
          <w:color w:val="auto"/>
        </w:rPr>
        <w:t>Disclosed in this report any change in the registrant’s internal control over financial reporting that occurred during the registrant’s fourth</w:t>
      </w:r>
    </w:p>
    <w:p>
      <w:pPr>
        <w:spacing w:after="0" w:line="34" w:lineRule="exact"/>
        <w:rPr>
          <w:rFonts w:ascii="Arial" w:cs="Arial" w:eastAsia="Arial" w:hAnsi="Arial"/>
          <w:sz w:val="32"/>
          <w:szCs w:val="32"/>
          <w:color w:val="auto"/>
          <w:vertAlign w:val="subscript"/>
        </w:rPr>
      </w:pPr>
    </w:p>
    <w:p>
      <w:pPr>
        <w:ind w:left="1000" w:right="100" w:hanging="331"/>
        <w:spacing w:after="0" w:line="260"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680" w:right="240" w:hanging="335"/>
        <w:spacing w:after="0" w:line="194" w:lineRule="auto"/>
        <w:tabs>
          <w:tab w:leader="none" w:pos="680" w:val="left"/>
        </w:tabs>
        <w:numPr>
          <w:ilvl w:val="0"/>
          <w:numId w:val="34"/>
        </w:numPr>
        <w:rPr>
          <w:rFonts w:ascii="Arial" w:cs="Arial" w:eastAsia="Arial" w:hAnsi="Arial"/>
          <w:sz w:val="32"/>
          <w:szCs w:val="32"/>
          <w:color w:val="auto"/>
          <w:vertAlign w:val="subscript"/>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32"/>
          <w:szCs w:val="32"/>
          <w:color w:val="auto"/>
          <w:vertAlign w:val="subscript"/>
        </w:rPr>
      </w:pPr>
    </w:p>
    <w:p>
      <w:pPr>
        <w:ind w:left="1000" w:right="740" w:hanging="331"/>
        <w:spacing w:after="0" w:line="194" w:lineRule="auto"/>
        <w:tabs>
          <w:tab w:leader="none" w:pos="1000" w:val="left"/>
        </w:tabs>
        <w:numPr>
          <w:ilvl w:val="1"/>
          <w:numId w:val="34"/>
        </w:numPr>
        <w:rPr>
          <w:rFonts w:ascii="Arial" w:cs="Arial" w:eastAsia="Arial" w:hAnsi="Arial"/>
          <w:sz w:val="32"/>
          <w:szCs w:val="32"/>
          <w:color w:val="auto"/>
          <w:vertAlign w:val="subscript"/>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32"/>
          <w:szCs w:val="32"/>
          <w:color w:val="auto"/>
          <w:vertAlign w:val="subscript"/>
        </w:rPr>
      </w:pPr>
    </w:p>
    <w:p>
      <w:pPr>
        <w:ind w:left="1000" w:right="440" w:hanging="331"/>
        <w:spacing w:after="0" w:line="182" w:lineRule="auto"/>
        <w:tabs>
          <w:tab w:leader="none" w:pos="1000" w:val="left"/>
        </w:tabs>
        <w:numPr>
          <w:ilvl w:val="1"/>
          <w:numId w:val="34"/>
        </w:numPr>
        <w:rPr>
          <w:rFonts w:ascii="Arial" w:cs="Arial" w:eastAsia="Arial" w:hAnsi="Arial"/>
          <w:sz w:val="34"/>
          <w:szCs w:val="34"/>
          <w:color w:val="auto"/>
          <w:vertAlign w:val="subscript"/>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18,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Rajat Suri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Rajat Suri</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33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Ashish Gupta, certify that:</w:t>
      </w:r>
    </w:p>
    <w:p>
      <w:pPr>
        <w:spacing w:after="0" w:line="225" w:lineRule="exact"/>
        <w:rPr>
          <w:sz w:val="20"/>
          <w:szCs w:val="20"/>
          <w:color w:val="auto"/>
        </w:rPr>
      </w:pPr>
    </w:p>
    <w:p>
      <w:pPr>
        <w:ind w:left="680" w:hanging="335"/>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Presto Automation Inc.;</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46" w:lineRule="exact"/>
        <w:rPr>
          <w:rFonts w:ascii="Arial" w:cs="Arial" w:eastAsia="Arial" w:hAnsi="Arial"/>
          <w:sz w:val="18"/>
          <w:szCs w:val="18"/>
          <w:color w:val="auto"/>
        </w:rPr>
      </w:pPr>
    </w:p>
    <w:p>
      <w:pPr>
        <w:ind w:left="680" w:right="120" w:hanging="335"/>
        <w:spacing w:after="0" w:line="260"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680" w:right="60" w:hanging="335"/>
        <w:spacing w:after="0" w:line="182" w:lineRule="auto"/>
        <w:tabs>
          <w:tab w:leader="none" w:pos="680" w:val="left"/>
        </w:tabs>
        <w:numPr>
          <w:ilvl w:val="0"/>
          <w:numId w:val="35"/>
        </w:numPr>
        <w:rPr>
          <w:rFonts w:ascii="Arial" w:cs="Arial" w:eastAsia="Arial" w:hAnsi="Arial"/>
          <w:sz w:val="34"/>
          <w:szCs w:val="34"/>
          <w:color w:val="auto"/>
          <w:vertAlign w:val="subscript"/>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34"/>
          <w:szCs w:val="34"/>
          <w:color w:val="auto"/>
          <w:vertAlign w:val="subscript"/>
        </w:rPr>
      </w:pPr>
    </w:p>
    <w:p>
      <w:pPr>
        <w:ind w:left="680"/>
        <w:spacing w:after="0"/>
        <w:rPr>
          <w:rFonts w:ascii="Arial" w:cs="Arial" w:eastAsia="Arial" w:hAnsi="Arial"/>
          <w:sz w:val="34"/>
          <w:szCs w:val="34"/>
          <w:color w:val="auto"/>
          <w:vertAlign w:val="subscript"/>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46" w:lineRule="exact"/>
        <w:rPr>
          <w:rFonts w:ascii="Arial" w:cs="Arial" w:eastAsia="Arial" w:hAnsi="Arial"/>
          <w:sz w:val="34"/>
          <w:szCs w:val="34"/>
          <w:color w:val="auto"/>
          <w:vertAlign w:val="subscript"/>
        </w:rPr>
      </w:pPr>
    </w:p>
    <w:p>
      <w:pPr>
        <w:ind w:left="680" w:right="20" w:hanging="335"/>
        <w:spacing w:after="0" w:line="260"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Exchange Act Rules 13a-15(e) and 15d-15(e)) and internal controls over financial reporting (as defined in Exchange Act Rules 13a-15(f) and 15d-15(f)) for the registrant and have:</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46" w:lineRule="exact"/>
        <w:rPr>
          <w:sz w:val="20"/>
          <w:szCs w:val="20"/>
          <w:color w:val="auto"/>
        </w:rPr>
      </w:pPr>
    </w:p>
    <w:p>
      <w:pPr>
        <w:ind w:left="1000" w:right="100" w:hanging="331"/>
        <w:spacing w:after="0" w:line="260"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5" w:lineRule="exact"/>
        <w:rPr>
          <w:sz w:val="20"/>
          <w:szCs w:val="20"/>
          <w:color w:val="auto"/>
        </w:rPr>
      </w:pPr>
    </w:p>
    <w:p>
      <w:pPr>
        <w:ind w:left="1000" w:right="340" w:hanging="331"/>
        <w:spacing w:after="0" w:line="260"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1000" w:right="500" w:hanging="331"/>
        <w:spacing w:after="0" w:line="194" w:lineRule="auto"/>
        <w:tabs>
          <w:tab w:leader="none" w:pos="1000" w:val="left"/>
        </w:tabs>
        <w:numPr>
          <w:ilvl w:val="1"/>
          <w:numId w:val="37"/>
        </w:numPr>
        <w:rPr>
          <w:rFonts w:ascii="Arial" w:cs="Arial" w:eastAsia="Arial" w:hAnsi="Arial"/>
          <w:sz w:val="32"/>
          <w:szCs w:val="32"/>
          <w:color w:val="auto"/>
          <w:vertAlign w:val="subscript"/>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32"/>
          <w:szCs w:val="32"/>
          <w:color w:val="auto"/>
          <w:vertAlign w:val="subscript"/>
        </w:rPr>
      </w:pPr>
    </w:p>
    <w:p>
      <w:pPr>
        <w:ind w:left="1000"/>
        <w:spacing w:after="0"/>
        <w:rPr>
          <w:rFonts w:ascii="Arial" w:cs="Arial" w:eastAsia="Arial" w:hAnsi="Arial"/>
          <w:sz w:val="32"/>
          <w:szCs w:val="32"/>
          <w:color w:val="auto"/>
          <w:vertAlign w:val="subscript"/>
        </w:rPr>
      </w:pPr>
      <w:r>
        <w:rPr>
          <w:rFonts w:ascii="Arial" w:cs="Arial" w:eastAsia="Arial" w:hAnsi="Arial"/>
          <w:sz w:val="17"/>
          <w:szCs w:val="17"/>
          <w:color w:val="auto"/>
        </w:rPr>
        <w:t>Disclosed in this report any change in the registrant’s internal control over financial reporting that occurred during the registrant’s fourth</w:t>
      </w:r>
    </w:p>
    <w:p>
      <w:pPr>
        <w:spacing w:after="0" w:line="34" w:lineRule="exact"/>
        <w:rPr>
          <w:rFonts w:ascii="Arial" w:cs="Arial" w:eastAsia="Arial" w:hAnsi="Arial"/>
          <w:sz w:val="32"/>
          <w:szCs w:val="32"/>
          <w:color w:val="auto"/>
          <w:vertAlign w:val="subscript"/>
        </w:rPr>
      </w:pPr>
    </w:p>
    <w:p>
      <w:pPr>
        <w:ind w:left="1000" w:right="100" w:hanging="331"/>
        <w:spacing w:after="0" w:line="260"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680" w:right="240" w:hanging="335"/>
        <w:spacing w:after="0" w:line="194" w:lineRule="auto"/>
        <w:tabs>
          <w:tab w:leader="none" w:pos="680" w:val="left"/>
        </w:tabs>
        <w:numPr>
          <w:ilvl w:val="0"/>
          <w:numId w:val="38"/>
        </w:numPr>
        <w:rPr>
          <w:rFonts w:ascii="Arial" w:cs="Arial" w:eastAsia="Arial" w:hAnsi="Arial"/>
          <w:sz w:val="32"/>
          <w:szCs w:val="32"/>
          <w:color w:val="auto"/>
          <w:vertAlign w:val="subscript"/>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32"/>
          <w:szCs w:val="32"/>
          <w:color w:val="auto"/>
          <w:vertAlign w:val="subscript"/>
        </w:rPr>
      </w:pPr>
    </w:p>
    <w:p>
      <w:pPr>
        <w:ind w:left="1000" w:right="740" w:hanging="331"/>
        <w:spacing w:after="0" w:line="194" w:lineRule="auto"/>
        <w:tabs>
          <w:tab w:leader="none" w:pos="1000" w:val="left"/>
        </w:tabs>
        <w:numPr>
          <w:ilvl w:val="1"/>
          <w:numId w:val="38"/>
        </w:numPr>
        <w:rPr>
          <w:rFonts w:ascii="Arial" w:cs="Arial" w:eastAsia="Arial" w:hAnsi="Arial"/>
          <w:sz w:val="32"/>
          <w:szCs w:val="32"/>
          <w:color w:val="auto"/>
          <w:vertAlign w:val="subscript"/>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32"/>
          <w:szCs w:val="32"/>
          <w:color w:val="auto"/>
          <w:vertAlign w:val="subscript"/>
        </w:rPr>
      </w:pPr>
    </w:p>
    <w:p>
      <w:pPr>
        <w:ind w:left="1000" w:right="440" w:hanging="331"/>
        <w:spacing w:after="0" w:line="182" w:lineRule="auto"/>
        <w:tabs>
          <w:tab w:leader="none" w:pos="1000" w:val="left"/>
        </w:tabs>
        <w:numPr>
          <w:ilvl w:val="1"/>
          <w:numId w:val="38"/>
        </w:numPr>
        <w:rPr>
          <w:rFonts w:ascii="Arial" w:cs="Arial" w:eastAsia="Arial" w:hAnsi="Arial"/>
          <w:sz w:val="34"/>
          <w:szCs w:val="34"/>
          <w:color w:val="auto"/>
          <w:vertAlign w:val="subscript"/>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18,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Ashish Gupta</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 and Accounting Officer)</w:t>
            </w:r>
          </w:p>
        </w:tc>
      </w:tr>
      <w:tr>
        <w:trPr>
          <w:trHeight w:val="33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Rajat Suri, Chief Executive Officer of Presto Automation Inc. (the “Company”), hereby certify, that, to my knowledge:</w:t>
      </w:r>
    </w:p>
    <w:p>
      <w:pPr>
        <w:spacing w:after="0" w:line="170"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2022 (the “Report”) of the Company fully complies with the requirements of Section 13(a) or 15(d) of the Securities Exchange Act of 1934 (15 U.S.C. 78m(a) or 78o(d));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18, 2022</w:t>
      </w:r>
      <w:r>
        <w:rPr>
          <w:sz w:val="20"/>
          <w:szCs w:val="20"/>
          <w:color w:val="auto"/>
        </w:rPr>
        <w:tab/>
      </w:r>
      <w:r>
        <w:rPr>
          <w:rFonts w:ascii="Arial" w:cs="Arial" w:eastAsia="Arial" w:hAnsi="Arial"/>
          <w:sz w:val="16"/>
          <w:szCs w:val="16"/>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Rajat Suri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Ashish Gupta, Chief Financial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 of Presto Automation Inc. (the “Company”), hereby certify, that, to my knowledge:</w:t>
      </w:r>
    </w:p>
    <w:p>
      <w:pPr>
        <w:spacing w:after="0" w:line="211"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2022 (the “Report”) of the Company fully complies with the requirements of Section 13(a) or 15(d) of the Securities Exchange Act of 1934 (15 U.S.C. 78m(a) or 78o(d));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18, 2022</w:t>
      </w:r>
      <w:r>
        <w:rPr>
          <w:sz w:val="20"/>
          <w:szCs w:val="20"/>
          <w:color w:val="auto"/>
        </w:rPr>
        <w:tab/>
      </w:r>
      <w:r>
        <w:rPr>
          <w:rFonts w:ascii="Arial" w:cs="Arial" w:eastAsia="Arial" w:hAnsi="Arial"/>
          <w:sz w:val="16"/>
          <w:szCs w:val="16"/>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Ashish Gupta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47"/>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lowerRoman"/>
      <w:start w:val="1"/>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upperLetter"/>
      <w:start w:val="1"/>
    </w:lvl>
  </w:abstractNum>
  <w:abstractNum w:abstractNumId="15">
    <w:nsid w:val="2CA88611"/>
    <w:multiLevelType w:val="hybridMultilevel"/>
    <w:lvl w:ilvl="0">
      <w:lvlJc w:val="left"/>
      <w:lvlText w:val="%1"/>
      <w:numFmt w:val="upperLetter"/>
      <w:start w:val="1"/>
    </w:lvl>
    <w:lvl w:ilvl="1">
      <w:lvlJc w:val="left"/>
      <w:lvlText w:val="[%2]"/>
      <w:numFmt w:val="upperLetter"/>
      <w:start w:val="3"/>
    </w:lvl>
  </w:abstractNum>
  <w:abstractNum w:abstractNumId="16">
    <w:nsid w:val="836C40E"/>
    <w:multiLevelType w:val="hybridMultilevel"/>
    <w:lvl w:ilvl="0">
      <w:lvlJc w:val="left"/>
      <w:lvlText w:val="[%1]"/>
      <w:numFmt w:val="upperLetter"/>
      <w:start w:val="4"/>
    </w:lvl>
    <w:lvl w:ilvl="1">
      <w:lvlJc w:val="left"/>
      <w:lvlText w:val="%2"/>
      <w:numFmt w:val="upperLetter"/>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3"/>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bullet"/>
      <w:start w:val="1"/>
    </w:lvl>
  </w:abstractNum>
  <w:abstractNum w:abstractNumId="26">
    <w:nsid w:val="3006C83E"/>
    <w:multiLevelType w:val="hybridMultilevel"/>
    <w:lvl w:ilvl="0">
      <w:lvlJc w:val="left"/>
      <w:lvlText w:val="2"/>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lvl w:ilvl="1">
      <w:lvlJc w:val="left"/>
      <w:lvlText w:val="%2."/>
      <w:numFmt w:val="lowerLetter"/>
      <w:start w:val="1"/>
    </w:lvl>
  </w:abstractNum>
  <w:abstractNum w:abstractNumId="33">
    <w:nsid w:val="77465F01"/>
    <w:multiLevelType w:val="hybridMultilevel"/>
    <w:lvl w:ilvl="0">
      <w:lvlJc w:val="left"/>
      <w:lvlText w:val="%1."/>
      <w:numFmt w:val="decimal"/>
      <w:start w:val="5"/>
    </w:lvl>
    <w:lvl w:ilvl="1">
      <w:lvlJc w:val="left"/>
      <w:lvlText w:val="%2."/>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2"/>
    </w:lvl>
  </w:abstractNum>
  <w:abstractNum w:abstractNumId="37">
    <w:nsid w:val="5E884ADC"/>
    <w:multiLevelType w:val="hybridMultilevel"/>
    <w:lvl w:ilvl="0">
      <w:lvlJc w:val="left"/>
      <w:lvlText w:val="%1."/>
      <w:numFmt w:val="decimal"/>
      <w:start w:val="5"/>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90" Type="http://schemas.openxmlformats.org/officeDocument/2006/relationships/hyperlink" Target="http://www.sec.gov/Archives/edgar/data/1822145/000121390021058217/ea150262ex2-1_ventouxccm.htm" TargetMode="External"/><Relationship Id="rId91" Type="http://schemas.openxmlformats.org/officeDocument/2006/relationships/hyperlink" Target="http://www.sec.gov/Archives/edgar/data/1822145/000121390022017828/ea157923ex2-1_ventoux.htm" TargetMode="External"/><Relationship Id="rId92" Type="http://schemas.openxmlformats.org/officeDocument/2006/relationships/hyperlink" Target="http://www.sec.gov/Archives/edgar/data/1822145/000121390022041523/ea163294ex2-1_ventoux.htm" TargetMode="External"/><Relationship Id="rId93" Type="http://schemas.openxmlformats.org/officeDocument/2006/relationships/hyperlink" Target="https://www.sec.gov/Archives/edgar/data/1822145/000121390022059478/ea166244ex3-1_prestoauto.htm" TargetMode="External"/><Relationship Id="rId94" Type="http://schemas.openxmlformats.org/officeDocument/2006/relationships/hyperlink" Target="http://www.sec.gov/Archives/edgar/data/1822145/000121390022059478/ea166244ex3-2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2022-11-21T05:14:18Z</dcterms:created>
  <dcterms:modified xsi:type="dcterms:W3CDTF">2022-11-21T05:14:18Z</dcterms:modified>
</cp:coreProperties>
</file>