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47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476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Hoffman-Flynt Katherine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6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11/29/2023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985 INDUSTRIAL ROAD</w:t>
            </w:r>
          </w:p>
        </w:tc>
        <w:tc>
          <w:tcPr>
            <w:tcW w:w="0" w:type="dxa"/>
            <w:vAlign w:val="bottom"/>
          </w:tcPr>
          <w:p>
            <w:pPr>
              <w:spacing w:after="0"/>
              <w:rPr>
                <w:sz w:val="1"/>
                <w:szCs w:val="1"/>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8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0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$0.0001 per share</w:t>
            </w:r>
          </w:p>
        </w:tc>
        <w:tc>
          <w:tcPr>
            <w:tcW w:w="8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46,952</w:t>
            </w:r>
            <w:r>
              <w:rPr>
                <w:rFonts w:ascii="Times New Roman" w:cs="Times New Roman" w:eastAsia="Times New Roman" w:hAnsi="Times New Roman"/>
                <w:sz w:val="25"/>
                <w:szCs w:val="25"/>
                <w:color w:val="008000"/>
                <w:vertAlign w:val="superscript"/>
              </w:rPr>
              <w:t>(1)</w:t>
            </w:r>
          </w:p>
        </w:tc>
        <w:tc>
          <w:tcPr>
            <w:tcW w:w="9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4"/>
                <w:szCs w:val="14"/>
                <w:color w:val="auto"/>
              </w:rPr>
            </w:pPr>
          </w:p>
        </w:tc>
        <w:tc>
          <w:tcPr>
            <w:tcW w:w="92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2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09/21/2029</w:t>
            </w:r>
          </w:p>
        </w:tc>
        <w:tc>
          <w:tcPr>
            <w:tcW w:w="17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Stock Options</w:t>
            </w:r>
          </w:p>
        </w:tc>
        <w:tc>
          <w:tcPr>
            <w:tcW w:w="880" w:type="dxa"/>
            <w:vAlign w:val="bottom"/>
          </w:tcPr>
          <w:p>
            <w:pPr>
              <w:jc w:val="center"/>
              <w:ind w:left="55"/>
              <w:spacing w:after="0"/>
              <w:rPr>
                <w:sz w:val="20"/>
                <w:szCs w:val="20"/>
                <w:color w:val="auto"/>
              </w:rPr>
            </w:pPr>
            <w:r>
              <w:rPr>
                <w:rFonts w:ascii="Times New Roman" w:cs="Times New Roman" w:eastAsia="Times New Roman" w:hAnsi="Times New Roman"/>
                <w:sz w:val="20"/>
                <w:szCs w:val="20"/>
                <w:color w:val="0000FF"/>
                <w:w w:val="98"/>
              </w:rPr>
              <w:t>20,249</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0.42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12/16/2030</w:t>
            </w:r>
          </w:p>
        </w:tc>
        <w:tc>
          <w:tcPr>
            <w:tcW w:w="17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Stock Options</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20"/>
                <w:szCs w:val="20"/>
                <w:color w:val="0000FF"/>
                <w:w w:val="97"/>
              </w:rPr>
              <w:t>8,099</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1.44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09/15/2031</w:t>
            </w:r>
          </w:p>
        </w:tc>
        <w:tc>
          <w:tcPr>
            <w:tcW w:w="17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Stock Options</w:t>
            </w:r>
          </w:p>
        </w:tc>
        <w:tc>
          <w:tcPr>
            <w:tcW w:w="880" w:type="dxa"/>
            <w:vAlign w:val="bottom"/>
          </w:tcPr>
          <w:p>
            <w:pPr>
              <w:jc w:val="center"/>
              <w:ind w:left="55"/>
              <w:spacing w:after="0"/>
              <w:rPr>
                <w:sz w:val="20"/>
                <w:szCs w:val="20"/>
                <w:color w:val="auto"/>
              </w:rPr>
            </w:pPr>
            <w:r>
              <w:rPr>
                <w:rFonts w:ascii="Times New Roman" w:cs="Times New Roman" w:eastAsia="Times New Roman" w:hAnsi="Times New Roman"/>
                <w:sz w:val="20"/>
                <w:szCs w:val="20"/>
                <w:color w:val="0000FF"/>
                <w:w w:val="98"/>
              </w:rPr>
              <w:t>16,198</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4.73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60" w:firstLine="5"/>
        <w:spacing w:after="0" w:line="236"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common stock, par value $0.0001 per share ("Common Stock"), including (i) 12,959 shares of Common Stock underlying restricted stock units ("RSUs") pursuant to an RSU grant of 16,198 shares of Common Stock to the reporting person on July 25, 2022 pursuant to the Issuer's 2018 Equity Incentive Plan that vest in equal installments on the annual anniversary of the grant date for a period of five years, subject to the reporting person's continued employment and (ii) 32,000 shares of Common Stock underlying RSUs granted to the reporting person on September 13, 2023 pursuant to the Issuer's 2022 Incentive Award Plan that vest in equal installments on the annual anniversary of the grant date for a period of four years, subject to the reporting person's continued employment. Each RSU represents the right to receive one share of Common Stock upon vesting.</w:t>
      </w:r>
    </w:p>
    <w:p>
      <w:pPr>
        <w:spacing w:after="0" w:line="32" w:lineRule="exact"/>
        <w:rPr>
          <w:rFonts w:ascii="Times New Roman" w:cs="Times New Roman" w:eastAsia="Times New Roman" w:hAnsi="Times New Roman"/>
          <w:sz w:val="15"/>
          <w:szCs w:val="15"/>
          <w:color w:val="008000"/>
        </w:rPr>
      </w:pPr>
    </w:p>
    <w:p>
      <w:pPr>
        <w:ind w:left="40" w:right="1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was granted to the reporting person on September 22, 2019 under the Issuer's 2018 Equity Incentive Plan. Twenty five percent (25%) of the shares subject to the stock option vested on September 22, 2020 and the remaining shares subject to the option vest in equal installments on the annual anniversary of the grant date for a period of five years, subject to continued service though each such vesting date.</w:t>
      </w:r>
    </w:p>
    <w:p>
      <w:pPr>
        <w:spacing w:after="0" w:line="29"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was granted to the reporting person on December 17, 2020 under the Issuer's 2018 Equity Incentive Plan. The shares subject to the option vest in equal installments on the annual anniversary of the grant date for a period of five years, subject to continued service though each such vesting date.</w:t>
      </w:r>
    </w:p>
    <w:p>
      <w:pPr>
        <w:spacing w:after="0" w:line="17" w:lineRule="exact"/>
        <w:rPr>
          <w:rFonts w:ascii="Times New Roman" w:cs="Times New Roman" w:eastAsia="Times New Roman" w:hAnsi="Times New Roman"/>
          <w:sz w:val="15"/>
          <w:szCs w:val="15"/>
          <w:color w:val="008000"/>
        </w:rPr>
      </w:pPr>
    </w:p>
    <w:p>
      <w:pPr>
        <w:ind w:left="40" w:right="5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was granted to the reporting person on September 16, 2021 under the Issuer's 2018 Equity Incentive Plan. The shares subject to the stock option vest in equal installments on the annual anniversary of the grant date for a period of five years, subject to continued service though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Susan Shinoff, by</w:t>
            </w:r>
          </w:p>
        </w:tc>
        <w:tc>
          <w:tcPr>
            <w:tcW w:w="5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12/08/2023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undersigned constitutes and appoints Xavier Casanova and Susan Shinoff, or any of them acting singly, as the undersigned’s true and lawful attorneys-in-fact and agents, with full power of substitution and resubstitution, for the undersigned and in the undersigned’s name, place and stead, to:</w:t>
      </w:r>
    </w:p>
    <w:p>
      <w:pPr>
        <w:spacing w:after="0" w:line="196" w:lineRule="exact"/>
        <w:rPr>
          <w:sz w:val="20"/>
          <w:szCs w:val="20"/>
          <w:color w:val="auto"/>
        </w:rPr>
      </w:pPr>
    </w:p>
    <w:p>
      <w:pPr>
        <w:jc w:val="both"/>
        <w:ind w:firstLine="720"/>
        <w:spacing w:after="0" w:line="255" w:lineRule="auto"/>
        <w:tabs>
          <w:tab w:leader="none" w:pos="96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sign, and submit to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on its Electronic Data Gathering, Analysis, and Retrieval (“</w:t>
      </w:r>
      <w:r>
        <w:rPr>
          <w:rFonts w:ascii="Times New Roman" w:cs="Times New Roman" w:eastAsia="Times New Roman" w:hAnsi="Times New Roman"/>
          <w:sz w:val="20"/>
          <w:szCs w:val="20"/>
          <w:u w:val="single" w:color="auto"/>
          <w:color w:val="auto"/>
        </w:rPr>
        <w:t>EDGAR</w:t>
      </w:r>
      <w:r>
        <w:rPr>
          <w:rFonts w:ascii="Times New Roman" w:cs="Times New Roman" w:eastAsia="Times New Roman" w:hAnsi="Times New Roman"/>
          <w:sz w:val="20"/>
          <w:szCs w:val="20"/>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10" w:lineRule="exact"/>
        <w:rPr>
          <w:rFonts w:ascii="Times New Roman" w:cs="Times New Roman" w:eastAsia="Times New Roman" w:hAnsi="Times New Roman"/>
          <w:sz w:val="20"/>
          <w:szCs w:val="20"/>
          <w:color w:val="auto"/>
        </w:rPr>
      </w:pPr>
    </w:p>
    <w:p>
      <w:pPr>
        <w:jc w:val="both"/>
        <w:ind w:firstLine="720"/>
        <w:spacing w:after="0" w:line="255" w:lineRule="auto"/>
        <w:tabs>
          <w:tab w:leader="none" w:pos="95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 any and all SEC statements of beneficial ownership of securities of Presto Automation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Schedule 13G or 13D as required under Section 13(d) and Forms 3, 4 and 5 as required under Section 16(a) of the Securities Exchange Act of 1934, as amended (the “Exchange Act”),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13(d) and Section 16(a) of the Exchange Act, as fully and to all intents and purposes as the undersigned might or could do in person, hereby ratifying and confirming all that said attorneys-in-fact and agents, and each of them, may lawfully do or cause to be done by virtue hereof.</w:t>
      </w:r>
    </w:p>
    <w:p>
      <w:pPr>
        <w:spacing w:after="0" w:line="206"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8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authority granted hereby shall in no event be deemed to impose or create any duty on behalf of the attorneys-in-fact with respect to the undersigned’s obligations to file a Form ID, Schedule 13G or Schedule 13D as required under Section 13(d) of the Exchange Act or any Form 3, 4 or 5 with the SEC.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December 8, 2023</w:t>
      </w:r>
    </w:p>
    <w:p>
      <w:pPr>
        <w:spacing w:after="0" w:line="25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/s/ Katherine Hoffman-Flynt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19050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Katherine Hoffman-Flynt</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03170"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2023-12-08T16:38:23Z</dcterms:created>
  <dcterms:modified xsi:type="dcterms:W3CDTF">2023-12-08T16:38:23Z</dcterms:modified>
</cp:coreProperties>
</file>