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Information to be included in statements filed pursuant to Rule 13d-1(a) and amendments thereto filed pursuant to Rule 13d-2(a)</w:t>
      </w:r>
    </w:p>
    <w:p>
      <w:pPr>
        <w:spacing w:after="0" w:line="2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74113T105</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Joseph McCoy</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 Cleveland Avenue, LLC</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222 N. Canal St.</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(312) 383-6700</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November 21, 2023</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1022"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74113T105</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40" w:type="dxa"/>
            <w:vAlign w:val="bottom"/>
            <w:tcBorders>
              <w:top w:val="single" w:sz="8" w:color="auto"/>
              <w:left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60" w:type="dxa"/>
            <w:vAlign w:val="bottom"/>
            <w:tcBorders>
              <w:top w:val="single" w:sz="8" w:color="auto"/>
              <w:right w:val="single" w:sz="8" w:color="auto"/>
            </w:tcBorders>
          </w:tcPr>
          <w:p>
            <w:pPr>
              <w:spacing w:after="0"/>
              <w:rPr>
                <w:sz w:val="19"/>
                <w:szCs w:val="19"/>
                <w:color w:val="auto"/>
              </w:rPr>
            </w:pPr>
          </w:p>
        </w:tc>
        <w:tc>
          <w:tcPr>
            <w:tcW w:w="2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NAME OF REPORTING PERSON</w:t>
            </w:r>
          </w:p>
        </w:tc>
        <w:tc>
          <w:tcPr>
            <w:tcW w:w="5280" w:type="dxa"/>
            <w:vAlign w:val="bottom"/>
            <w:tcBorders>
              <w:top w:val="single" w:sz="8" w:color="auto"/>
            </w:tcBorders>
          </w:tcPr>
          <w:p>
            <w:pPr>
              <w:spacing w:after="0"/>
              <w:rPr>
                <w:sz w:val="19"/>
                <w:szCs w:val="19"/>
                <w:color w:val="auto"/>
              </w:rPr>
            </w:pPr>
          </w:p>
        </w:tc>
        <w:tc>
          <w:tcPr>
            <w:tcW w:w="27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440" w:type="dxa"/>
            <w:vAlign w:val="bottom"/>
            <w:tcBorders>
              <w:left w:val="single" w:sz="8" w:color="auto"/>
            </w:tcBorders>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Cleveland Avenue Food and Beverage Fund II, LP</w:t>
            </w:r>
          </w:p>
        </w:tc>
        <w:tc>
          <w:tcPr>
            <w:tcW w:w="2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40" w:type="dxa"/>
            <w:vAlign w:val="bottom"/>
            <w:tcBorders>
              <w:left w:val="single" w:sz="8" w:color="auto"/>
            </w:tcBorders>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7860" w:type="dxa"/>
            <w:vAlign w:val="bottom"/>
            <w:gridSpan w:val="3"/>
            <w:vMerge w:val="continue"/>
          </w:tcPr>
          <w:p>
            <w:pPr>
              <w:spacing w:after="0"/>
              <w:rPr>
                <w:sz w:val="8"/>
                <w:szCs w:val="8"/>
                <w:color w:val="auto"/>
              </w:rPr>
            </w:pPr>
          </w:p>
        </w:tc>
        <w:tc>
          <w:tcPr>
            <w:tcW w:w="2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0" w:type="dxa"/>
            <w:vAlign w:val="bottom"/>
            <w:tcBorders>
              <w:left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60" w:type="dxa"/>
            <w:vAlign w:val="bottom"/>
            <w:tcBorders>
              <w:right w:val="single" w:sz="8" w:color="auto"/>
            </w:tcBorders>
          </w:tcPr>
          <w:p>
            <w:pPr>
              <w:spacing w:after="0"/>
              <w:rPr>
                <w:sz w:val="19"/>
                <w:szCs w:val="19"/>
                <w:color w:val="auto"/>
              </w:rPr>
            </w:pPr>
          </w:p>
        </w:tc>
        <w:tc>
          <w:tcPr>
            <w:tcW w:w="78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80" w:type="dxa"/>
            <w:vAlign w:val="bottom"/>
            <w:tcBorders>
              <w:bottom w:val="single" w:sz="8" w:color="auto"/>
              <w:right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80" w:type="dxa"/>
            <w:vAlign w:val="bottom"/>
            <w:tcBorders>
              <w:right w:val="single" w:sz="8" w:color="auto"/>
            </w:tcBorders>
          </w:tcPr>
          <w:p>
            <w:pPr>
              <w:spacing w:after="0"/>
              <w:rPr>
                <w:sz w:val="8"/>
                <w:szCs w:val="8"/>
                <w:color w:val="auto"/>
              </w:rPr>
            </w:pPr>
          </w:p>
        </w:tc>
        <w:tc>
          <w:tcPr>
            <w:tcW w:w="2780" w:type="dxa"/>
            <w:vAlign w:val="bottom"/>
            <w:tcBorders>
              <w:right w:val="single" w:sz="8" w:color="auto"/>
            </w:tcBorders>
            <w:vMerge w:val="restart"/>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22"/>
        </w:trPr>
        <w:tc>
          <w:tcPr>
            <w:tcW w:w="440" w:type="dxa"/>
            <w:vAlign w:val="bottom"/>
            <w:tcBorders>
              <w:left w:val="single" w:sz="8" w:color="auto"/>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280" w:type="dxa"/>
            <w:vAlign w:val="bottom"/>
            <w:tcBorders>
              <w:bottom w:val="single" w:sz="8" w:color="auto"/>
              <w:right w:val="single" w:sz="8" w:color="auto"/>
            </w:tcBorders>
          </w:tcPr>
          <w:p>
            <w:pPr>
              <w:spacing w:after="0"/>
              <w:rPr>
                <w:sz w:val="10"/>
                <w:szCs w:val="10"/>
                <w:color w:val="auto"/>
              </w:rPr>
            </w:pPr>
          </w:p>
        </w:tc>
        <w:tc>
          <w:tcPr>
            <w:tcW w:w="2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560" w:type="dxa"/>
            <w:vAlign w:val="bottom"/>
            <w:tcBorders>
              <w:bottom w:val="single" w:sz="8" w:color="auto"/>
            </w:tcBorders>
          </w:tcPr>
          <w:p>
            <w:pPr>
              <w:spacing w:after="0"/>
              <w:rPr>
                <w:sz w:val="19"/>
                <w:szCs w:val="19"/>
                <w:color w:val="auto"/>
              </w:rPr>
            </w:pPr>
          </w:p>
        </w:tc>
        <w:tc>
          <w:tcPr>
            <w:tcW w:w="528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60" w:type="dxa"/>
            <w:vAlign w:val="bottom"/>
            <w:tcBorders>
              <w:bottom w:val="single" w:sz="8" w:color="auto"/>
              <w:right w:val="single" w:sz="8" w:color="auto"/>
            </w:tcBorders>
          </w:tcPr>
          <w:p>
            <w:pPr>
              <w:spacing w:after="0"/>
              <w:rPr>
                <w:sz w:val="19"/>
                <w:szCs w:val="19"/>
                <w:color w:val="auto"/>
              </w:rPr>
            </w:pPr>
          </w:p>
        </w:tc>
        <w:tc>
          <w:tcPr>
            <w:tcW w:w="10640" w:type="dxa"/>
            <w:vAlign w:val="bottom"/>
            <w:tcBorders>
              <w:bottom w:val="single" w:sz="8" w:color="auto"/>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60" w:type="dxa"/>
            <w:vAlign w:val="bottom"/>
            <w:tcBorders>
              <w:bottom w:val="single" w:sz="8" w:color="auto"/>
              <w:right w:val="single" w:sz="8" w:color="auto"/>
            </w:tcBorders>
          </w:tcPr>
          <w:p>
            <w:pPr>
              <w:spacing w:after="0"/>
              <w:rPr>
                <w:sz w:val="19"/>
                <w:szCs w:val="19"/>
                <w:color w:val="auto"/>
              </w:rPr>
            </w:pPr>
          </w:p>
        </w:tc>
        <w:tc>
          <w:tcPr>
            <w:tcW w:w="78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 of Delaware</w:t>
            </w:r>
          </w:p>
        </w:tc>
        <w:tc>
          <w:tcPr>
            <w:tcW w:w="0" w:type="dxa"/>
            <w:vAlign w:val="bottom"/>
          </w:tcPr>
          <w:p>
            <w:pPr>
              <w:spacing w:after="0"/>
              <w:rPr>
                <w:sz w:val="1"/>
                <w:szCs w:val="1"/>
                <w:color w:val="auto"/>
              </w:rPr>
            </w:pPr>
          </w:p>
        </w:tc>
      </w:tr>
      <w:tr>
        <w:trPr>
          <w:trHeight w:val="263"/>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780" w:type="dxa"/>
            <w:vAlign w:val="bottom"/>
            <w:tcBorders>
              <w:bottom w:val="single" w:sz="8" w:color="auto"/>
              <w:right w:val="single" w:sz="8" w:color="auto"/>
            </w:tcBorders>
          </w:tcPr>
          <w:p>
            <w:pPr>
              <w:ind w:left="20"/>
              <w:spacing w:after="0" w:line="263" w:lineRule="exact"/>
              <w:rPr>
                <w:sz w:val="20"/>
                <w:szCs w:val="20"/>
                <w:color w:val="auto"/>
              </w:rPr>
            </w:pPr>
            <w:r>
              <w:rPr>
                <w:rFonts w:ascii="Times New Roman" w:cs="Times New Roman" w:eastAsia="Times New Roman" w:hAnsi="Times New Roman"/>
                <w:sz w:val="18"/>
                <w:szCs w:val="18"/>
                <w:color w:val="auto"/>
              </w:rPr>
              <w:t>10,000,000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BENEFICIALLY OWNED BY</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440" w:type="dxa"/>
            <w:vAlign w:val="bottom"/>
            <w:tcBorders>
              <w:left w:val="single" w:sz="8" w:color="auto"/>
            </w:tcBorders>
          </w:tcPr>
          <w:p>
            <w:pPr>
              <w:spacing w:after="0"/>
              <w:rPr>
                <w:sz w:val="18"/>
                <w:szCs w:val="18"/>
                <w:color w:val="auto"/>
              </w:rPr>
            </w:pPr>
          </w:p>
        </w:tc>
        <w:tc>
          <w:tcPr>
            <w:tcW w:w="2180" w:type="dxa"/>
            <w:vAlign w:val="bottom"/>
            <w:tcBorders>
              <w:right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EACH REPORTING</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780" w:type="dxa"/>
            <w:vAlign w:val="bottom"/>
            <w:tcBorders>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color w:val="auto"/>
              </w:rPr>
              <w:t>10,000,000</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54"/>
        </w:trPr>
        <w:tc>
          <w:tcPr>
            <w:tcW w:w="4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2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560" w:type="dxa"/>
            <w:vAlign w:val="bottom"/>
            <w:tcBorders>
              <w:bottom w:val="single" w:sz="8" w:color="auto"/>
              <w:right w:val="single" w:sz="8" w:color="auto"/>
            </w:tcBorders>
          </w:tcPr>
          <w:p>
            <w:pPr>
              <w:spacing w:after="0"/>
              <w:rPr>
                <w:sz w:val="4"/>
                <w:szCs w:val="4"/>
                <w:color w:val="auto"/>
              </w:rPr>
            </w:pPr>
          </w:p>
        </w:tc>
        <w:tc>
          <w:tcPr>
            <w:tcW w:w="528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4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5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44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vMerge w:val="continue"/>
          </w:tcPr>
          <w:p>
            <w:pPr>
              <w:spacing w:after="0"/>
              <w:rPr>
                <w:sz w:val="5"/>
                <w:szCs w:val="5"/>
                <w:color w:val="auto"/>
              </w:rPr>
            </w:pPr>
          </w:p>
        </w:tc>
        <w:tc>
          <w:tcPr>
            <w:tcW w:w="5280" w:type="dxa"/>
            <w:vAlign w:val="bottom"/>
            <w:tcBorders>
              <w:bottom w:val="single" w:sz="8" w:color="auto"/>
              <w:right w:val="single" w:sz="8" w:color="auto"/>
            </w:tcBorders>
            <w:vMerge w:val="continue"/>
          </w:tcPr>
          <w:p>
            <w:pPr>
              <w:spacing w:after="0"/>
              <w:rPr>
                <w:sz w:val="5"/>
                <w:szCs w:val="5"/>
                <w:color w:val="auto"/>
              </w:rPr>
            </w:pPr>
          </w:p>
        </w:tc>
        <w:tc>
          <w:tcPr>
            <w:tcW w:w="27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40" w:type="dxa"/>
            <w:vAlign w:val="bottom"/>
            <w:tcBorders>
              <w:left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60" w:type="dxa"/>
            <w:vAlign w:val="bottom"/>
            <w:tcBorders>
              <w:right w:val="single" w:sz="8" w:color="auto"/>
            </w:tcBorders>
          </w:tcPr>
          <w:p>
            <w:pPr>
              <w:spacing w:after="0"/>
              <w:rPr>
                <w:sz w:val="19"/>
                <w:szCs w:val="19"/>
                <w:color w:val="auto"/>
              </w:rPr>
            </w:pPr>
          </w:p>
        </w:tc>
        <w:tc>
          <w:tcPr>
            <w:tcW w:w="7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40" w:type="dxa"/>
            <w:vAlign w:val="bottom"/>
            <w:tcBorders>
              <w:lef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vMerge w:val="restart"/>
          </w:tcPr>
          <w:p>
            <w:pPr>
              <w:spacing w:after="0" w:line="263" w:lineRule="exact"/>
              <w:rPr>
                <w:sz w:val="20"/>
                <w:szCs w:val="20"/>
                <w:color w:val="auto"/>
              </w:rPr>
            </w:pPr>
            <w:r>
              <w:rPr>
                <w:rFonts w:ascii="Times New Roman" w:cs="Times New Roman" w:eastAsia="Times New Roman" w:hAnsi="Times New Roman"/>
                <w:sz w:val="18"/>
                <w:szCs w:val="18"/>
                <w:color w:val="auto"/>
              </w:rPr>
              <w:t>10,000,000</w:t>
            </w:r>
            <w:r>
              <w:rPr>
                <w:rFonts w:ascii="Times New Roman" w:cs="Times New Roman" w:eastAsia="Times New Roman" w:hAnsi="Times New Roman"/>
                <w:sz w:val="29"/>
                <w:szCs w:val="29"/>
                <w:color w:val="auto"/>
                <w:vertAlign w:val="superscript"/>
              </w:rPr>
              <w:t>(1)</w:t>
            </w:r>
          </w:p>
        </w:tc>
        <w:tc>
          <w:tcPr>
            <w:tcW w:w="56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280" w:type="dxa"/>
            <w:vAlign w:val="bottom"/>
            <w:tcBorders>
              <w:bottom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60" w:type="dxa"/>
            <w:vAlign w:val="bottom"/>
            <w:tcBorders>
              <w:right w:val="single" w:sz="8" w:color="auto"/>
            </w:tcBorders>
          </w:tcPr>
          <w:p>
            <w:pPr>
              <w:spacing w:after="0"/>
              <w:rPr>
                <w:sz w:val="14"/>
                <w:szCs w:val="14"/>
                <w:color w:val="auto"/>
              </w:rPr>
            </w:pPr>
          </w:p>
        </w:tc>
        <w:tc>
          <w:tcPr>
            <w:tcW w:w="78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bottom w:val="single" w:sz="8" w:color="auto"/>
            </w:tcBorders>
            <w:vMerge w:val="continue"/>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60" w:type="dxa"/>
            <w:vAlign w:val="bottom"/>
            <w:tcBorders>
              <w:right w:val="single" w:sz="8" w:color="auto"/>
            </w:tcBorders>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4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spacing w:after="0" w:line="298" w:lineRule="exact"/>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29"/>
                <w:szCs w:val="29"/>
                <w:color w:val="auto"/>
                <w:vertAlign w:val="superscript"/>
              </w:rPr>
              <w:t>(2)</w:t>
            </w:r>
          </w:p>
        </w:tc>
        <w:tc>
          <w:tcPr>
            <w:tcW w:w="5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280" w:type="dxa"/>
            <w:vAlign w:val="bottom"/>
            <w:tcBorders>
              <w:bottom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52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120" w:hanging="492"/>
        <w:spacing w:after="0" w:line="224" w:lineRule="auto"/>
        <w:tabs>
          <w:tab w:leader="none" w:pos="50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shares are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w:t>
      </w:r>
    </w:p>
    <w:p>
      <w:pPr>
        <w:spacing w:after="0" w:line="201" w:lineRule="exact"/>
        <w:rPr>
          <w:rFonts w:ascii="Times New Roman" w:cs="Times New Roman" w:eastAsia="Times New Roman" w:hAnsi="Times New Roman"/>
          <w:sz w:val="30"/>
          <w:szCs w:val="30"/>
          <w:color w:val="auto"/>
          <w:vertAlign w:val="superscript"/>
        </w:rPr>
      </w:pPr>
    </w:p>
    <w:p>
      <w:pPr>
        <w:ind w:left="500" w:right="60" w:hanging="492"/>
        <w:spacing w:after="0" w:line="204" w:lineRule="auto"/>
        <w:tabs>
          <w:tab w:leader="none" w:pos="500" w:val="left"/>
        </w:tabs>
        <w:numPr>
          <w:ilvl w:val="0"/>
          <w:numId w:val="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Calculated based on 67,219,994 shares of common stock outstanding as of November 21, 2023 following the sale of 7,750,000 shares of the issuer’s common stock by the issuer, as disclosed by the issuer in its Prospectus Supplement (to Prospectus dated October 30, 2023) filed pursuant to</w:t>
      </w:r>
    </w:p>
    <w:p>
      <w:pPr>
        <w:ind w:left="50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Rule 424(b)(5) under Registration Statement No.: 333-275112, filed with the Securities and Exchange Commission on November 21,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1 (this “Amendment”) amends and supplements the statement on Schedule 13D filed by Cleveland Avenue Food and Beverage Fund II, LP (the “Reporting Person”) on October 27, 2023 (the “Original Schedule 13D”). Except as specifically provided herein, this Amendment does not modify any of the information previously reported on the Original Schedule 13D. All capitalized terms contained herein but not otherwise defined shall have the meanings ascribed to such terms in the Original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amends and restates Item 5 of the Original Schedule 13D in its entirety as set forth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information requested by this paragraph is incorporated herein by reference to the information provided on the cover pages to this Amendment.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information requested by this paragraph is incorporated herein by reference to the information provided on the cover pages to this Amendment.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Except as disclosed herein, the Reporting Person has not effected any other transactions in the securities of the Issuer during the past 60 days.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Not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3 and Item 4 of the Original Schedule 13D is hereby incorporated by reference into this Item 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November 30,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CLEVELAND AVENUE FOOD AND BEVERAGE FUND 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Joseph McCoy, Chief Operating Officer and General Counsel of</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Cleveland Avenue, LLC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2023-12-01T12:47:45Z</dcterms:created>
  <dcterms:modified xsi:type="dcterms:W3CDTF">2023-12-01T12:47:45Z</dcterms:modified>
</cp:coreProperties>
</file>