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Cassis Tewfik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11/16/2023</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985 INDUSTRIAL ROAD,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205</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$0.0001 per share</w:t>
            </w: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15,000</w:t>
            </w:r>
          </w:p>
        </w:tc>
        <w:tc>
          <w:tcPr>
            <w:tcW w:w="960" w:type="dxa"/>
            <w:vAlign w:val="bottom"/>
          </w:tcPr>
          <w:p>
            <w:pPr>
              <w:spacing w:after="0"/>
              <w:rPr>
                <w:sz w:val="22"/>
                <w:szCs w:val="22"/>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0000FF"/>
              </w:rPr>
              <w:t>By Spouse</w:t>
            </w: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960" w:type="dxa"/>
            <w:vAlign w:val="bottom"/>
            <w:vMerge w:val="restart"/>
          </w:tcPr>
          <w:p>
            <w:pPr>
              <w:ind w:left="3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ind w:left="3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6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Susan Shinoff,</w:t>
            </w:r>
          </w:p>
        </w:tc>
        <w:tc>
          <w:tcPr>
            <w:tcW w:w="8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12/04/2023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The undersigned constitutes and appoints Xavier Casanova and Susan Shinoff, or any of them acting singly, as the undersigned’s true and lawful attorneys-in-fact and agents, with full power of substitution and resubstitution, for the undersigned and in the undersigned’s name, place and stead, to:</w:t>
      </w:r>
    </w:p>
    <w:p>
      <w:pPr>
        <w:spacing w:after="0" w:line="223" w:lineRule="exact"/>
        <w:rPr>
          <w:sz w:val="20"/>
          <w:szCs w:val="20"/>
          <w:color w:val="auto"/>
        </w:rPr>
      </w:pPr>
    </w:p>
    <w:p>
      <w:pPr>
        <w:jc w:val="both"/>
        <w:ind w:left="1080" w:hanging="360"/>
        <w:spacing w:after="0" w:line="245" w:lineRule="auto"/>
        <w:tabs>
          <w:tab w:leader="none" w:pos="1141"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sign, and submit to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on its Electronic Data Gathering, Analysis, and Retrieval (“</w:t>
      </w:r>
      <w:r>
        <w:rPr>
          <w:rFonts w:ascii="Times New Roman" w:cs="Times New Roman" w:eastAsia="Times New Roman" w:hAnsi="Times New Roman"/>
          <w:sz w:val="22"/>
          <w:szCs w:val="22"/>
          <w:u w:val="single" w:color="auto"/>
          <w:color w:val="auto"/>
        </w:rPr>
        <w:t>EDGAR</w:t>
      </w:r>
      <w:r>
        <w:rPr>
          <w:rFonts w:ascii="Times New Roman" w:cs="Times New Roman" w:eastAsia="Times New Roman" w:hAnsi="Times New Roman"/>
          <w:sz w:val="22"/>
          <w:szCs w:val="22"/>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41" w:lineRule="exact"/>
        <w:rPr>
          <w:rFonts w:ascii="Times New Roman" w:cs="Times New Roman" w:eastAsia="Times New Roman" w:hAnsi="Times New Roman"/>
          <w:sz w:val="22"/>
          <w:szCs w:val="22"/>
          <w:color w:val="auto"/>
        </w:rPr>
      </w:pPr>
    </w:p>
    <w:p>
      <w:pPr>
        <w:jc w:val="both"/>
        <w:ind w:left="1080" w:hanging="360"/>
        <w:spacing w:after="0" w:line="245" w:lineRule="auto"/>
        <w:tabs>
          <w:tab w:leader="none" w:pos="105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 any and all SEC statements of beneficial ownership of securities of Presto Automation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Schedule 13G or 13D as required under Section 13(d) and Forms 3, 4 and 5 as required under Section 16(a) of the Securities Exchange Act of 1934, as amended (the “Exchange Act”),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13(d) and Section 16(a) of the Exchange Act, as fully and to all intents and purposes as the undersigned might or could do in person, hereby ratifying and confirming all that said attorneys-in-fact and agents, and each of them, may lawfully do or cause to be done by virtue hereof.</w:t>
      </w:r>
    </w:p>
    <w:p>
      <w:pPr>
        <w:spacing w:after="0" w:line="224" w:lineRule="exact"/>
        <w:rPr>
          <w:sz w:val="20"/>
          <w:szCs w:val="20"/>
          <w:color w:val="auto"/>
        </w:rPr>
      </w:pPr>
    </w:p>
    <w:p>
      <w:pPr>
        <w:jc w:val="both"/>
        <w:ind w:right="20" w:firstLine="720"/>
        <w:spacing w:after="0" w:line="273" w:lineRule="auto"/>
        <w:rPr>
          <w:sz w:val="20"/>
          <w:szCs w:val="20"/>
          <w:color w:val="auto"/>
        </w:rPr>
      </w:pPr>
      <w:r>
        <w:rPr>
          <w:rFonts w:ascii="Times New Roman" w:cs="Times New Roman" w:eastAsia="Times New Roman" w:hAnsi="Times New Roman"/>
          <w:sz w:val="22"/>
          <w:szCs w:val="22"/>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9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The authority granted hereby shall in no event be deemed to impose or create any duty on behalf of the attorneys-in-fact with respect to the undersigned’s obligations to file a Form ID, Schedule 13G or Schedule 13D as required under Section 13(d) of the Exchange Act or any Form 3, 4 or 5 with the SEC.</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December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/s/ Tewfik Cassis</w:t>
      </w:r>
    </w:p>
    <w:p>
      <w:pPr>
        <w:spacing w:after="0" w:line="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Tewfik Cassis</w:t>
      </w:r>
    </w:p>
    <w:sectPr>
      <w:pgSz w:w="11900" w:h="16838" w:orient="portrait"/>
      <w:cols w:equalWidth="0" w:num="1">
        <w:col w:w="10940"/>
      </w:cols>
      <w:pgMar w:left="480" w:top="3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2674"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2023-12-04T18:33:11Z</dcterms:created>
  <dcterms:modified xsi:type="dcterms:W3CDTF">2023-12-04T18:33:11Z</dcterms:modified>
</cp:coreProperties>
</file>