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506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50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Chardan International</w:t>
              </w:r>
            </w:hyperlink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Investments, LLC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5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2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1,493,625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Jonas Grossman,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Managing Member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37088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2020-12-23T17:24:00Z</dcterms:created>
  <dcterms:modified xsi:type="dcterms:W3CDTF">2020-12-23T17:24:00Z</dcterms:modified>
</cp:coreProperties>
</file>