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333-263516</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Proxy/Prospectus dated August 12, 2022)</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 FOR SPECIAL MEETING IN LIEU OF AN ANNUAL MEETING OF</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1, 2022</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FOR SHARES OF</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OF VENTOUX CCM ACQUISITION CORP.</w:t>
      </w:r>
    </w:p>
    <w:p>
      <w:pPr>
        <w:spacing w:after="0" w:line="207" w:lineRule="exact"/>
        <w:rPr>
          <w:sz w:val="24"/>
          <w:szCs w:val="24"/>
          <w:color w:val="auto"/>
        </w:rPr>
      </w:pPr>
    </w:p>
    <w:p>
      <w:pPr>
        <w:jc w:val="both"/>
        <w:ind w:right="360" w:firstLine="324"/>
        <w:spacing w:after="0" w:line="261" w:lineRule="auto"/>
        <w:rPr>
          <w:sz w:val="20"/>
          <w:szCs w:val="20"/>
          <w:color w:val="auto"/>
        </w:rPr>
      </w:pPr>
      <w:r>
        <w:rPr>
          <w:rFonts w:ascii="Times New Roman" w:cs="Times New Roman" w:eastAsia="Times New Roman" w:hAnsi="Times New Roman"/>
          <w:sz w:val="18"/>
          <w:szCs w:val="18"/>
          <w:color w:val="auto"/>
        </w:rPr>
        <w:t>Ventoux CCM Acquisition Company (the “Company”) has filed a proxy statement/prospectus, dated August 12, 2022 (the “Prospectus”) (File No. 333-263516), pursuant to Rule 424(b)(3) with the Securities and Exchange Commission (“SEC”) for the offering to which this communication relates. Before you invest, you should read the Prospectus and other documents the Company has filed with the SEC for more complete information about the issuer and this offering. You may get these documents for free by visiting EDGAR on the SEC website at www.sec.gov.</w:t>
      </w:r>
    </w:p>
    <w:p>
      <w:pPr>
        <w:spacing w:after="0" w:line="180" w:lineRule="exact"/>
        <w:rPr>
          <w:sz w:val="24"/>
          <w:szCs w:val="24"/>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following information supplements and updates the information contained in the Prospectus and is not complete without, and may not be delivered or utilized except in combination with, the Prospectus, including any amendments or supplements thereto. This prospectus supplement (the “Prospectus Supplement”) should be read together with the Prospectus and if there is any inconsistency between the information in the Prospectus and this Prospectus Supplement, you should rely on the information in this Prospectus Supplement. Defined terms used herein and not otherwise defined shall have the meanings set forth in the Prospectus A copy of the Prospectus can be accessed through the following link:</w:t>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https://www.cstproxy.com/ventouxccm/sm2022/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jc w:val="both"/>
        <w:ind w:right="8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a high degree of risk. See the section entitled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beginning on page 54 of the Prospectus and in any applicable prospectus supplement, as well as in our periodic reports under the Securities Exchange Act of 1934, as amended, including our Annual Report on Form 10-K for the year ended December 31, 2022, to read about factors you should consider before buying our securities.</w:t>
      </w:r>
    </w:p>
    <w:p>
      <w:pPr>
        <w:spacing w:after="0" w:line="171" w:lineRule="exact"/>
        <w:rPr>
          <w:sz w:val="24"/>
          <w:szCs w:val="24"/>
          <w:color w:val="auto"/>
        </w:rPr>
      </w:pPr>
    </w:p>
    <w:p>
      <w:pPr>
        <w:ind w:right="48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September 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123190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Ventoux CCM Acquisition Corp.</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48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001-39830</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76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rPr>
              <w:t>84-2968594</w:t>
            </w:r>
          </w:p>
        </w:tc>
      </w:tr>
      <w:tr>
        <w:trPr>
          <w:trHeight w:val="194"/>
        </w:trPr>
        <w:tc>
          <w:tcPr>
            <w:tcW w:w="2960" w:type="dxa"/>
            <w:vAlign w:val="bottom"/>
            <w:tcBorders>
              <w:top w:val="single" w:sz="8" w:color="auto"/>
            </w:tcBorders>
          </w:tcPr>
          <w:p>
            <w:pPr>
              <w:jc w:val="center"/>
              <w:ind w:left="570"/>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6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(Commission</w:t>
            </w:r>
          </w:p>
        </w:tc>
        <w:tc>
          <w:tcPr>
            <w:tcW w:w="2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760" w:type="dxa"/>
            <w:vAlign w:val="bottom"/>
            <w:tcBorders>
              <w:top w:val="single" w:sz="8" w:color="auto"/>
            </w:tcBorders>
          </w:tcPr>
          <w:p>
            <w:pPr>
              <w:jc w:val="center"/>
              <w:ind w:right="7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4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76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4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9"/>
              </w:rPr>
              <w:t>1 East Putnam Avenue, Floor 4</w:t>
            </w:r>
          </w:p>
        </w:tc>
        <w:tc>
          <w:tcPr>
            <w:tcW w:w="2760" w:type="dxa"/>
            <w:vAlign w:val="bottom"/>
          </w:tcPr>
          <w:p>
            <w:pPr>
              <w:spacing w:after="0"/>
              <w:rPr>
                <w:sz w:val="24"/>
                <w:szCs w:val="24"/>
                <w:color w:val="auto"/>
              </w:rPr>
            </w:pPr>
          </w:p>
        </w:tc>
      </w:tr>
      <w:tr>
        <w:trPr>
          <w:trHeight w:val="216"/>
        </w:trPr>
        <w:tc>
          <w:tcPr>
            <w:tcW w:w="2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4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Greenwich, CT 06830</w:t>
            </w:r>
          </w:p>
        </w:tc>
        <w:tc>
          <w:tcPr>
            <w:tcW w:w="2760" w:type="dxa"/>
            <w:vAlign w:val="bottom"/>
          </w:tcPr>
          <w:p>
            <w:pPr>
              <w:spacing w:after="0"/>
              <w:rPr>
                <w:sz w:val="18"/>
                <w:szCs w:val="18"/>
                <w:color w:val="auto"/>
              </w:rPr>
            </w:pPr>
          </w:p>
        </w:tc>
      </w:tr>
      <w:tr>
        <w:trPr>
          <w:trHeight w:val="238"/>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60" w:type="dxa"/>
            <w:vAlign w:val="bottom"/>
            <w:gridSpan w:val="4"/>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 (zip code)</w:t>
            </w:r>
          </w:p>
        </w:tc>
        <w:tc>
          <w:tcPr>
            <w:tcW w:w="276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552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(646) 465-9000</w:t>
            </w:r>
          </w:p>
        </w:tc>
        <w:tc>
          <w:tcPr>
            <w:tcW w:w="2760" w:type="dxa"/>
            <w:vAlign w:val="bottom"/>
          </w:tcPr>
          <w:p>
            <w:pPr>
              <w:spacing w:after="0"/>
              <w:rPr>
                <w:sz w:val="24"/>
                <w:szCs w:val="24"/>
                <w:color w:val="auto"/>
              </w:rPr>
            </w:pPr>
          </w:p>
        </w:tc>
      </w:tr>
      <w:tr>
        <w:trPr>
          <w:trHeight w:val="410"/>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4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N/A</w:t>
            </w:r>
          </w:p>
        </w:tc>
        <w:tc>
          <w:tcPr>
            <w:tcW w:w="2760" w:type="dxa"/>
            <w:vAlign w:val="bottom"/>
          </w:tcPr>
          <w:p>
            <w:pPr>
              <w:spacing w:after="0"/>
              <w:rPr>
                <w:sz w:val="24"/>
                <w:szCs w:val="24"/>
                <w:color w:val="auto"/>
              </w:rPr>
            </w:pPr>
          </w:p>
        </w:tc>
      </w:tr>
      <w:tr>
        <w:trPr>
          <w:trHeight w:val="238"/>
        </w:trPr>
        <w:tc>
          <w:tcPr>
            <w:tcW w:w="2960" w:type="dxa"/>
            <w:vAlign w:val="bottom"/>
          </w:tcPr>
          <w:p>
            <w:pPr>
              <w:spacing w:after="0"/>
              <w:rPr>
                <w:sz w:val="20"/>
                <w:szCs w:val="20"/>
                <w:color w:val="auto"/>
              </w:rPr>
            </w:pPr>
          </w:p>
        </w:tc>
        <w:tc>
          <w:tcPr>
            <w:tcW w:w="552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27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0"/>
          <w:szCs w:val="20"/>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96" w:lineRule="exact"/>
        <w:rPr>
          <w:sz w:val="20"/>
          <w:szCs w:val="20"/>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Soliciting material pursuant to Rule 14a-12 under the Exchange Act (17 CFR 240.14a-12)</w:t>
      </w:r>
    </w:p>
    <w:p>
      <w:pPr>
        <w:spacing w:after="0" w:line="254" w:lineRule="exact"/>
        <w:rPr>
          <w:sz w:val="20"/>
          <w:szCs w:val="20"/>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22" w:lineRule="auto"/>
        <w:tabs>
          <w:tab w:leader="none" w:pos="3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2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45"/>
        </w:trPr>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30"/>
        </w:trPr>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2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3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VTAQ</w:t>
            </w:r>
          </w:p>
        </w:tc>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3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9"/>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Warrants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VTAQW</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20"/>
        </w:trPr>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Rights</w:t>
            </w:r>
          </w:p>
        </w:tc>
        <w:tc>
          <w:tcPr>
            <w:tcW w:w="2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3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VTAQR</w:t>
            </w:r>
          </w:p>
        </w:tc>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3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Units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VTAQU</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06" w:lineRule="exact"/>
        <w:rPr>
          <w:sz w:val="20"/>
          <w:szCs w:val="20"/>
          <w:color w:val="auto"/>
        </w:rPr>
      </w:pPr>
    </w:p>
    <w:p>
      <w:pPr>
        <w:jc w:val="both"/>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0"/>
          <w:szCs w:val="20"/>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528320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September 1, 2022, the Board of Directors of Ventoux CCM Acquisition Corp. (the “Company”) announced that its special meeting of stockholders (the “Special Meeting”), previously scheduled for 10:00 am Eastern Time on September 6, 2022, has been rescheduled for 10:00 am Eastern Time on September 14, 2022. In connection with the rescheduling of the Special Meeting, the Company has extended the deadline by which public holders of its common stock may request that it redeem all or a portion of such shares for cash if the business combination is consummated to Monday, September 12, 2022, at 5:00 p.m., Eastern Time (two business days prior to the vote at the rescheduled Special Meeting), in accordance with the procedures described in the Company’s proxy statement for the Special Meeting.</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Ventoux CCM Acquisition Corp.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229"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September 1, 2022</w:t>
      </w:r>
      <w:r>
        <w:rPr>
          <w:sz w:val="20"/>
          <w:szCs w:val="20"/>
          <w:color w:val="auto"/>
        </w:rPr>
        <w:tab/>
      </w:r>
      <w:r>
        <w:rPr>
          <w:rFonts w:ascii="Times New Roman" w:cs="Times New Roman" w:eastAsia="Times New Roman" w:hAnsi="Times New Roman"/>
          <w:sz w:val="18"/>
          <w:szCs w:val="18"/>
          <w:color w:val="auto"/>
        </w:rPr>
        <w:t>By:</w:t>
        <w:tab/>
        <w:t>/s/ Matt MacDonald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Matt MacDonald</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60"/>
      </w:cols>
      <w:pgMar w:left="320" w:top="792"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2022-09-01T09:39:06Z</dcterms:created>
  <dcterms:modified xsi:type="dcterms:W3CDTF">2022-09-01T09:39:06Z</dcterms:modified>
</cp:coreProperties>
</file>