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w:t>
      </w:r>
    </w:p>
    <w:p>
      <w:pPr>
        <w:spacing w:after="0" w:line="19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INFORMATION STATEMENT PURSUANT TO RULES 13d-1 AND 13d-2</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VENTOUX CCM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92280L200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(CUSIP Number)</w:t>
      </w:r>
    </w:p>
    <w:p>
      <w:pPr>
        <w:spacing w:after="0" w:line="2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December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20" w:lineRule="exact"/>
        <w:rPr>
          <w:sz w:val="24"/>
          <w:szCs w:val="24"/>
          <w:color w:val="auto"/>
        </w:rPr>
      </w:pPr>
    </w:p>
    <w:p>
      <w:pPr>
        <w:jc w:val="right"/>
        <w:ind w:right="8079" w:firstLine="8"/>
        <w:spacing w:after="0" w:line="268" w:lineRule="exact"/>
        <w:tabs>
          <w:tab w:leader="none" w:pos="83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 xml:space="preserve">Rule 13d-1(b)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Rule 13d-1(c)</w:t>
      </w:r>
    </w:p>
    <w:p>
      <w:pPr>
        <w:spacing w:after="0" w:line="1" w:lineRule="exact"/>
        <w:rPr>
          <w:rFonts w:ascii="MS PGothic" w:cs="MS PGothic" w:eastAsia="MS PGothic" w:hAnsi="MS PGothic"/>
          <w:sz w:val="21"/>
          <w:szCs w:val="21"/>
          <w:color w:val="auto"/>
        </w:rPr>
      </w:pPr>
    </w:p>
    <w:p>
      <w:pPr>
        <w:ind w:left="840" w:hanging="832"/>
        <w:spacing w:after="0"/>
        <w:tabs>
          <w:tab w:leader="none" w:pos="8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57" w:right="1440" w:bottom="1440" w:gutter="0" w:footer="0" w:header="0"/>
        </w:sectPr>
      </w:pPr>
    </w:p>
    <w:bookmarkStart w:id="1" w:name="page2"/>
    <w:bookmarkEnd w:id="1"/>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38315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-120650</wp:posOffset>
            </wp:positionV>
            <wp:extent cx="238315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420" w:space="720"/>
            <w:col w:w="3680"/>
          </w:cols>
          <w:pgMar w:left="320" w:top="117" w:right="299" w:bottom="1440" w:gutter="0" w:footer="0" w:header="0"/>
        </w:sectPr>
      </w:pP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9820" w:type="dxa"/>
            <w:vAlign w:val="bottom"/>
            <w:tcBorders>
              <w:top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right w:val="single" w:sz="8" w:color="auto"/>
            </w:tcBorders>
          </w:tcPr>
          <w:p>
            <w:pPr>
              <w:spacing w:after="0"/>
              <w:rPr>
                <w:sz w:val="20"/>
                <w:szCs w:val="20"/>
                <w:color w:val="auto"/>
              </w:rPr>
            </w:pP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S.S. OR I.R.S. IDENTIFICATION NO. OF ABOVE PERSONS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MMCAP International Inc. SPC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9820" w:type="dxa"/>
            <w:vAlign w:val="bottom"/>
            <w:tcBorders>
              <w:bottom w:val="single" w:sz="8" w:color="auto"/>
              <w:right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8700" w:type="dxa"/>
            <w:vAlign w:val="bottom"/>
            <w:tcBorders>
              <w:right w:val="single" w:sz="8" w:color="auto"/>
            </w:tcBorders>
          </w:tcPr>
          <w:p>
            <w:pPr>
              <w:ind w:left="32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8700" w:type="dxa"/>
            <w:vAlign w:val="bottom"/>
            <w:tcBorders>
              <w:right w:val="single" w:sz="8" w:color="auto"/>
            </w:tcBorders>
          </w:tcPr>
          <w:p>
            <w:pPr>
              <w:ind w:left="3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9820" w:type="dxa"/>
            <w:vAlign w:val="bottom"/>
            <w:tcBorders>
              <w:bottom w:val="single" w:sz="8" w:color="auto"/>
              <w:right w:val="single" w:sz="8" w:color="auto"/>
            </w:tcBorders>
            <w:gridSpan w:val="2"/>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9820" w:type="dxa"/>
            <w:vAlign w:val="bottom"/>
            <w:tcBorders>
              <w:bottom w:val="single" w:sz="8" w:color="auto"/>
              <w:right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spacing w:after="0"/>
              <w:rPr>
                <w:sz w:val="22"/>
                <w:szCs w:val="22"/>
                <w:color w:val="auto"/>
              </w:rPr>
            </w:pPr>
          </w:p>
        </w:tc>
        <w:tc>
          <w:tcPr>
            <w:tcW w:w="11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5</w:t>
            </w:r>
          </w:p>
        </w:tc>
        <w:tc>
          <w:tcPr>
            <w:tcW w:w="8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Borders>
              <w:right w:val="single" w:sz="8" w:color="auto"/>
            </w:tcBorders>
          </w:tcPr>
          <w:p>
            <w:pPr>
              <w:spacing w:after="0"/>
              <w:rPr>
                <w:sz w:val="24"/>
                <w:szCs w:val="24"/>
                <w:color w:val="auto"/>
              </w:rPr>
            </w:pPr>
          </w:p>
        </w:tc>
        <w:tc>
          <w:tcPr>
            <w:tcW w:w="8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420" w:type="dxa"/>
            <w:vAlign w:val="bottom"/>
            <w:tcBorders>
              <w:left w:val="single" w:sz="8" w:color="auto"/>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20" w:type="dxa"/>
            <w:vAlign w:val="bottom"/>
            <w:tcBorders>
              <w:left w:val="single" w:sz="8" w:color="auto"/>
              <w:right w:val="single" w:sz="8" w:color="auto"/>
            </w:tcBorders>
            <w:vMerge w:val="continue"/>
          </w:tcPr>
          <w:p>
            <w:pPr>
              <w:spacing w:after="0"/>
              <w:rPr>
                <w:sz w:val="12"/>
                <w:szCs w:val="12"/>
                <w:color w:val="auto"/>
              </w:rPr>
            </w:pPr>
          </w:p>
        </w:tc>
        <w:tc>
          <w:tcPr>
            <w:tcW w:w="112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w:t>
            </w:r>
          </w:p>
        </w:tc>
        <w:tc>
          <w:tcPr>
            <w:tcW w:w="87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120" w:type="dxa"/>
            <w:vAlign w:val="bottom"/>
            <w:tcBorders>
              <w:right w:val="single" w:sz="8" w:color="auto"/>
            </w:tcBorders>
            <w:vMerge w:val="continue"/>
          </w:tcPr>
          <w:p>
            <w:pPr>
              <w:spacing w:after="0"/>
              <w:rPr>
                <w:sz w:val="9"/>
                <w:szCs w:val="9"/>
                <w:color w:val="auto"/>
              </w:rPr>
            </w:pPr>
          </w:p>
        </w:tc>
        <w:tc>
          <w:tcPr>
            <w:tcW w:w="870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2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87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120" w:type="dxa"/>
            <w:vAlign w:val="bottom"/>
            <w:tcBorders>
              <w:right w:val="single" w:sz="8" w:color="auto"/>
            </w:tcBorders>
          </w:tcPr>
          <w:p>
            <w:pPr>
              <w:spacing w:after="0"/>
              <w:rPr>
                <w:sz w:val="20"/>
                <w:szCs w:val="20"/>
                <w:color w:val="auto"/>
              </w:rPr>
            </w:pPr>
          </w:p>
        </w:tc>
        <w:tc>
          <w:tcPr>
            <w:tcW w:w="8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420" w:type="dxa"/>
            <w:vAlign w:val="bottom"/>
            <w:tcBorders>
              <w:left w:val="single" w:sz="8" w:color="auto"/>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1120" w:type="dxa"/>
            <w:vAlign w:val="bottom"/>
            <w:tcBorders>
              <w:bottom w:val="single" w:sz="8" w:color="auto"/>
              <w:right w:val="single" w:sz="8" w:color="auto"/>
            </w:tcBorders>
          </w:tcPr>
          <w:p>
            <w:pPr>
              <w:spacing w:after="0"/>
              <w:rPr>
                <w:sz w:val="8"/>
                <w:szCs w:val="8"/>
                <w:color w:val="auto"/>
              </w:rPr>
            </w:pPr>
          </w:p>
        </w:tc>
        <w:tc>
          <w:tcPr>
            <w:tcW w:w="870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420" w:type="dxa"/>
            <w:vAlign w:val="bottom"/>
            <w:tcBorders>
              <w:left w:val="single" w:sz="8" w:color="auto"/>
              <w:right w:val="single" w:sz="8" w:color="auto"/>
            </w:tcBorders>
            <w:vMerge w:val="continue"/>
          </w:tcPr>
          <w:p>
            <w:pPr>
              <w:spacing w:after="0"/>
              <w:rPr>
                <w:sz w:val="6"/>
                <w:szCs w:val="6"/>
                <w:color w:val="auto"/>
              </w:rPr>
            </w:pPr>
          </w:p>
        </w:tc>
        <w:tc>
          <w:tcPr>
            <w:tcW w:w="112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w:t>
            </w:r>
          </w:p>
        </w:tc>
        <w:tc>
          <w:tcPr>
            <w:tcW w:w="87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120" w:type="dxa"/>
            <w:vAlign w:val="bottom"/>
            <w:tcBorders>
              <w:right w:val="single" w:sz="8" w:color="auto"/>
            </w:tcBorders>
            <w:vMerge w:val="continue"/>
          </w:tcPr>
          <w:p>
            <w:pPr>
              <w:spacing w:after="0"/>
              <w:rPr>
                <w:sz w:val="18"/>
                <w:szCs w:val="18"/>
                <w:color w:val="auto"/>
              </w:rPr>
            </w:pPr>
          </w:p>
        </w:tc>
        <w:tc>
          <w:tcPr>
            <w:tcW w:w="8700" w:type="dxa"/>
            <w:vAlign w:val="bottom"/>
            <w:tcBorders>
              <w:right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42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PERSON WITH</w:t>
            </w:r>
          </w:p>
        </w:tc>
        <w:tc>
          <w:tcPr>
            <w:tcW w:w="1120" w:type="dxa"/>
            <w:vAlign w:val="bottom"/>
            <w:tcBorders>
              <w:right w:val="single" w:sz="8" w:color="auto"/>
            </w:tcBorders>
          </w:tcPr>
          <w:p>
            <w:pPr>
              <w:spacing w:after="0"/>
              <w:rPr>
                <w:sz w:val="12"/>
                <w:szCs w:val="12"/>
                <w:color w:val="auto"/>
              </w:rPr>
            </w:pPr>
          </w:p>
        </w:tc>
        <w:tc>
          <w:tcPr>
            <w:tcW w:w="870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420" w:type="dxa"/>
            <w:vAlign w:val="bottom"/>
            <w:tcBorders>
              <w:left w:val="single" w:sz="8" w:color="auto"/>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spacing w:after="0"/>
              <w:rPr>
                <w:sz w:val="22"/>
                <w:szCs w:val="22"/>
                <w:color w:val="auto"/>
              </w:rPr>
            </w:pPr>
          </w:p>
        </w:tc>
        <w:tc>
          <w:tcPr>
            <w:tcW w:w="11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8</w:t>
            </w:r>
          </w:p>
        </w:tc>
        <w:tc>
          <w:tcPr>
            <w:tcW w:w="8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8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2,015,000*</w:t>
            </w:r>
          </w:p>
        </w:tc>
        <w:tc>
          <w:tcPr>
            <w:tcW w:w="8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9820" w:type="dxa"/>
            <w:vAlign w:val="bottom"/>
            <w:tcBorders>
              <w:righ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70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Up to 9.99%**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w:t>
            </w:r>
          </w:p>
        </w:tc>
        <w:tc>
          <w:tcPr>
            <w:tcW w:w="8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1"/>
        </w:trPr>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0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*SEE INSTRUCTIONS BEFORE FILLING OUT!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420" w:type="dxa"/>
            <w:vAlign w:val="bottom"/>
            <w:tcBorders>
              <w:left w:val="single" w:sz="8" w:color="auto"/>
              <w:right w:val="single" w:sz="8" w:color="auto"/>
            </w:tcBorders>
            <w:shd w:val="clear" w:color="auto" w:fill="000000"/>
          </w:tcPr>
          <w:p>
            <w:pPr>
              <w:spacing w:after="0"/>
              <w:rPr>
                <w:sz w:val="6"/>
                <w:szCs w:val="6"/>
                <w:color w:val="auto"/>
              </w:rPr>
            </w:pPr>
          </w:p>
        </w:tc>
        <w:tc>
          <w:tcPr>
            <w:tcW w:w="1120" w:type="dxa"/>
            <w:vAlign w:val="bottom"/>
            <w:tcBorders>
              <w:right w:val="single" w:sz="8" w:color="auto"/>
            </w:tcBorders>
            <w:shd w:val="clear" w:color="auto" w:fill="000000"/>
          </w:tcPr>
          <w:p>
            <w:pPr>
              <w:spacing w:after="0"/>
              <w:rPr>
                <w:sz w:val="6"/>
                <w:szCs w:val="6"/>
                <w:color w:val="auto"/>
              </w:rPr>
            </w:pPr>
          </w:p>
        </w:tc>
        <w:tc>
          <w:tcPr>
            <w:tcW w:w="870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7" w:right="299" w:bottom="1440" w:gutter="0" w:footer="0" w:header="0"/>
          <w:type w:val="continuous"/>
        </w:sectPr>
      </w:pPr>
    </w:p>
    <w:bookmarkStart w:id="2" w:name="page3"/>
    <w:bookmarkEnd w:id="2"/>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38315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-120650</wp:posOffset>
            </wp:positionV>
            <wp:extent cx="238315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420" w:space="720"/>
            <w:col w:w="3680"/>
          </w:cols>
          <w:pgMar w:left="320" w:top="117" w:right="299" w:bottom="1440" w:gutter="0" w:footer="0" w:header="0"/>
        </w:sectPr>
      </w:pP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9820" w:type="dxa"/>
            <w:vAlign w:val="bottom"/>
            <w:tcBorders>
              <w:top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right w:val="single" w:sz="8" w:color="auto"/>
            </w:tcBorders>
          </w:tcPr>
          <w:p>
            <w:pPr>
              <w:spacing w:after="0"/>
              <w:rPr>
                <w:sz w:val="20"/>
                <w:szCs w:val="20"/>
                <w:color w:val="auto"/>
              </w:rPr>
            </w:pP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S.S. OR I.R.S. IDENTIFICATION NO. OF ABOVE PERSONS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MM Asset Management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9820" w:type="dxa"/>
            <w:vAlign w:val="bottom"/>
            <w:tcBorders>
              <w:bottom w:val="single" w:sz="8" w:color="auto"/>
              <w:right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8700" w:type="dxa"/>
            <w:vAlign w:val="bottom"/>
            <w:tcBorders>
              <w:right w:val="single" w:sz="8" w:color="auto"/>
            </w:tcBorders>
          </w:tcPr>
          <w:p>
            <w:pPr>
              <w:ind w:left="32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8700" w:type="dxa"/>
            <w:vAlign w:val="bottom"/>
            <w:tcBorders>
              <w:right w:val="single" w:sz="8" w:color="auto"/>
            </w:tcBorders>
          </w:tcPr>
          <w:p>
            <w:pPr>
              <w:ind w:left="3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9820" w:type="dxa"/>
            <w:vAlign w:val="bottom"/>
            <w:tcBorders>
              <w:bottom w:val="single" w:sz="8" w:color="auto"/>
              <w:right w:val="single" w:sz="8" w:color="auto"/>
            </w:tcBorders>
            <w:gridSpan w:val="2"/>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9820" w:type="dxa"/>
            <w:vAlign w:val="bottom"/>
            <w:tcBorders>
              <w:bottom w:val="single" w:sz="8" w:color="auto"/>
              <w:right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Ontario, Canada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spacing w:after="0"/>
              <w:rPr>
                <w:sz w:val="22"/>
                <w:szCs w:val="22"/>
                <w:color w:val="auto"/>
              </w:rPr>
            </w:pPr>
          </w:p>
        </w:tc>
        <w:tc>
          <w:tcPr>
            <w:tcW w:w="11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5</w:t>
            </w:r>
          </w:p>
        </w:tc>
        <w:tc>
          <w:tcPr>
            <w:tcW w:w="8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Borders>
              <w:right w:val="single" w:sz="8" w:color="auto"/>
            </w:tcBorders>
          </w:tcPr>
          <w:p>
            <w:pPr>
              <w:spacing w:after="0"/>
              <w:rPr>
                <w:sz w:val="24"/>
                <w:szCs w:val="24"/>
                <w:color w:val="auto"/>
              </w:rPr>
            </w:pPr>
          </w:p>
        </w:tc>
        <w:tc>
          <w:tcPr>
            <w:tcW w:w="8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420" w:type="dxa"/>
            <w:vAlign w:val="bottom"/>
            <w:tcBorders>
              <w:left w:val="single" w:sz="8" w:color="auto"/>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20" w:type="dxa"/>
            <w:vAlign w:val="bottom"/>
            <w:tcBorders>
              <w:left w:val="single" w:sz="8" w:color="auto"/>
              <w:right w:val="single" w:sz="8" w:color="auto"/>
            </w:tcBorders>
            <w:vMerge w:val="continue"/>
          </w:tcPr>
          <w:p>
            <w:pPr>
              <w:spacing w:after="0"/>
              <w:rPr>
                <w:sz w:val="12"/>
                <w:szCs w:val="12"/>
                <w:color w:val="auto"/>
              </w:rPr>
            </w:pPr>
          </w:p>
        </w:tc>
        <w:tc>
          <w:tcPr>
            <w:tcW w:w="112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w:t>
            </w:r>
          </w:p>
        </w:tc>
        <w:tc>
          <w:tcPr>
            <w:tcW w:w="87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120" w:type="dxa"/>
            <w:vAlign w:val="bottom"/>
            <w:tcBorders>
              <w:right w:val="single" w:sz="8" w:color="auto"/>
            </w:tcBorders>
            <w:vMerge w:val="continue"/>
          </w:tcPr>
          <w:p>
            <w:pPr>
              <w:spacing w:after="0"/>
              <w:rPr>
                <w:sz w:val="9"/>
                <w:szCs w:val="9"/>
                <w:color w:val="auto"/>
              </w:rPr>
            </w:pPr>
          </w:p>
        </w:tc>
        <w:tc>
          <w:tcPr>
            <w:tcW w:w="870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2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87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120" w:type="dxa"/>
            <w:vAlign w:val="bottom"/>
            <w:tcBorders>
              <w:right w:val="single" w:sz="8" w:color="auto"/>
            </w:tcBorders>
          </w:tcPr>
          <w:p>
            <w:pPr>
              <w:spacing w:after="0"/>
              <w:rPr>
                <w:sz w:val="20"/>
                <w:szCs w:val="20"/>
                <w:color w:val="auto"/>
              </w:rPr>
            </w:pPr>
          </w:p>
        </w:tc>
        <w:tc>
          <w:tcPr>
            <w:tcW w:w="8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420" w:type="dxa"/>
            <w:vAlign w:val="bottom"/>
            <w:tcBorders>
              <w:left w:val="single" w:sz="8" w:color="auto"/>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1120" w:type="dxa"/>
            <w:vAlign w:val="bottom"/>
            <w:tcBorders>
              <w:bottom w:val="single" w:sz="8" w:color="auto"/>
              <w:right w:val="single" w:sz="8" w:color="auto"/>
            </w:tcBorders>
          </w:tcPr>
          <w:p>
            <w:pPr>
              <w:spacing w:after="0"/>
              <w:rPr>
                <w:sz w:val="8"/>
                <w:szCs w:val="8"/>
                <w:color w:val="auto"/>
              </w:rPr>
            </w:pPr>
          </w:p>
        </w:tc>
        <w:tc>
          <w:tcPr>
            <w:tcW w:w="870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420" w:type="dxa"/>
            <w:vAlign w:val="bottom"/>
            <w:tcBorders>
              <w:left w:val="single" w:sz="8" w:color="auto"/>
              <w:right w:val="single" w:sz="8" w:color="auto"/>
            </w:tcBorders>
            <w:vMerge w:val="continue"/>
          </w:tcPr>
          <w:p>
            <w:pPr>
              <w:spacing w:after="0"/>
              <w:rPr>
                <w:sz w:val="6"/>
                <w:szCs w:val="6"/>
                <w:color w:val="auto"/>
              </w:rPr>
            </w:pPr>
          </w:p>
        </w:tc>
        <w:tc>
          <w:tcPr>
            <w:tcW w:w="112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w:t>
            </w:r>
          </w:p>
        </w:tc>
        <w:tc>
          <w:tcPr>
            <w:tcW w:w="87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120" w:type="dxa"/>
            <w:vAlign w:val="bottom"/>
            <w:tcBorders>
              <w:right w:val="single" w:sz="8" w:color="auto"/>
            </w:tcBorders>
            <w:vMerge w:val="continue"/>
          </w:tcPr>
          <w:p>
            <w:pPr>
              <w:spacing w:after="0"/>
              <w:rPr>
                <w:sz w:val="18"/>
                <w:szCs w:val="18"/>
                <w:color w:val="auto"/>
              </w:rPr>
            </w:pPr>
          </w:p>
        </w:tc>
        <w:tc>
          <w:tcPr>
            <w:tcW w:w="8700" w:type="dxa"/>
            <w:vAlign w:val="bottom"/>
            <w:tcBorders>
              <w:right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42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PERSON WITH</w:t>
            </w:r>
          </w:p>
        </w:tc>
        <w:tc>
          <w:tcPr>
            <w:tcW w:w="1120" w:type="dxa"/>
            <w:vAlign w:val="bottom"/>
            <w:tcBorders>
              <w:right w:val="single" w:sz="8" w:color="auto"/>
            </w:tcBorders>
          </w:tcPr>
          <w:p>
            <w:pPr>
              <w:spacing w:after="0"/>
              <w:rPr>
                <w:sz w:val="12"/>
                <w:szCs w:val="12"/>
                <w:color w:val="auto"/>
              </w:rPr>
            </w:pPr>
          </w:p>
        </w:tc>
        <w:tc>
          <w:tcPr>
            <w:tcW w:w="870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420" w:type="dxa"/>
            <w:vAlign w:val="bottom"/>
            <w:tcBorders>
              <w:left w:val="single" w:sz="8" w:color="auto"/>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spacing w:after="0"/>
              <w:rPr>
                <w:sz w:val="22"/>
                <w:szCs w:val="22"/>
                <w:color w:val="auto"/>
              </w:rPr>
            </w:pPr>
          </w:p>
        </w:tc>
        <w:tc>
          <w:tcPr>
            <w:tcW w:w="11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8</w:t>
            </w:r>
          </w:p>
        </w:tc>
        <w:tc>
          <w:tcPr>
            <w:tcW w:w="8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8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2,015,000*</w:t>
            </w:r>
          </w:p>
        </w:tc>
        <w:tc>
          <w:tcPr>
            <w:tcW w:w="8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9820" w:type="dxa"/>
            <w:vAlign w:val="bottom"/>
            <w:tcBorders>
              <w:righ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70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Up to 9.99%**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42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w:t>
            </w:r>
          </w:p>
        </w:tc>
        <w:tc>
          <w:tcPr>
            <w:tcW w:w="8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1"/>
        </w:trPr>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0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*SEE INSTRUCTIONS BEFORE FILLING OUT!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420" w:type="dxa"/>
            <w:vAlign w:val="bottom"/>
            <w:tcBorders>
              <w:left w:val="single" w:sz="8" w:color="auto"/>
              <w:right w:val="single" w:sz="8" w:color="auto"/>
            </w:tcBorders>
            <w:shd w:val="clear" w:color="auto" w:fill="000000"/>
          </w:tcPr>
          <w:p>
            <w:pPr>
              <w:spacing w:after="0"/>
              <w:rPr>
                <w:sz w:val="6"/>
                <w:szCs w:val="6"/>
                <w:color w:val="auto"/>
              </w:rPr>
            </w:pPr>
          </w:p>
        </w:tc>
        <w:tc>
          <w:tcPr>
            <w:tcW w:w="1120" w:type="dxa"/>
            <w:vAlign w:val="bottom"/>
            <w:tcBorders>
              <w:right w:val="single" w:sz="8" w:color="auto"/>
            </w:tcBorders>
            <w:shd w:val="clear" w:color="auto" w:fill="000000"/>
          </w:tcPr>
          <w:p>
            <w:pPr>
              <w:spacing w:after="0"/>
              <w:rPr>
                <w:sz w:val="6"/>
                <w:szCs w:val="6"/>
                <w:color w:val="auto"/>
              </w:rPr>
            </w:pPr>
          </w:p>
        </w:tc>
        <w:tc>
          <w:tcPr>
            <w:tcW w:w="870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7" w:right="299" w:bottom="1440" w:gutter="0" w:footer="0" w:header="0"/>
          <w:type w:val="continuous"/>
        </w:sectPr>
      </w:pPr>
    </w:p>
    <w:bookmarkStart w:id="3" w:name="page4"/>
    <w:bookmarkEnd w:id="3"/>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38315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-120650</wp:posOffset>
            </wp:positionV>
            <wp:extent cx="238315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420" w:space="720"/>
            <w:col w:w="3640"/>
          </w:cols>
          <w:pgMar w:left="320" w:top="117" w:right="339" w:bottom="1440" w:gutter="0" w:footer="0" w:header="0"/>
        </w:sectPr>
      </w:pPr>
    </w:p>
    <w:p>
      <w:pPr>
        <w:spacing w:after="0" w:line="37"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Item 1  (a).</w:t>
      </w:r>
      <w:r>
        <w:rPr>
          <w:sz w:val="20"/>
          <w:szCs w:val="20"/>
          <w:color w:val="auto"/>
        </w:rPr>
        <w:tab/>
      </w:r>
      <w:r>
        <w:rPr>
          <w:rFonts w:ascii="Times New Roman" w:cs="Times New Roman" w:eastAsia="Times New Roman" w:hAnsi="Times New Roman"/>
          <w:sz w:val="21"/>
          <w:szCs w:val="21"/>
          <w:b w:val="1"/>
          <w:bCs w:val="1"/>
          <w:color w:val="auto"/>
        </w:rPr>
        <w:t>Name of Issuer: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Ventoux CCM Acquisition Corp.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(b). Address of Issuer's Principal Executive Offices: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East Putnam Avenue, Floor 4, Greenwich, CT 06830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(a).  Name of Person Filing:</w:t>
      </w:r>
    </w:p>
    <w:p>
      <w:pPr>
        <w:spacing w:after="0" w:line="210"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MMCAP International Inc. SPC</w:t>
      </w:r>
    </w:p>
    <w:p>
      <w:pPr>
        <w:spacing w:after="0" w:line="206"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MM Asset Management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(b). Address of Principal Business Office or, if None, Residence:</w:t>
      </w:r>
    </w:p>
    <w:p>
      <w:pPr>
        <w:spacing w:after="0" w:line="210" w:lineRule="exact"/>
        <w:rPr>
          <w:sz w:val="20"/>
          <w:szCs w:val="20"/>
          <w:color w:val="auto"/>
        </w:rPr>
      </w:pPr>
    </w:p>
    <w:p>
      <w:pPr>
        <w:ind w:left="800" w:right="5820" w:hanging="270"/>
        <w:spacing w:after="0" w:line="241" w:lineRule="auto"/>
        <w:tabs>
          <w:tab w:leader="none" w:pos="82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Mourant Governance Services (Cayman) Limited 94 Solaris Avenue</w:t>
      </w:r>
    </w:p>
    <w:p>
      <w:pPr>
        <w:spacing w:after="0" w:line="1" w:lineRule="exact"/>
        <w:rPr>
          <w:rFonts w:ascii="Times New Roman" w:cs="Times New Roman" w:eastAsia="Times New Roman" w:hAnsi="Times New Roman"/>
          <w:sz w:val="22"/>
          <w:szCs w:val="22"/>
          <w:color w:val="auto"/>
        </w:rPr>
      </w:pPr>
    </w:p>
    <w:p>
      <w:pPr>
        <w:ind w:left="8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Camana Bay, P.O. Box 1348</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Grand Cayman, KY1-1108, Cayman Islands</w:t>
      </w:r>
    </w:p>
    <w:p>
      <w:pPr>
        <w:spacing w:after="0" w:line="182" w:lineRule="exact"/>
        <w:rPr>
          <w:rFonts w:ascii="Times New Roman" w:cs="Times New Roman" w:eastAsia="Times New Roman" w:hAnsi="Times New Roman"/>
          <w:sz w:val="22"/>
          <w:szCs w:val="22"/>
          <w:color w:val="auto"/>
        </w:rPr>
      </w:pPr>
    </w:p>
    <w:p>
      <w:pPr>
        <w:ind w:left="840" w:hanging="292"/>
        <w:spacing w:after="0"/>
        <w:tabs>
          <w:tab w:leader="none" w:pos="84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161 Bay Street</w:t>
      </w:r>
    </w:p>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TD Canada Trust Tower Ste 2240</w:t>
      </w:r>
    </w:p>
    <w:p>
      <w:pPr>
        <w:ind w:left="820"/>
        <w:spacing w:after="0"/>
        <w:rPr>
          <w:sz w:val="20"/>
          <w:szCs w:val="20"/>
          <w:color w:val="auto"/>
        </w:rPr>
      </w:pPr>
      <w:r>
        <w:rPr>
          <w:rFonts w:ascii="Times New Roman" w:cs="Times New Roman" w:eastAsia="Times New Roman" w:hAnsi="Times New Roman"/>
          <w:sz w:val="22"/>
          <w:szCs w:val="22"/>
          <w:color w:val="auto"/>
        </w:rPr>
        <w:t>Toronto, ON M5J 2S1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(c).  Citizenship:</w:t>
      </w:r>
    </w:p>
    <w:p>
      <w:pPr>
        <w:spacing w:after="0" w:line="210"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Cayman Islands</w:t>
      </w:r>
    </w:p>
    <w:p>
      <w:pPr>
        <w:spacing w:after="0" w:line="14"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Ontario,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(d). Title of Class of Securities: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(e).  CUSIP Number: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92280L200</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Rules 13d-1(b), or 13d-2(b) or (c), check whether the person filing is a:</w:t>
      </w:r>
    </w:p>
    <w:p>
      <w:pPr>
        <w:spacing w:after="0" w:line="190" w:lineRule="exact"/>
        <w:rPr>
          <w:sz w:val="20"/>
          <w:szCs w:val="20"/>
          <w:color w:val="auto"/>
        </w:rPr>
      </w:pPr>
    </w:p>
    <w:p>
      <w:pPr>
        <w:ind w:left="1340" w:hanging="360"/>
        <w:spacing w:after="0" w:line="253" w:lineRule="exact"/>
        <w:tabs>
          <w:tab w:leader="none" w:pos="1340"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Broker or dealer registered under Section 15 of the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Bank as defined in Section 3(a)(6) of the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Insurance Company as defined in Section 3(a)(19) of the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Company registered under Section 8 of the Investment Company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adviser in accordance with Rule 13d-1(b)(1)(ii)(E);</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Employee benefit plan or endowment plan in accordance with Rule 13d-1(b)(1)(ii)(F);</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Parent holding company or control person, in accordance with Rule 13d-1(b)(1)(ii)(G);</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savings association as defined in Section 3(b) of the Federal Deposit Insurance Act;</w:t>
      </w:r>
    </w:p>
    <w:p>
      <w:pPr>
        <w:spacing w:after="0" w:line="219" w:lineRule="exact"/>
        <w:rPr>
          <w:rFonts w:ascii="Times New Roman" w:cs="Times New Roman" w:eastAsia="Times New Roman" w:hAnsi="Times New Roman"/>
          <w:sz w:val="22"/>
          <w:szCs w:val="22"/>
          <w:color w:val="auto"/>
        </w:rPr>
      </w:pPr>
    </w:p>
    <w:p>
      <w:pPr>
        <w:ind w:left="1800" w:hanging="820"/>
        <w:spacing w:after="0" w:line="280" w:lineRule="exact"/>
        <w:tabs>
          <w:tab w:leader="none" w:pos="1330"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38315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-120650</wp:posOffset>
            </wp:positionV>
            <wp:extent cx="238315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420" w:space="720"/>
            <w:col w:w="3640"/>
          </w:cols>
          <w:pgMar w:left="320" w:top="117" w:right="339" w:bottom="1440" w:gutter="0" w:footer="0" w:header="0"/>
        </w:sectPr>
      </w:pPr>
    </w:p>
    <w:p>
      <w:pPr>
        <w:spacing w:after="0" w:line="20" w:lineRule="exact"/>
        <w:rPr>
          <w:sz w:val="20"/>
          <w:szCs w:val="20"/>
          <w:color w:val="auto"/>
        </w:rPr>
      </w:pPr>
    </w:p>
    <w:p>
      <w:pPr>
        <w:ind w:left="980"/>
        <w:spacing w:after="0" w:line="253" w:lineRule="exact"/>
        <w:tabs>
          <w:tab w:leader="none" w:pos="1840" w:val="left"/>
        </w:tabs>
        <w:rPr>
          <w:sz w:val="20"/>
          <w:szCs w:val="20"/>
          <w:color w:val="auto"/>
        </w:rPr>
      </w:pPr>
      <w:r>
        <w:rPr>
          <w:rFonts w:ascii="Times New Roman" w:cs="Times New Roman" w:eastAsia="Times New Roman" w:hAnsi="Times New Roman"/>
          <w:sz w:val="22"/>
          <w:szCs w:val="22"/>
          <w:color w:val="auto"/>
        </w:rPr>
        <w:t xml:space="preserve">(j)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Group, in accordance with Rule 13d-1(b)(1)(ii)(j).</w:t>
      </w:r>
    </w:p>
    <w:p>
      <w:pPr>
        <w:spacing w:after="0" w:line="254" w:lineRule="exact"/>
        <w:rPr>
          <w:sz w:val="20"/>
          <w:szCs w:val="20"/>
          <w:color w:val="auto"/>
        </w:rPr>
      </w:pPr>
    </w:p>
    <w:p>
      <w:pPr>
        <w:ind w:left="1820" w:hanging="516"/>
        <w:spacing w:after="0"/>
        <w:tabs>
          <w:tab w:leader="none" w:pos="1820" w:val="left"/>
        </w:tabs>
        <w:numPr>
          <w:ilvl w:val="0"/>
          <w:numId w:val="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If this statement is filed pursuant to Rule 13d-1(c), check this box.</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10"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identified in Item 1.</w:t>
      </w:r>
    </w:p>
    <w:p>
      <w:pPr>
        <w:spacing w:after="0" w:line="154" w:lineRule="exact"/>
        <w:rPr>
          <w:sz w:val="20"/>
          <w:szCs w:val="20"/>
          <w:color w:val="auto"/>
        </w:rPr>
      </w:pPr>
    </w:p>
    <w:p>
      <w:pPr>
        <w:ind w:left="1340" w:hanging="360"/>
        <w:spacing w:after="0"/>
        <w:tabs>
          <w:tab w:leader="none" w:pos="13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 beneficially owned: </w:t>
      </w:r>
      <w:r>
        <w:rPr>
          <w:rFonts w:ascii="Times New Roman" w:cs="Times New Roman" w:eastAsia="Times New Roman" w:hAnsi="Times New Roman"/>
          <w:sz w:val="22"/>
          <w:szCs w:val="22"/>
          <w:b w:val="1"/>
          <w:bCs w:val="1"/>
          <w:color w:val="auto"/>
        </w:rPr>
        <w:t>2,015,000*</w:t>
      </w:r>
    </w:p>
    <w:p>
      <w:pPr>
        <w:spacing w:after="0" w:line="206"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Percent of class: </w:t>
      </w:r>
      <w:r>
        <w:rPr>
          <w:rFonts w:ascii="Times New Roman" w:cs="Times New Roman" w:eastAsia="Times New Roman" w:hAnsi="Times New Roman"/>
          <w:sz w:val="22"/>
          <w:szCs w:val="22"/>
          <w:b w:val="1"/>
          <w:bCs w:val="1"/>
          <w:color w:val="auto"/>
        </w:rPr>
        <w:t>Up to 9.99%**</w:t>
      </w:r>
    </w:p>
    <w:p>
      <w:pPr>
        <w:spacing w:after="0" w:line="210"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202" w:lineRule="exact"/>
        <w:rPr>
          <w:rFonts w:ascii="Times New Roman" w:cs="Times New Roman" w:eastAsia="Times New Roman" w:hAnsi="Times New Roman"/>
          <w:sz w:val="22"/>
          <w:szCs w:val="22"/>
          <w:color w:val="auto"/>
        </w:rPr>
      </w:pPr>
    </w:p>
    <w:p>
      <w:pPr>
        <w:ind w:left="1980" w:hanging="441"/>
        <w:spacing w:after="0"/>
        <w:tabs>
          <w:tab w:leader="none" w:pos="1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 power to vote or to direct the vote: </w:t>
      </w:r>
      <w:r>
        <w:rPr>
          <w:rFonts w:ascii="Times New Roman" w:cs="Times New Roman" w:eastAsia="Times New Roman" w:hAnsi="Times New Roman"/>
          <w:sz w:val="22"/>
          <w:szCs w:val="22"/>
          <w:b w:val="1"/>
          <w:bCs w:val="1"/>
          <w:color w:val="auto"/>
        </w:rPr>
        <w:t>0</w:t>
      </w:r>
    </w:p>
    <w:p>
      <w:pPr>
        <w:spacing w:after="0" w:line="206" w:lineRule="exact"/>
        <w:rPr>
          <w:sz w:val="20"/>
          <w:szCs w:val="20"/>
          <w:color w:val="auto"/>
        </w:rPr>
      </w:pPr>
    </w:p>
    <w:p>
      <w:pPr>
        <w:ind w:left="2000" w:hanging="511"/>
        <w:spacing w:after="0"/>
        <w:tabs>
          <w:tab w:leader="none" w:pos="20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Shared power to vote or to direct the vote: </w:t>
      </w:r>
      <w:r>
        <w:rPr>
          <w:rFonts w:ascii="Times New Roman" w:cs="Times New Roman" w:eastAsia="Times New Roman" w:hAnsi="Times New Roman"/>
          <w:sz w:val="22"/>
          <w:szCs w:val="22"/>
          <w:b w:val="1"/>
          <w:bCs w:val="1"/>
          <w:color w:val="auto"/>
        </w:rPr>
        <w:t>2,015,000 *</w:t>
      </w:r>
    </w:p>
    <w:p>
      <w:pPr>
        <w:spacing w:after="0" w:line="206" w:lineRule="exact"/>
        <w:rPr>
          <w:rFonts w:ascii="Times New Roman" w:cs="Times New Roman" w:eastAsia="Times New Roman" w:hAnsi="Times New Roman"/>
          <w:sz w:val="22"/>
          <w:szCs w:val="22"/>
          <w:color w:val="auto"/>
        </w:rPr>
      </w:pPr>
    </w:p>
    <w:p>
      <w:pPr>
        <w:ind w:left="2000" w:hanging="561"/>
        <w:spacing w:after="0"/>
        <w:tabs>
          <w:tab w:leader="none" w:pos="20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 power to dispose or to direct the disposition of: </w:t>
      </w:r>
      <w:r>
        <w:rPr>
          <w:rFonts w:ascii="Times New Roman" w:cs="Times New Roman" w:eastAsia="Times New Roman" w:hAnsi="Times New Roman"/>
          <w:sz w:val="22"/>
          <w:szCs w:val="22"/>
          <w:b w:val="1"/>
          <w:bCs w:val="1"/>
          <w:color w:val="auto"/>
        </w:rPr>
        <w:t>0</w:t>
      </w:r>
    </w:p>
    <w:p>
      <w:pPr>
        <w:spacing w:after="0" w:line="206" w:lineRule="exact"/>
        <w:rPr>
          <w:rFonts w:ascii="Times New Roman" w:cs="Times New Roman" w:eastAsia="Times New Roman" w:hAnsi="Times New Roman"/>
          <w:sz w:val="22"/>
          <w:szCs w:val="22"/>
          <w:color w:val="auto"/>
        </w:rPr>
      </w:pPr>
    </w:p>
    <w:p>
      <w:pPr>
        <w:ind w:left="2000" w:hanging="551"/>
        <w:spacing w:after="0"/>
        <w:tabs>
          <w:tab w:leader="none" w:pos="20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Shared power to dispose or to direct the disposition of: </w:t>
      </w:r>
      <w:r>
        <w:rPr>
          <w:rFonts w:ascii="Times New Roman" w:cs="Times New Roman" w:eastAsia="Times New Roman" w:hAnsi="Times New Roman"/>
          <w:sz w:val="22"/>
          <w:szCs w:val="22"/>
          <w:b w:val="1"/>
          <w:bCs w:val="1"/>
          <w:color w:val="auto"/>
        </w:rPr>
        <w:t>2,015,500*</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b w:val="1"/>
          <w:bCs w:val="1"/>
          <w:color w:val="auto"/>
        </w:rPr>
        <w:t>*Consists of 1,300,000 units, convertible into i) 1,300,00 Shares; ii) warrants exercisable for 650,000 Shares; and iii) rights exchangeable for 65,000 Shares.</w:t>
      </w:r>
    </w:p>
    <w:p>
      <w:pPr>
        <w:spacing w:after="0" w:line="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1"/>
          <w:szCs w:val="21"/>
          <w:b w:val="1"/>
          <w:bCs w:val="1"/>
          <w:color w:val="auto"/>
        </w:rPr>
        <w:t>**The percentages used herein are calculated based on 19,312,500 outstanding Shares of the Issuer as of December 30, 2020, as reported on the Issuer's 8-K filed with the Securities and Exchange Commission on December 30, 2020. The warrants are not exercisable if, as a result of the exercise, the holder would then become a "ten percent beneficial owner" of the Issuer's common stock, as defined in Rule 16a-2 under the Securities and 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Instruction. </w:t>
      </w:r>
      <w:r>
        <w:rPr>
          <w:rFonts w:ascii="Times New Roman" w:cs="Times New Roman" w:eastAsia="Times New Roman" w:hAnsi="Times New Roman"/>
          <w:sz w:val="22"/>
          <w:szCs w:val="22"/>
          <w:color w:val="auto"/>
        </w:rPr>
        <w:t>For computations regarding securities which represent a right to acquire an underlying security, see Rule 13d-3(d)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17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210"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22"/>
          <w:szCs w:val="22"/>
          <w:color w:val="auto"/>
        </w:rPr>
        <w:t>If the statement is being filed to report the fact that as of the date hereof the reporting person has ceased to be the beneficial owner of more than five percent of the class of securities, check the following [ ].</w:t>
      </w:r>
    </w:p>
    <w:p>
      <w:pPr>
        <w:spacing w:after="0" w:line="15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2" w:lineRule="exact"/>
        <w:rPr>
          <w:sz w:val="20"/>
          <w:szCs w:val="20"/>
          <w:color w:val="auto"/>
        </w:rPr>
      </w:pPr>
    </w:p>
    <w:p>
      <w:pPr>
        <w:ind w:left="980" w:hanging="971"/>
        <w:spacing w:after="0" w:line="262"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1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38315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-120650</wp:posOffset>
            </wp:positionV>
            <wp:extent cx="238315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420" w:space="720"/>
            <w:col w:w="3640"/>
          </w:cols>
          <w:pgMar w:left="320" w:top="117" w:right="339" w:bottom="1440" w:gutter="0" w:footer="0" w:header="0"/>
        </w:sectPr>
      </w:pPr>
    </w:p>
    <w:p>
      <w:pPr>
        <w:spacing w:after="0" w:line="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Item 10. Certification. </w:t>
      </w:r>
      <w:r>
        <w:rPr>
          <w:rFonts w:ascii="Times New Roman" w:cs="Times New Roman" w:eastAsia="Times New Roman" w:hAnsi="Times New Roman"/>
          <w:sz w:val="22"/>
          <w:szCs w:val="22"/>
          <w:color w:val="auto"/>
        </w:rPr>
        <w:t>By signing below I certify that, to the best of my knowledge and belief, the securities referred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February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MMCAP International Inc. SPC</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Matthew MacIsaac</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Matthew MacIsaac, Director</w:t>
      </w:r>
    </w:p>
    <w:p>
      <w:pPr>
        <w:spacing w:after="0" w:line="200" w:lineRule="exact"/>
        <w:rPr>
          <w:sz w:val="20"/>
          <w:szCs w:val="20"/>
          <w:color w:val="auto"/>
        </w:rPr>
      </w:pPr>
    </w:p>
    <w:p>
      <w:pPr>
        <w:spacing w:after="0" w:line="22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February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MM Asset Management Inc.</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Hillel Meltz</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Hillel Meltz,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1)"/>
      <w:numFmt w:val="lowerRoman"/>
      <w:start w:val="1"/>
    </w:lvl>
    <w:lvl w:ilvl="1">
      <w:lvlJc w:val="left"/>
      <w:lvlText w:val="%2)"/>
      <w:numFmt w:val="lowerRoman"/>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lvl w:ilvl="1">
      <w:lvlJc w:val="left"/>
      <w:lvlText w:val="(%2)"/>
      <w:numFmt w:val="lowerLetter"/>
      <w:start w:val="9"/>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2021-02-10T16:06:29Z</dcterms:created>
  <dcterms:modified xsi:type="dcterms:W3CDTF">2021-02-10T16:06:29Z</dcterms:modified>
</cp:coreProperties>
</file>