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15,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001-39830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84-2968594</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gridSpan w:val="3"/>
          </w:tcPr>
          <w:p>
            <w:pPr>
              <w:jc w:val="center"/>
              <w:ind w:right="4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280" w:type="dxa"/>
            <w:vAlign w:val="bottom"/>
            <w:gridSpan w:val="4"/>
          </w:tcPr>
          <w:p>
            <w:pPr>
              <w:jc w:val="center"/>
              <w:ind w:right="660"/>
              <w:spacing w:after="0"/>
              <w:rPr>
                <w:sz w:val="20"/>
                <w:szCs w:val="20"/>
                <w:color w:val="auto"/>
              </w:rPr>
            </w:pPr>
            <w:r>
              <w:rPr>
                <w:rFonts w:ascii="Arial" w:cs="Arial" w:eastAsia="Arial" w:hAnsi="Arial"/>
                <w:sz w:val="18"/>
                <w:szCs w:val="18"/>
                <w:color w:val="auto"/>
                <w:w w:val="93"/>
              </w:rPr>
              <w:t>of incorporation)</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985 Industrial Road</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San Carlos, CA 94070</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0"/>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32"/>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Not Applicable</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2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2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1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PRST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4280" w:type="dxa"/>
            <w:vAlign w:val="bottom"/>
            <w:gridSpan w:val="4"/>
          </w:tcPr>
          <w:p>
            <w:pPr>
              <w:jc w:val="center"/>
              <w:ind w:right="100"/>
              <w:spacing w:after="0" w:line="201" w:lineRule="exact"/>
              <w:rPr>
                <w:sz w:val="20"/>
                <w:szCs w:val="20"/>
                <w:color w:val="auto"/>
              </w:rPr>
            </w:pPr>
            <w:r>
              <w:rPr>
                <w:rFonts w:ascii="Arial" w:cs="Arial" w:eastAsia="Arial" w:hAnsi="Arial"/>
                <w:sz w:val="18"/>
                <w:szCs w:val="18"/>
                <w:color w:val="auto"/>
                <w:w w:val="89"/>
              </w:rPr>
              <w:t>Warrants, each whole warrant exercisable for one share</w:t>
            </w:r>
          </w:p>
        </w:tc>
        <w:tc>
          <w:tcPr>
            <w:tcW w:w="316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2"/>
              </w:rPr>
              <w:t>PRSTW</w:t>
            </w:r>
          </w:p>
        </w:tc>
        <w:tc>
          <w:tcPr>
            <w:tcW w:w="200" w:type="dxa"/>
            <w:vAlign w:val="bottom"/>
          </w:tcPr>
          <w:p>
            <w:pPr>
              <w:spacing w:after="0"/>
              <w:rPr>
                <w:sz w:val="17"/>
                <w:szCs w:val="17"/>
                <w:color w:val="auto"/>
              </w:rPr>
            </w:pPr>
          </w:p>
        </w:tc>
        <w:tc>
          <w:tcPr>
            <w:tcW w:w="360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28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of common stock</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Current Report on Form 8-K/A (this “Amendment”) amends the Current Report on Form 8-K furnished to the Securities and Exchange Commission on November 15, 2022 (the “Original Form 8-K”) by Presto Automation Inc. (the “Company”). The purpose of this Amendment is to correct certain information presented in the financial tables contained in the Company’s press release dated November 15, 2022, furnished as Exhibit 99.1 to the Original Form 8-K (the “Original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discovered that the calculation of stock-based compensation expense for the three months ended September 30, 2022 associated with earnout shares allocable to the persons that were equityholders of the Company prior to its previously announced business combination was incorrect as reported in the Original Press Release. The Company has made an adjustment to such expense by revising the expense of $6,250 thousand, as presented in the Original Press Release, to $178 thousand, reflected in the tables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9"/>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83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Platform</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4,820</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340"/>
              <w:spacing w:after="0"/>
              <w:rPr>
                <w:sz w:val="20"/>
                <w:szCs w:val="20"/>
                <w:color w:val="auto"/>
              </w:rPr>
            </w:pPr>
            <w:r>
              <w:rPr>
                <w:rFonts w:ascii="Arial" w:cs="Arial" w:eastAsia="Arial" w:hAnsi="Arial"/>
                <w:sz w:val="18"/>
                <w:szCs w:val="18"/>
                <w:color w:val="auto"/>
              </w:rPr>
              <w:t>Transaction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2,959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Platform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4,292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340"/>
              <w:spacing w:after="0"/>
              <w:rPr>
                <w:sz w:val="20"/>
                <w:szCs w:val="20"/>
                <w:color w:val="auto"/>
              </w:rPr>
            </w:pPr>
            <w:r>
              <w:rPr>
                <w:rFonts w:ascii="Arial" w:cs="Arial" w:eastAsia="Arial" w:hAnsi="Arial"/>
                <w:sz w:val="18"/>
                <w:szCs w:val="18"/>
                <w:color w:val="auto"/>
              </w:rPr>
              <w:t>Depreciation and impairment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80"/>
              <w:spacing w:after="0" w:line="203"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3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6,388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8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5,924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180"/>
              <w:spacing w:after="0"/>
              <w:rPr>
                <w:sz w:val="20"/>
                <w:szCs w:val="20"/>
                <w:color w:val="auto"/>
              </w:rPr>
            </w:pPr>
            <w:r>
              <w:rPr>
                <w:rFonts w:ascii="Arial" w:cs="Arial" w:eastAsia="Arial" w:hAnsi="Arial"/>
                <w:sz w:val="18"/>
                <w:szCs w:val="18"/>
                <w:color w:val="auto"/>
              </w:rPr>
              <w:t>Loss on infrequent product repairs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(14,159)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(7,177)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59,822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(13,574)</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48,948</w:t>
            </w:r>
          </w:p>
        </w:tc>
        <w:tc>
          <w:tcPr>
            <w:tcW w:w="8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3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34,789</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(loss) per share attributable to common stockholders, basic</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attributable to common stockholders, diluted</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in computing net income (loss) per share attributable to common stockholders, basic</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29,521,505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27,137,792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Weighted-average shares used in computing net income (loss) per share attributable to common stockholders, diluted</w:t>
            </w:r>
          </w:p>
        </w:tc>
        <w:tc>
          <w:tcPr>
            <w:tcW w:w="1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40,366,902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27,137,792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 Includes stock-based compensation expense as follows (in thousands)</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8380" w:type="dxa"/>
            <w:vAlign w:val="bottom"/>
          </w:tcPr>
          <w:p>
            <w:pPr>
              <w:spacing w:after="0"/>
              <w:rPr>
                <w:sz w:val="24"/>
                <w:szCs w:val="24"/>
                <w:color w:val="auto"/>
              </w:rPr>
            </w:pPr>
          </w:p>
        </w:tc>
        <w:tc>
          <w:tcPr>
            <w:tcW w:w="2860" w:type="dxa"/>
            <w:vAlign w:val="bottom"/>
            <w:gridSpan w:val="11"/>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three months ended September 30, 2022, such amount reflects $178 of stock compensation expense related to earn out shares attributable to option and RSU 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0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4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8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$126 and $353 as of September 30, 2022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June 30, 2022, respectively</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costs, 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69,459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30,536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7,282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obligations, current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Term loans, 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 noncurrent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49,424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Preferred stock, $0.0001 par value–1,500,000 shares authorized as of</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2"/>
              </w:rPr>
              <w:t>September 30, 2022 and June 30, 2022, respectively; no shares issued and outstanding as of September 30, 2022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June 30, 2022, respectively</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value–180,000,000 shares authorized as of September 30, 2022 and June 30, 2022,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respectively; 50,639,837 and 27,574,417 shares issued and outstanding as of September 30, 2022 and June 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respectively</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167,156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78,321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(165,994)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(122,459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30,536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34,789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share 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expense attributable to fair value liabilities assumed in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(11,551)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(48,271)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7,758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Paid-in-kind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and warrant cost on termination of convertible note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unvested founder shares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Vendor financing facility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904" w:right="339" w:bottom="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Payments relating to capitalized software</w:t>
      </w:r>
    </w:p>
    <w:p>
      <w:pPr>
        <w:spacing w:after="0" w:line="41"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560" w:hanging="1331"/>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(76)</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(1,327)</w:t>
      </w:r>
      <w:r>
        <w:rPr>
          <w:rFonts w:ascii="Arial" w:cs="Arial" w:eastAsia="Arial" w:hAnsi="Arial"/>
          <w:sz w:val="17"/>
          <w:szCs w:val="17"/>
          <w:color w:val="auto"/>
        </w:rPr>
        <w:t>(373)</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(1,374)</w:t>
      </w:r>
      <w:r>
        <w:rPr>
          <w:rFonts w:ascii="Arial" w:cs="Arial" w:eastAsia="Arial" w:hAnsi="Arial"/>
          <w:sz w:val="17"/>
          <w:szCs w:val="17"/>
          <w:color w:val="auto"/>
        </w:rPr>
        <w:t>(449)</w:t>
      </w:r>
    </w:p>
    <w:p>
      <w:pPr>
        <w:spacing w:after="0" w:line="36" w:lineRule="exact"/>
        <w:rPr>
          <w:sz w:val="20"/>
          <w:szCs w:val="20"/>
          <w:color w:val="auto"/>
        </w:rPr>
      </w:pPr>
    </w:p>
    <w:p>
      <w:pPr>
        <w:sectPr>
          <w:pgSz w:w="11900" w:h="16838" w:orient="portrait"/>
          <w:cols w:equalWidth="0" w:num="2">
            <w:col w:w="8620" w:space="720"/>
            <w:col w:w="1900"/>
          </w:cols>
          <w:pgMar w:left="320" w:top="904" w:right="339" w:bottom="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term loans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penalties and other costs on extinguishment of debt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promissory notes and embedded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Merger and PIPE financing, net of transaction costs and other payments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88" w:lineRule="exact"/>
        <w:rPr>
          <w:sz w:val="20"/>
          <w:szCs w:val="20"/>
          <w:color w:val="auto"/>
        </w:rPr>
      </w:pPr>
    </w:p>
    <w:p>
      <w:pPr>
        <w:sectPr>
          <w:pgSz w:w="11900" w:h="16838" w:orient="portrait"/>
          <w:cols w:equalWidth="0" w:num="1">
            <w:col w:w="11240"/>
          </w:cols>
          <w:pgMar w:left="320" w:top="904" w:right="339" w:bottom="0" w:gutter="0" w:footer="0" w:header="0"/>
          <w:type w:val="continuous"/>
        </w:sect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56,232</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(15,530)</w:t>
            </w:r>
          </w:p>
        </w:tc>
      </w:tr>
      <w:tr>
        <w:trPr>
          <w:trHeight w:val="230"/>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36,909</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59,249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21,379</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4" w:right="339"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Capitalization of stock-based compensation expense to capitalized software</w:t>
            </w:r>
          </w:p>
        </w:tc>
        <w:tc>
          <w:tcPr>
            <w:tcW w:w="1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shareholder in conjunction with Credit Agreement</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Issuance of warrants in conjunction with Credit Agreement</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2,076</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in conjunction with Lago Term Loan</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Convertible note conversion to common stock</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41,392</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warrants from liabilities to equity</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Recognition of liability classified warrants upon Merger</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9,388</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Unvested Founder Shares liability</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Forgiveness of PPP Loan</w:t>
            </w:r>
          </w:p>
        </w:tc>
        <w:tc>
          <w:tcPr>
            <w:tcW w:w="1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recorded in accounts payable and accrued liabilities</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Right of use asset in exchange for operating lease liability</w:t>
            </w:r>
          </w:p>
        </w:tc>
        <w:tc>
          <w:tcPr>
            <w:tcW w:w="19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904" w:right="3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44450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5"/>
          </w:tcPr>
          <w:p>
            <w:pPr>
              <w:ind w:left="660"/>
              <w:spacing w:after="0"/>
              <w:rPr>
                <w:sz w:val="20"/>
                <w:szCs w:val="20"/>
                <w:color w:val="auto"/>
              </w:rPr>
            </w:pPr>
            <w:r>
              <w:rPr>
                <w:rFonts w:ascii="Arial" w:cs="Arial" w:eastAsia="Arial" w:hAnsi="Arial"/>
                <w:sz w:val="18"/>
                <w:szCs w:val="18"/>
                <w:color w:val="auto"/>
                <w:w w:val="98"/>
              </w:rPr>
              <w:t>The following table provides a reconciliation of net income (loss) to Adjusted EBITDA for each of the periods presented: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2,175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Earnout 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(59,822)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13,574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7,758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relations fee due upon closing of the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435</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repair expense related to COVID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is being furnished solely to make the above corrections. All other information included in the Original Form 8-K is unchanged.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16"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2022-11-21T05:20:06Z</dcterms:created>
  <dcterms:modified xsi:type="dcterms:W3CDTF">2022-11-21T05:20:06Z</dcterms:modified>
</cp:coreProperties>
</file>