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0"/>
        <w:spacing w:after="0"/>
        <w:rPr>
          <w:sz w:val="20"/>
          <w:szCs w:val="20"/>
          <w:color w:val="auto"/>
        </w:rPr>
      </w:pPr>
      <w:r>
        <w:rPr>
          <w:rFonts w:ascii="Times New Roman" w:cs="Times New Roman" w:eastAsia="Times New Roman" w:hAnsi="Times New Roman"/>
          <w:sz w:val="18"/>
          <w:szCs w:val="18"/>
          <w:b w:val="1"/>
          <w:bCs w:val="1"/>
          <w:color w:val="auto"/>
        </w:rPr>
        <w:t>Confidentially submitted to the U.S. Securities and Exchange Commission on September 29, 2020</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draft registration statement has not been publicly filed with the 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all information herein remains strictly confidential.</w:t>
      </w:r>
    </w:p>
    <w:p>
      <w:pPr>
        <w:spacing w:after="0" w:line="14"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Registration No. 333-</w:t>
      </w:r>
      <w:r>
        <w:rPr>
          <w:rFonts w:ascii="Times New Roman" w:cs="Times New Roman" w:eastAsia="Times New Roman" w:hAnsi="Times New Roman"/>
          <w:sz w:val="18"/>
          <w:szCs w:val="18"/>
          <w:color w:val="auto"/>
        </w:rPr>
        <w:t>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ON FORM S-1/A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84-2968594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Scheetz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Mitchell S. Nussbaum</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Alan I. Annex</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Giovanni Caruso</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Philip R. Weingold</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Jason T. Simon</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Greenberg Traurig, LLP</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 10154</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200 Park Avenue</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7"/>
              </w:rPr>
              <w:t>New York, New York 10166</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407-4990 — Facsimile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801-8200</w:t>
            </w:r>
          </w:p>
        </w:tc>
      </w:tr>
      <w:tr>
        <w:trPr>
          <w:trHeight w:val="238"/>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_____________________</w:t>
            </w:r>
          </w:p>
        </w:tc>
      </w:tr>
    </w:tbl>
    <w:p>
      <w:pPr>
        <w:spacing w:after="0" w:line="133" w:lineRule="exact"/>
        <w:rPr>
          <w:sz w:val="24"/>
          <w:szCs w:val="24"/>
          <w:color w:val="auto"/>
        </w:rPr>
      </w:pPr>
    </w:p>
    <w:p>
      <w:pPr>
        <w:jc w:val="both"/>
        <w:ind w:left="460" w:right="479" w:firstLine="432"/>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offering.</w:t>
      </w:r>
    </w:p>
    <w:p>
      <w:pPr>
        <w:spacing w:after="0" w:line="13" w:lineRule="exact"/>
        <w:rPr>
          <w:sz w:val="24"/>
          <w:szCs w:val="24"/>
          <w:color w:val="auto"/>
        </w:rPr>
      </w:pPr>
    </w:p>
    <w:p>
      <w:pPr>
        <w:jc w:val="both"/>
        <w:ind w:left="460" w:right="479" w:firstLine="432"/>
        <w:spacing w:after="0" w:line="302"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6"/>
          <w:szCs w:val="16"/>
          <w:color w:val="auto"/>
        </w:rPr>
        <w:t>£</w:t>
      </w:r>
    </w:p>
    <w:p>
      <w:pPr>
        <w:spacing w:after="0" w:line="22"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3" w:lineRule="exact"/>
        <w:rPr>
          <w:sz w:val="24"/>
          <w:szCs w:val="24"/>
          <w:color w:val="auto"/>
        </w:rPr>
      </w:pPr>
    </w:p>
    <w:p>
      <w:pPr>
        <w:jc w:val="both"/>
        <w:ind w:left="460" w:right="45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3"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37"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92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4"/>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25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9"/>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Price</w:t>
            </w:r>
            <w:r>
              <w:rPr>
                <w:rFonts w:ascii="Times New Roman" w:cs="Times New Roman" w:eastAsia="Times New Roman" w:hAnsi="Times New Roman"/>
                <w:sz w:val="9"/>
                <w:szCs w:val="9"/>
                <w:b w:val="1"/>
                <w:bCs w:val="1"/>
                <w:color w:val="auto"/>
                <w:w w:val="88"/>
              </w:rPr>
              <w:t>(1)(2)</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$0.0001 par value and one warrant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entitling the holder to purchase one-half of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common stock</w:t>
            </w:r>
            <w:r>
              <w:rPr>
                <w:rFonts w:ascii="Times New Roman" w:cs="Times New Roman" w:eastAsia="Times New Roman" w:hAnsi="Times New Roman"/>
                <w:sz w:val="20"/>
                <w:szCs w:val="20"/>
                <w:color w:val="auto"/>
                <w:vertAlign w:val="superscript"/>
              </w:rPr>
              <w:t>(2)</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22,390.50</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as part of the units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5" w:lineRule="exact"/>
              <w:rPr>
                <w:sz w:val="20"/>
                <w:szCs w:val="20"/>
                <w:color w:val="auto"/>
              </w:rPr>
            </w:pPr>
            <w:r>
              <w:rPr>
                <w:rFonts w:ascii="Times New Roman" w:cs="Times New Roman" w:eastAsia="Times New Roman" w:hAnsi="Times New Roman"/>
                <w:sz w:val="31"/>
                <w:szCs w:val="31"/>
                <w:color w:val="auto"/>
                <w:w w:val="98"/>
                <w:vertAlign w:val="subscript"/>
              </w:rPr>
              <w:t>—</w:t>
            </w:r>
            <w:r>
              <w:rPr>
                <w:rFonts w:ascii="Times New Roman" w:cs="Times New Roman" w:eastAsia="Times New Roman" w:hAnsi="Times New Roman"/>
                <w:sz w:val="10"/>
                <w:szCs w:val="10"/>
                <w:color w:val="auto"/>
                <w:w w:val="98"/>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included as part of the units</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Times New Roman" w:cs="Times New Roman" w:eastAsia="Times New Roman" w:hAnsi="Times New Roman"/>
                <w:sz w:val="32"/>
                <w:szCs w:val="32"/>
                <w:color w:val="auto"/>
                <w:w w:val="96"/>
                <w:vertAlign w:val="subscript"/>
              </w:rPr>
              <w:t>—</w:t>
            </w:r>
            <w:r>
              <w:rPr>
                <w:rFonts w:ascii="Times New Roman" w:cs="Times New Roman" w:eastAsia="Times New Roman" w:hAnsi="Times New Roman"/>
                <w:sz w:val="10"/>
                <w:szCs w:val="10"/>
                <w:color w:val="auto"/>
                <w:w w:val="96"/>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w:t>
      </w:r>
    </w:p>
    <w:p>
      <w:pPr>
        <w:jc w:val="both"/>
        <w:ind w:left="880" w:right="459" w:hanging="426"/>
        <w:spacing w:after="0" w:line="264" w:lineRule="auto"/>
        <w:tabs>
          <w:tab w:leader="none" w:pos="104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pursuant to Rule 457(g).</w:t>
      </w:r>
    </w:p>
    <w:p>
      <w:pPr>
        <w:spacing w:after="0" w:line="15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350520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59"/>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60" w:lineRule="exact"/>
        <w:rPr>
          <w:sz w:val="20"/>
          <w:szCs w:val="20"/>
          <w:color w:val="auto"/>
        </w:rPr>
      </w:pPr>
    </w:p>
    <w:p>
      <w:pPr>
        <w:ind w:left="46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 xml:space="preserve">SUBJECT TO COMPLETION, DATED </w:t>
      </w:r>
      <w:r>
        <w:rPr>
          <w:rFonts w:ascii="Times New Roman" w:cs="Times New Roman" w:eastAsia="Times New Roman" w:hAnsi="Times New Roman"/>
          <w:sz w:val="17"/>
          <w:szCs w:val="17"/>
          <w:color w:val="D2232A"/>
        </w:rPr>
        <w:t>_______</w:t>
      </w:r>
      <w:r>
        <w:rPr>
          <w:rFonts w:ascii="Times New Roman" w:cs="Times New Roman" w:eastAsia="Times New Roman" w:hAnsi="Times New Roman"/>
          <w:sz w:val="17"/>
          <w:szCs w:val="17"/>
          <w:b w:val="1"/>
          <w:bCs w:val="1"/>
          <w:color w:val="D2232A"/>
        </w:rPr>
        <w:t>, 2020</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47" w:lineRule="exact"/>
        <w:rPr>
          <w:sz w:val="20"/>
          <w:szCs w:val="20"/>
          <w:color w:val="auto"/>
        </w:rPr>
      </w:pPr>
    </w:p>
    <w:p>
      <w:pPr>
        <w:jc w:val="both"/>
        <w:ind w:left="460" w:right="459" w:firstLine="432"/>
        <w:spacing w:after="0" w:line="226" w:lineRule="auto"/>
        <w:rPr>
          <w:sz w:val="20"/>
          <w:szCs w:val="20"/>
          <w:color w:val="auto"/>
        </w:rPr>
      </w:pPr>
      <w:r>
        <w:rPr>
          <w:rFonts w:ascii="Times New Roman" w:cs="Times New Roman" w:eastAsia="Times New Roman" w:hAnsi="Times New Roman"/>
          <w:sz w:val="14"/>
          <w:szCs w:val="14"/>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5" w:lineRule="exact"/>
        <w:rPr>
          <w:sz w:val="20"/>
          <w:szCs w:val="20"/>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4"/>
          <w:szCs w:val="14"/>
          <w:color w:val="auto"/>
        </w:rPr>
        <w:t>This is an initial public offering of our securities. We are offering 15,000,000 units at an offering price of $10.00 per unit. Each unit consists of one share of common stock, par value $0.0001, and one warrant, which we refer to throughout this prospectus as “warrants” or the “public warrants.” Each warrant entitles the holder thereof to purchase one-half of one share of common stock at a price of $11.50 per whole share, subject to adjustment as described in the prospectus. We will not issue fractional shares.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1" w:lineRule="exact"/>
        <w:rPr>
          <w:sz w:val="20"/>
          <w:szCs w:val="20"/>
          <w:color w:val="auto"/>
        </w:rPr>
      </w:pPr>
    </w:p>
    <w:p>
      <w:pPr>
        <w:jc w:val="both"/>
        <w:ind w:left="460" w:right="479" w:firstLine="432"/>
        <w:spacing w:after="0" w:line="233" w:lineRule="auto"/>
        <w:rPr>
          <w:sz w:val="20"/>
          <w:szCs w:val="20"/>
          <w:color w:val="auto"/>
        </w:rPr>
      </w:pPr>
      <w:r>
        <w:rPr>
          <w:rFonts w:ascii="Times New Roman" w:cs="Times New Roman" w:eastAsia="Times New Roman" w:hAnsi="Times New Roman"/>
          <w:sz w:val="14"/>
          <w:szCs w:val="14"/>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25" w:lineRule="auto"/>
        <w:rPr>
          <w:sz w:val="20"/>
          <w:szCs w:val="20"/>
          <w:color w:val="auto"/>
        </w:rPr>
      </w:pPr>
      <w:r>
        <w:rPr>
          <w:rFonts w:ascii="Times New Roman" w:cs="Times New Roman" w:eastAsia="Times New Roman" w:hAnsi="Times New Roman"/>
          <w:sz w:val="14"/>
          <w:szCs w:val="14"/>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 w:lineRule="exact"/>
        <w:rPr>
          <w:sz w:val="20"/>
          <w:szCs w:val="20"/>
          <w:color w:val="auto"/>
        </w:rPr>
      </w:pPr>
    </w:p>
    <w:p>
      <w:pPr>
        <w:jc w:val="both"/>
        <w:ind w:left="460" w:right="459" w:firstLine="432"/>
        <w:spacing w:after="0" w:line="230" w:lineRule="auto"/>
        <w:rPr>
          <w:sz w:val="20"/>
          <w:szCs w:val="20"/>
          <w:color w:val="auto"/>
        </w:rPr>
      </w:pPr>
      <w:r>
        <w:rPr>
          <w:rFonts w:ascii="Times New Roman" w:cs="Times New Roman" w:eastAsia="Times New Roman" w:hAnsi="Times New Roman"/>
          <w:sz w:val="14"/>
          <w:szCs w:val="14"/>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4"/>
          <w:szCs w:val="14"/>
          <w:color w:val="auto"/>
        </w:rPr>
        <w:t>Ventoux Acquisition Holdings LLC (“Ventoux Acquisition”), our co-sponsor and an affiliate of certain of our directors and officers, has committed to purchase from us an aggregate of 3,000,000 warrants (or 3,300,000 warrants if the over-allotment option is exercised in full), and Chardan International Investments, LLC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53" w:lineRule="exact"/>
        <w:rPr>
          <w:sz w:val="20"/>
          <w:szCs w:val="20"/>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4"/>
          <w:szCs w:val="14"/>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directors prior to the consummation of the offering, resulting in Ventoux Acquisition holding a balance of 2,773,875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spacing w:after="0" w:line="3" w:lineRule="exact"/>
        <w:rPr>
          <w:sz w:val="20"/>
          <w:szCs w:val="20"/>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4"/>
          <w:szCs w:val="14"/>
          <w:color w:val="auto"/>
        </w:rPr>
        <w:t>There is presently no public market for our units, common stock, or warrants. We intend to apply to have our units listed on the Nasdaq Capital Market, or Nasdaq, under the symbol “VTAQU” on or promptly after the date of this prospectus. We cannot guarantee that our securities will be approved for listing on Nasdaq. Once the securities comprising the units begin separate trading as described in this prospectus, the shares of common stock and warrants will be traded on Nasdaq under the symbols “VTAQ” and “VTAQW,” respectively. We cannot assure you that our securities will continue to be listed on Nasdaq after this offering.</w:t>
      </w:r>
    </w:p>
    <w:p>
      <w:pPr>
        <w:spacing w:after="0" w:line="2" w:lineRule="exact"/>
        <w:rPr>
          <w:sz w:val="20"/>
          <w:szCs w:val="20"/>
          <w:color w:val="auto"/>
        </w:rPr>
      </w:pPr>
    </w:p>
    <w:p>
      <w:pPr>
        <w:jc w:val="both"/>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79"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“Risk Factors” beginning on page 20 of this prospectus for a discussion of information that should be considered in connection with an investment in our securities.</w:t>
      </w:r>
    </w:p>
    <w:p>
      <w:pPr>
        <w:spacing w:after="0" w:line="1"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4"/>
          <w:szCs w:val="14"/>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14"/>
                <w:szCs w:val="14"/>
                <w:b w:val="1"/>
                <w:bCs w:val="1"/>
                <w:color w:val="auto"/>
                <w:w w:val="94"/>
              </w:rPr>
              <w:t>Commissions</w:t>
            </w:r>
            <w:r>
              <w:rPr>
                <w:rFonts w:ascii="Times New Roman" w:cs="Times New Roman" w:eastAsia="Times New Roman" w:hAnsi="Times New Roman"/>
                <w:sz w:val="21"/>
                <w:szCs w:val="21"/>
                <w:b w:val="1"/>
                <w:bCs w:val="1"/>
                <w:color w:val="auto"/>
                <w:w w:val="9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0.55</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147,000,000</w:t>
            </w: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jc w:val="both"/>
        <w:ind w:left="880" w:right="459" w:hanging="426"/>
        <w:spacing w:after="0" w:line="229" w:lineRule="auto"/>
        <w:tabs>
          <w:tab w:leader="none" w:pos="97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$100,000 payable to B. Riley FBR, Inc. for acting as a qualified independent underwriter. Please see the section titled “Underwriting” for further information relating to the underwriting arrangements agreed to between us and the underwriters in this offering.</w:t>
      </w:r>
    </w:p>
    <w:p>
      <w:pPr>
        <w:jc w:val="both"/>
        <w:ind w:left="880" w:right="459" w:hanging="426"/>
        <w:spacing w:after="0"/>
        <w:tabs>
          <w:tab w:leader="none" w:pos="88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$5,250,000, or $0.35 per unit, equal to 3.5% of the gross proceeds of this offering (or $6,037,500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00" w:lineRule="exact"/>
        <w:rPr>
          <w:sz w:val="20"/>
          <w:szCs w:val="20"/>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4"/>
          <w:szCs w:val="14"/>
          <w:color w:val="auto"/>
        </w:rPr>
        <w:t>Upon consummation of the offering, $10.00 per unit sold to the public in this offering (whether or not the over-allotment option has been exercised in full or part) will be deposited into a United States-based trust account at Morgan Stanley with Continental Stock Transfer &amp; Trust Company acting as trustee. Such amount includes $5,250,000, or $0.35 per unit (or $6,037,500 if the underwriters’ over-allotment option is exercised in full) payable to the underwriters as deferred underwriting discounts and commissions.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 w:lineRule="exact"/>
        <w:rPr>
          <w:sz w:val="20"/>
          <w:szCs w:val="20"/>
          <w:color w:val="auto"/>
        </w:rPr>
      </w:pPr>
    </w:p>
    <w:p>
      <w:pPr>
        <w:jc w:val="both"/>
        <w:ind w:left="460" w:right="479" w:firstLine="432"/>
        <w:spacing w:after="0"/>
        <w:rPr>
          <w:sz w:val="20"/>
          <w:szCs w:val="20"/>
          <w:color w:val="auto"/>
        </w:rPr>
      </w:pPr>
      <w:r>
        <w:rPr>
          <w:rFonts w:ascii="Times New Roman" w:cs="Times New Roman" w:eastAsia="Times New Roman" w:hAnsi="Times New Roman"/>
          <w:sz w:val="14"/>
          <w:szCs w:val="14"/>
          <w:color w:val="auto"/>
        </w:rPr>
        <w:t xml:space="preserve">The underwriters are offering the units on a firm commitment basis. Chardan Capital Markets LLC, acting as the representative of the underwriters, expects to deliver the units to purchasers on or about </w:t>
      </w:r>
      <w:r>
        <w:rPr>
          <w:rFonts w:ascii="Times New Roman" w:cs="Times New Roman" w:eastAsia="Times New Roman" w:hAnsi="Times New Roman"/>
          <w:sz w:val="14"/>
          <w:szCs w:val="14"/>
          <w:b w:val="1"/>
          <w:bCs w:val="1"/>
          <w:color w:val="auto"/>
        </w:rPr>
        <w:t>___________,</w:t>
      </w:r>
      <w:r>
        <w:rPr>
          <w:rFonts w:ascii="Times New Roman" w:cs="Times New Roman" w:eastAsia="Times New Roman" w:hAnsi="Times New Roman"/>
          <w:sz w:val="14"/>
          <w:szCs w:val="14"/>
          <w:color w:val="auto"/>
        </w:rPr>
        <w:t xml:space="preserve"> 2020</w:t>
      </w:r>
      <w:r>
        <w:rPr>
          <w:rFonts w:ascii="Times New Roman" w:cs="Times New Roman" w:eastAsia="Times New Roman" w:hAnsi="Times New Roman"/>
          <w:sz w:val="14"/>
          <w:szCs w:val="14"/>
          <w:b w:val="1"/>
          <w:bCs w:val="1"/>
          <w:color w:val="auto"/>
        </w:rPr>
        <w:t>.</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Chardan</w:t>
      </w:r>
    </w:p>
    <w:p>
      <w:pPr>
        <w:spacing w:after="0" w:line="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2" w:right="1440" w:bottom="36"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EXPERTS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SUMMARY</w:t>
      </w:r>
    </w:p>
    <w:p>
      <w:pPr>
        <w:spacing w:after="0" w:line="14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16"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“our” or “our company” refers to Ventoux CCM Acquisition Corp.;</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or “insider shares” refers to the 4,312,500 shares of common stock held by our co-sponsors, our directors, and affiliates of our management team prior to this offering (including up to an aggregate of 562,500 shares of common stock subject to forfeiture to the extent that the underwriters’ over-allotment option is not exercised in full or in part);</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warrants” refers to the warrants we are selling privately to Ventoux Acquisition, Chardan Investments, and/or their designees upon consummation of this offering;</w:t>
      </w:r>
    </w:p>
    <w:p>
      <w:pPr>
        <w:spacing w:after="0" w:line="9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“co-sponsors” refers to Ventoux Acquisition and Chardan Investments;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“Ventoux Acquisition” refers to Ventoux Acquisition Holdings LLC, an entity affiliated with certain of our director and officers;</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Investments” refers to Chardan International Investments, LLC, an entity affiliated with certain of our investors and Chardan Capital Markets LLC;</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or “Chardan Capital Markets LLC” refers to Chardan Capital Markets LLC, the representative of the underwriters;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information in this prospectus assumes that the underwriters will not exercise their over-allotment option (unless otherwise indicated).</w:t>
      </w:r>
    </w:p>
    <w:p>
      <w:pPr>
        <w:spacing w:after="0" w:line="91"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92"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5" w:name="page6"/>
    <w:bookmarkEnd w:id="5"/>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94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394700"/>
                    </a:xfrm>
                    <a:prstGeom prst="rect">
                      <a:avLst/>
                    </a:prstGeom>
                    <a:noFill/>
                  </pic:spPr>
                </pic:pic>
              </a:graphicData>
            </a:graphic>
          </wp:anchor>
        </w:drawing>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1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Advisors, Mr. R. Todd Ruppert and Mr. Robert Martin, we are confident that the combined experience makes us well situated to identify, source, negotiate and execute an initial business combination in the hospitality, leisure, travel and dining sectors.</w:t>
      </w:r>
    </w:p>
    <w:p>
      <w:pPr>
        <w:spacing w:after="0" w:line="107"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 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4"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0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Brock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24"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w:t>
      </w:r>
    </w:p>
    <w:p>
      <w:pPr>
        <w:sectPr>
          <w:pgSz w:w="11900" w:h="16838" w:orient="portrait"/>
          <w:cols w:equalWidth="0" w:num="1">
            <w:col w:w="9019"/>
          </w:cols>
          <w:pgMar w:left="1440" w:top="459" w:right="1440"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6" w:name="page7"/>
    <w:bookmarkEnd w:id="6"/>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51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051800"/>
                    </a:xfrm>
                    <a:prstGeom prst="rect">
                      <a:avLst/>
                    </a:prstGeom>
                    <a:noFill/>
                  </pic:spPr>
                </pic:pic>
              </a:graphicData>
            </a:graphic>
          </wp:anchor>
        </w:drawing>
        <w:t>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2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79 SPAC IPOs. Since 2018, Chardan has been merger and acquisition advisor to nine SPACs, helping companies close transactions valued at approximately $4.0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six SPACs, five of which have closed successful business combinations and one of which is currently seeking an acquisition.</w:t>
      </w:r>
    </w:p>
    <w:p>
      <w:pPr>
        <w:spacing w:after="0" w:line="1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board of directors will include Woodrow (“Woody”) H. Levin and Julie Atkinson.</w:t>
      </w:r>
    </w:p>
    <w:p>
      <w:pPr>
        <w:spacing w:after="0" w:line="13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Woody Levin is the founder and has served as Chief Executive Officer of Extend, Inc., which offers an API-first solution for merchants to offer extended warranties and protection plans, and 3.0 Capital GP, LLC, which is a multi-strategy crypto asset hedge fund. Mr. Levin also served as Vice President of Growth at DocuSign, Inc. (NASDAQ: DOCU), which allows organizations to digitally prepare, sign, act on, and manage agreements. In addition, Mr. Levin served as the founder and Chief Executive Officer of Estate Assist, Inc., a digital estate planning platform until its acquisition, and of BringIt, Inc., a virtual currency casino and arcade until its acquisition. Mr. Levin served as Director Emerging Business — Office of the CTO at International Game Technology PLC (NYSE: IGT), which manufactures and distributes slot machines and other gaming technology. Mr. Levin serves a member of the board of directors of DraftKings Inc. (NASDAQ: DKNG) and of Extend, Inc.</w:t>
      </w:r>
    </w:p>
    <w:p>
      <w:pPr>
        <w:spacing w:after="0" w:line="10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Julie Atkinson is the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Mr. R. Todd Ruppert and Mr. Robert Martin will serve as Senior Advisors to the management team.</w:t>
      </w:r>
    </w:p>
    <w:p>
      <w:pPr>
        <w:spacing w:after="0" w:line="13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Mr. Ruppert has had a 40-year career in financial services, and was formerly CEO and president of T. Rowe Price Global Investment Services, co-president, T. Rowe Price International, and a member of the operating steering committee of the T. Rowe Price Group. Currently, Mr. Ruppert is a venture partner at Greenspring Associates, a U.S. based venture capital firm with over $10 billion under management. He also has a number of advisory roles including but not limited to Motive Partners, an investment firm focused on technology businesses in the financial services sector.</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7" w:name="page8"/>
    <w:bookmarkEnd w:id="7"/>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26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26120"/>
                    </a:xfrm>
                    <a:prstGeom prst="rect">
                      <a:avLst/>
                    </a:prstGeom>
                    <a:noFill/>
                  </pic:spPr>
                </pic:pic>
              </a:graphicData>
            </a:graphic>
          </wp:anchor>
        </w:drawing>
        <w:t>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97"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7"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93"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0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ectPr>
          <w:pgSz w:w="11900" w:h="16838" w:orient="portrait"/>
          <w:cols w:equalWidth="0" w:num="1">
            <w:col w:w="9019"/>
          </w:cols>
          <w:pgMar w:left="1440" w:top="445"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type w:val="continuous"/>
        </w:sectPr>
      </w:pPr>
    </w:p>
    <w:bookmarkStart w:id="8" w:name="page9"/>
    <w:bookmarkEnd w:id="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65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7657465"/>
                    </a:xfrm>
                    <a:prstGeom prst="rect">
                      <a:avLst/>
                    </a:prstGeom>
                    <a:noFill/>
                  </pic:spPr>
                </pic:pic>
              </a:graphicData>
            </a:graphic>
          </wp:anchor>
        </w:drawing>
        <w:t>Our management team, board and advisors have experience in:</w:t>
      </w:r>
    </w:p>
    <w:p>
      <w:pPr>
        <w:spacing w:after="0" w:line="158"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8"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4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16" w:lineRule="exact"/>
        <w:rPr>
          <w:sz w:val="20"/>
          <w:szCs w:val="20"/>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or has an executable strategy to be able to meet the changing consumer or business behaviors in a COVID-19 or post-COVID 19 environment;</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9" w:name="page10"/>
    <w:bookmarkEnd w:id="9"/>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43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343265"/>
                    </a:xfrm>
                    <a:prstGeom prst="rect">
                      <a:avLst/>
                    </a:prstGeom>
                    <a:noFill/>
                  </pic:spPr>
                </pic:pic>
              </a:graphicData>
            </a:graphic>
          </wp:anchor>
        </w:drawing>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2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w:t>
      </w:r>
    </w:p>
    <w:p>
      <w:pPr>
        <w:spacing w:after="0" w:line="124"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ectPr>
          <w:pgSz w:w="11900" w:h="16838" w:orient="portrait"/>
          <w:cols w:equalWidth="0" w:num="1">
            <w:col w:w="9019"/>
          </w:cols>
          <w:pgMar w:left="1440" w:top="459"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10" w:name="page11"/>
    <w:bookmarkEnd w:id="10"/>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directors prior to the consummation of the offering, resulting in Ventoux Acquisition holding a balance of 2,773,875 shares.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 None of our initial stockholders has indicated any intention to purchase public units in this offering.</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founder shares are identical to the public shares. However, our initial stockholders have agreed</w:t>
      </w:r>
    </w:p>
    <w:p>
      <w:pPr>
        <w:spacing w:after="0" w:line="27" w:lineRule="exact"/>
        <w:rPr>
          <w:sz w:val="20"/>
          <w:szCs w:val="20"/>
          <w:color w:val="auto"/>
        </w:rPr>
      </w:pPr>
    </w:p>
    <w:p>
      <w:pPr>
        <w:jc w:val="both"/>
        <w:ind w:left="540" w:right="559" w:firstLine="4"/>
        <w:spacing w:after="0" w:line="250" w:lineRule="auto"/>
        <w:tabs>
          <w:tab w:leader="none" w:pos="8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w:t>
      </w:r>
    </w:p>
    <w:p>
      <w:pPr>
        <w:spacing w:after="0" w:line="3" w:lineRule="exact"/>
        <w:rPr>
          <w:rFonts w:ascii="Times New Roman" w:cs="Times New Roman" w:eastAsia="Times New Roman" w:hAnsi="Times New Roman"/>
          <w:sz w:val="18"/>
          <w:szCs w:val="18"/>
          <w:color w:val="auto"/>
        </w:rPr>
      </w:pPr>
    </w:p>
    <w:p>
      <w:pPr>
        <w:ind w:left="540" w:right="559" w:firstLine="4"/>
        <w:spacing w:after="0" w:line="260" w:lineRule="auto"/>
        <w:tabs>
          <w:tab w:leader="none" w:pos="84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founder shares shall not participate in any liquidating distribution upon winding up if a business combination is not consummated.</w:t>
      </w:r>
    </w:p>
    <w:p>
      <w:pPr>
        <w:spacing w:after="0" w:line="100" w:lineRule="exact"/>
        <w:rPr>
          <w:sz w:val="20"/>
          <w:szCs w:val="20"/>
          <w:color w:val="auto"/>
        </w:rPr>
      </w:pPr>
    </w:p>
    <w:p>
      <w:pPr>
        <w:jc w:val="both"/>
        <w:ind w:left="540" w:right="559" w:firstLine="432"/>
        <w:spacing w:after="0" w:line="251"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ectPr>
          <w:pgSz w:w="11900" w:h="16838" w:orient="portrait"/>
          <w:cols w:equalWidth="0" w:num="1">
            <w:col w:w="9019"/>
          </w:cols>
          <w:pgMar w:left="1440" w:top="459" w:right="1440"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11" w:name="page12"/>
    <w:bookmarkEnd w:id="11"/>
    <w:p>
      <w:pPr>
        <w:jc w:val="both"/>
        <w:ind w:left="540" w:right="559" w:firstLine="432"/>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971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6971665"/>
                    </a:xfrm>
                    <a:prstGeom prst="rect">
                      <a:avLst/>
                    </a:prstGeom>
                    <a:noFill/>
                  </pic:spPr>
                </pic:pic>
              </a:graphicData>
            </a:graphic>
          </wp:anchor>
        </w:drawing>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336" w:lineRule="exact"/>
        <w:rPr>
          <w:sz w:val="20"/>
          <w:szCs w:val="20"/>
          <w:color w:val="auto"/>
        </w:rPr>
      </w:pPr>
    </w:p>
    <w:p>
      <w:pPr>
        <w:jc w:val="both"/>
        <w:ind w:left="540" w:right="559" w:firstLine="432"/>
        <w:spacing w:after="0" w:line="269" w:lineRule="auto"/>
        <w:rPr>
          <w:sz w:val="20"/>
          <w:szCs w:val="20"/>
          <w:color w:val="auto"/>
        </w:rPr>
      </w:pPr>
      <w:r>
        <w:rPr>
          <w:rFonts w:ascii="Times New Roman" w:cs="Times New Roman" w:eastAsia="Times New Roman" w:hAnsi="Times New Roman"/>
          <w:sz w:val="17"/>
          <w:szCs w:val="17"/>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14"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0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1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108"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1 East Putnam Avenue, Floor 4, Greenwich, CT, 06830, and our telephone number is 646-465-9000.</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22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7922895"/>
                    </a:xfrm>
                    <a:prstGeom prst="rect">
                      <a:avLst/>
                    </a:prstGeom>
                    <a:noFill/>
                  </pic:spPr>
                </pic:pic>
              </a:graphicData>
            </a:graphic>
          </wp:anchor>
        </w:drawing>
        <w:t>The Offering</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pacing w:after="0" w:line="15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 offered</w:t>
      </w:r>
      <w:r>
        <w:rPr>
          <w:sz w:val="20"/>
          <w:szCs w:val="20"/>
          <w:color w:val="auto"/>
        </w:rPr>
        <w:tab/>
      </w:r>
      <w:r>
        <w:rPr>
          <w:rFonts w:ascii="Times New Roman" w:cs="Times New Roman" w:eastAsia="Times New Roman" w:hAnsi="Times New Roman"/>
          <w:sz w:val="18"/>
          <w:szCs w:val="18"/>
          <w:color w:val="auto"/>
        </w:rPr>
        <w:t>15,000,000 units, at $10.00 per unit, each unit consisting of one share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common stock and one warrant. Each warrant entitles the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thereof to purchase one-half of one share of common stock at a price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$11.50 per whole share, subject to adjustment as described in this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prospectus.</w:t>
      </w:r>
    </w:p>
    <w:p>
      <w:pPr>
        <w:sectPr>
          <w:pgSz w:w="11900" w:h="16838" w:orient="portrait"/>
          <w:cols w:equalWidth="0" w:num="1">
            <w:col w:w="9019"/>
          </w:cols>
          <w:pgMar w:left="1440" w:top="536" w:right="1440" w:bottom="1440" w:gutter="0" w:footer="0" w:header="0"/>
        </w:sectPr>
      </w:pPr>
    </w:p>
    <w:p>
      <w:pPr>
        <w:spacing w:after="0" w:line="162"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We anticipate the units and the shares of common stock and the warrants, once they begin separate trading, will be listed on Nasdaq under the symbols “VTAQU,” “VTAQ,” and “VTAQW,” respectively.</w:t>
      </w:r>
    </w:p>
    <w:p>
      <w:pPr>
        <w:spacing w:after="0" w:line="149" w:lineRule="exact"/>
        <w:rPr>
          <w:sz w:val="20"/>
          <w:szCs w:val="20"/>
          <w:color w:val="auto"/>
        </w:rPr>
      </w:pPr>
    </w:p>
    <w:p>
      <w:pPr>
        <w:jc w:val="both"/>
        <w:ind w:right="579"/>
        <w:spacing w:after="0" w:line="250" w:lineRule="auto"/>
        <w:rPr>
          <w:sz w:val="20"/>
          <w:szCs w:val="20"/>
          <w:color w:val="auto"/>
        </w:rPr>
      </w:pPr>
      <w:r>
        <w:rPr>
          <w:rFonts w:ascii="Times New Roman" w:cs="Times New Roman" w:eastAsia="Times New Roman" w:hAnsi="Times New Roman"/>
          <w:sz w:val="18"/>
          <w:szCs w:val="18"/>
          <w:color w:val="auto"/>
        </w:rPr>
        <w:t>Each of the shares of common stock and warrants may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169"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Once the shares of common stock and warrants commence separate trading, holders will have the option to continue to hold units or separate their units into shares of common stock and warrants. Holders will need to have their brokers contact our transfer agent, Continental Stock Transfer &amp; Trust Company, in order to separate the units into separately trading shares of common stock and warrants.</w:t>
      </w:r>
    </w:p>
    <w:p>
      <w:pPr>
        <w:spacing w:after="0" w:line="160"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pacing w:after="0" w:line="171"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our initial business combination, we may, at our discretion, mandatorily separate all issued and outstanding units into shares of common stock and warrants.</w:t>
      </w:r>
    </w:p>
    <w:p>
      <w:pPr>
        <w:spacing w:after="0" w:line="200" w:lineRule="exact"/>
        <w:rPr>
          <w:sz w:val="20"/>
          <w:szCs w:val="20"/>
          <w:color w:val="auto"/>
        </w:rPr>
      </w:pPr>
    </w:p>
    <w:p>
      <w:pPr>
        <w:sectPr>
          <w:pgSz w:w="11900" w:h="16838" w:orient="portrait"/>
          <w:cols w:equalWidth="0" w:num="2">
            <w:col w:w="2700" w:space="560"/>
            <w:col w:w="5759"/>
          </w:cols>
          <w:pgMar w:left="1440" w:top="536" w:right="1440"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type w:val="continuous"/>
        </w:sectPr>
      </w:pPr>
    </w:p>
    <w:bookmarkStart w:id="13" w:name="page14"/>
    <w:bookmarkEnd w:id="13"/>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5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4,312,500 shares</w:t>
            </w:r>
            <w:r>
              <w:rPr>
                <w:rFonts w:ascii="Times New Roman" w:cs="Times New Roman" w:eastAsia="Times New Roman" w:hAnsi="Times New Roman"/>
                <w:sz w:val="20"/>
                <w:szCs w:val="20"/>
                <w:color w:val="auto"/>
                <w:vertAlign w:val="superscript"/>
              </w:rPr>
              <w:t>(1)</w:t>
            </w:r>
          </w:p>
        </w:tc>
      </w:tr>
      <w:tr>
        <w:trPr>
          <w:trHeight w:val="33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18,750,000 shares</w:t>
            </w:r>
            <w:r>
              <w:rPr>
                <w:rFonts w:ascii="Times New Roman" w:cs="Times New Roman" w:eastAsia="Times New Roman" w:hAnsi="Times New Roman"/>
                <w:sz w:val="20"/>
                <w:szCs w:val="20"/>
                <w:color w:val="auto"/>
                <w:w w:val="95"/>
                <w:vertAlign w:val="superscript"/>
              </w:rPr>
              <w:t>(2)</w:t>
            </w:r>
          </w:p>
        </w:tc>
      </w:tr>
      <w:tr>
        <w:trPr>
          <w:trHeight w:val="35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644"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88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9088755"/>
                    </a:xfrm>
                    <a:prstGeom prst="rect">
                      <a:avLst/>
                    </a:prstGeom>
                    <a:noFill/>
                  </pic:spPr>
                </pic:pic>
              </a:graphicData>
            </a:graphic>
          </wp:anchor>
        </w:drawing>
      </w:r>
    </w:p>
    <w:p>
      <w:pPr>
        <w:spacing w:after="0" w:line="167" w:lineRule="exact"/>
        <w:rPr>
          <w:sz w:val="20"/>
          <w:szCs w:val="20"/>
          <w:color w:val="auto"/>
        </w:rPr>
      </w:pPr>
    </w:p>
    <w:p>
      <w:pPr>
        <w:ind w:left="720" w:right="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Number issued and outstanding before this offering</w:t>
      </w:r>
    </w:p>
    <w:p>
      <w:pPr>
        <w:spacing w:after="0" w:line="105" w:lineRule="exact"/>
        <w:rPr>
          <w:sz w:val="20"/>
          <w:szCs w:val="20"/>
          <w:color w:val="auto"/>
        </w:rPr>
      </w:pPr>
    </w:p>
    <w:p>
      <w:pPr>
        <w:ind w:left="72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Number to be issued and outstanding after this offering and sale of private warrants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public warrants and 4,500,000 private warrants</w:t>
      </w:r>
      <w:r>
        <w:rPr>
          <w:rFonts w:ascii="Times New Roman" w:cs="Times New Roman" w:eastAsia="Times New Roman" w:hAnsi="Times New Roman"/>
          <w:sz w:val="20"/>
          <w:szCs w:val="20"/>
          <w:color w:val="auto"/>
          <w:vertAlign w:val="superscript"/>
        </w:rPr>
        <w:t>(3)</w:t>
      </w:r>
    </w:p>
    <w:p>
      <w:pPr>
        <w:spacing w:after="0" w:line="175"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Each redeemable public warrant entitles the holder thereof to purchase one-half of one share of common stock, and each private warrant entitles the holder thereof to purchase one share of common stock.</w:t>
      </w:r>
    </w:p>
    <w:p>
      <w:pPr>
        <w:spacing w:after="0" w:line="145" w:lineRule="exact"/>
        <w:rPr>
          <w:sz w:val="20"/>
          <w:szCs w:val="20"/>
          <w:color w:val="auto"/>
        </w:rPr>
      </w:pPr>
    </w:p>
    <w:p>
      <w:pPr>
        <w:sectPr>
          <w:pgSz w:w="11900" w:h="16838" w:orient="portrait"/>
          <w:cols w:equalWidth="0" w:num="2">
            <w:col w:w="3020" w:space="240"/>
            <w:col w:w="5759"/>
          </w:cols>
          <w:pgMar w:left="1440" w:top="644" w:right="1440" w:bottom="1440" w:gutter="0" w:footer="0" w:header="0"/>
          <w:type w:val="continuous"/>
        </w:sect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price</w:t>
      </w:r>
      <w:r>
        <w:rPr>
          <w:sz w:val="20"/>
          <w:szCs w:val="20"/>
          <w:color w:val="auto"/>
        </w:rPr>
        <w:tab/>
      </w:r>
      <w:r>
        <w:rPr>
          <w:rFonts w:ascii="Times New Roman" w:cs="Times New Roman" w:eastAsia="Times New Roman" w:hAnsi="Times New Roman"/>
          <w:sz w:val="18"/>
          <w:szCs w:val="18"/>
          <w:color w:val="auto"/>
        </w:rPr>
        <w:t>$11.50 per whole share, subject to adjustment as described herein. If we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 additional shares of common stock or equity-linked securities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capital raising purposes in connection with the closing of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at an issue price or effective issue price of less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our board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and,  in  the  case  of  any  such  issuance  to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or their affiliates, without taking into account any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or private warrants held by them, as applicable, prior to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issuance) (the “newly issued price”), the exercise price of the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be adjusted (to the nearest cent) to be equal to 115% of the newly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issued price and the $16.50 per share redemption trigger price described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below under “— Redemption” will be adjusted (to the nearest cent)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 equal to 165% of the market value (the volume weighted average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trading price of the common stock during the 20 trading day period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starting on the trading day prior to the consummation of an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public warrants will be exercisable for cash unless we have an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and current registration statement covering the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issuable upon exercise of the warrants and a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prospectus relating to such shares of common stock. It is our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intention  to  have  an  effective  and  current  registration  statement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covering the shares of common stock issuable upon exercise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warrants and a current prospectus relating to such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in effect promptly following consummation of an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Notwithstanding the foregoing, if a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covering the shares of common stock issuable upon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public warrants is not effective within 120 days following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holders may, until such time as there is an effective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and during any period when we shall have failed to maintain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 effective registration statement, exercise warrants on a cashless basis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pursuant  to  an  available  exemption  from  registration  under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Act. In such event, each holder would pay the</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right="559" w:hanging="436"/>
        <w:spacing w:after="0" w:line="269" w:lineRule="auto"/>
        <w:tabs>
          <w:tab w:leader="none" w:pos="1018"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88" w:lineRule="auto"/>
        <w:tabs>
          <w:tab w:leader="none" w:pos="97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public warrants outstanding and 4,950,000 private warrants outstanding.</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type w:val="continuous"/>
        </w:sectPr>
      </w:pPr>
    </w:p>
    <w:bookmarkStart w:id="14" w:name="page15"/>
    <w:bookmarkEnd w:id="14"/>
    <w:tbl>
      <w:tblPr>
        <w:tblLayout w:type="fixed"/>
        <w:tblInd w:w="470" w:type="dxa"/>
        <w:tblCellMar>
          <w:top w:w="0" w:type="dxa"/>
          <w:left w:w="0" w:type="dxa"/>
          <w:bottom w:w="0" w:type="dxa"/>
          <w:right w:w="0" w:type="dxa"/>
        </w:tblCellMar>
      </w:tblPr>
      <w:tr>
        <w:trPr>
          <w:trHeight w:val="630"/>
        </w:trPr>
        <w:tc>
          <w:tcPr>
            <w:tcW w:w="2040" w:type="dxa"/>
            <w:vAlign w:val="bottom"/>
            <w:tcBorders>
              <w:top w:val="single" w:sz="8" w:color="auto"/>
              <w:left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exercise price by surrendering the whole warrants for that number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shares of common stock equal to the quotient obtained by dividing</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(x) the product of the number of shares of common stock underlying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multiplied by the difference between the exercise price of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and the “fair market value” by (y) the fair market value.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“fair market value” shall mean the average reported last sale price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shares of common stock for the 10 trading days ending on the day</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prior to the date of exercise. For example, if a holder held 300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to purchase 150 shares and the fair market value on the date prior to</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exercise was $15.00, that holder would receive 35 shares without the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payment of any additional cash consideration.</w:t>
            </w:r>
          </w:p>
        </w:tc>
      </w:tr>
      <w:tr>
        <w:trPr>
          <w:trHeight w:val="387"/>
        </w:trPr>
        <w:tc>
          <w:tcPr>
            <w:tcW w:w="20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period</w:t>
            </w: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warrants will become exercisable on the later of one year after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closing of this offering or the consummation of an initial business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combination. The warrants will expire at 5:00 p.m., New York City</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time, on the fifth anniversary of our completion of an initial business</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combination, or earlier upon redemption.</w:t>
            </w:r>
          </w:p>
        </w:tc>
      </w:tr>
      <w:tr>
        <w:trPr>
          <w:trHeight w:val="387"/>
        </w:trPr>
        <w:tc>
          <w:tcPr>
            <w:tcW w:w="20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may  redeem  the  outstanding  warrants  (excluding  the  private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in whole and not in part, at a price of $0.01 per warrant:</w:t>
            </w:r>
          </w:p>
        </w:tc>
      </w:tr>
      <w:tr>
        <w:trPr>
          <w:trHeight w:val="351"/>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at any time while the warrants are exercisable,</w:t>
            </w:r>
          </w:p>
        </w:tc>
      </w:tr>
      <w:tr>
        <w:trPr>
          <w:trHeight w:val="364"/>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upon a minimum of 30 days’ prior written notice of redemption,</w:t>
            </w:r>
          </w:p>
        </w:tc>
      </w:tr>
      <w:tr>
        <w:trPr>
          <w:trHeight w:val="346"/>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if, and only if, the last sales price of our common stock equals or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exceeds $16.50 per share for any 20 trading days within a 30</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trading day period ending three business days before we send the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notice of redemption, and</w:t>
            </w:r>
          </w:p>
        </w:tc>
      </w:tr>
      <w:tr>
        <w:trPr>
          <w:trHeight w:val="333"/>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if, and only if, there is a current registration statement in effect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with respect to the shares of common stock underlying such</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warrants at the time of redemption and for the entire 30-day</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trading  period  referred  to  above  and  continuing  each  day</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thereafter until the date of redemption.</w:t>
            </w:r>
          </w:p>
        </w:tc>
      </w:tr>
      <w:tr>
        <w:trPr>
          <w:trHeight w:val="346"/>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If the foregoing conditions are satisfied and we issue a notice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redemption, each warrant holder can exercise his, her or its warrant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prior to the scheduled redemption date. However, the price of our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common stock may fall below the $16.50 trigger price, as well as the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$11.50 warrant exercise price, after the redemption notice is issued.</w:t>
            </w:r>
          </w:p>
        </w:tc>
      </w:tr>
      <w:tr>
        <w:trPr>
          <w:trHeight w:val="346"/>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redemption criteria for our warrants have been established at a</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price which is intended to provide warrant holders a reasonable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premium to the initial exercise price and provide a sufficient differential</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between the then-prevailing share price and the warrant exercise price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so that if the share price declines as a result of our redemption call,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redemption will not cause the share price to drop below the exercise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price of the warrants.</w:t>
            </w:r>
          </w:p>
        </w:tc>
      </w:tr>
      <w:tr>
        <w:trPr>
          <w:trHeight w:val="333"/>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If we call the warrants for redemption as described above, our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management will have the option to require all holders that wish to</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exercise warrants to do so on a “cashless basis.” In such event, each</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holder would pay the exercise price by surrendering the whole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for that number of shares of common stock equal to the quotient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obtained by dividing (x) the product of the number of shares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10 trading days ending on the third trading day prior to the date on</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which the notice of redemption is sent to the holders of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Whether we will exercise our option to require all holders to exercise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their warrants on a “cashless basis” will depend on a variety of factors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including the price of our shares of common stock at the time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are called for redemption, our cash needs at such time and</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concerns regarding dilutive share issuances.</w:t>
            </w:r>
          </w:p>
        </w:tc>
      </w:tr>
      <w:tr>
        <w:trPr>
          <w:trHeight w:val="402"/>
        </w:trPr>
        <w:tc>
          <w:tcPr>
            <w:tcW w:w="2040" w:type="dxa"/>
            <w:vAlign w:val="bottom"/>
            <w:tcBorders>
              <w:left w:val="single" w:sz="8" w:color="auto"/>
              <w:bottom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r>
      <w:tr>
        <w:trPr>
          <w:trHeight w:val="388"/>
        </w:trPr>
        <w:tc>
          <w:tcPr>
            <w:tcW w:w="20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9019"/>
          </w:cols>
          <w:pgMar w:left="1440" w:top="120" w:right="1440" w:bottom="973" w:gutter="0" w:footer="0" w:header="0"/>
        </w:sectPr>
      </w:pPr>
    </w:p>
    <w:bookmarkStart w:id="15" w:name="page16"/>
    <w:bookmarkEnd w:id="15"/>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$150,000,000 of the net proceeds of this offering (or $172,500,000 if the over-allotment option is exercised in full), including $4,500,000 we will receive from the sale of the private warrants, or $10.00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$4,500,000 we will receive from the sale of the private warrants, $3,500,000 will be used for offering expenses and $1,000,000 will be used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-1844675</wp:posOffset>
            </wp:positionV>
            <wp:extent cx="5147310" cy="7837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7837170"/>
                    </a:xfrm>
                    <a:prstGeom prst="rect">
                      <a:avLst/>
                    </a:prstGeom>
                    <a:noFill/>
                  </pic:spPr>
                </pic:pic>
              </a:graphicData>
            </a:graphic>
          </wp:anchor>
        </w:drawing>
      </w:r>
    </w:p>
    <w:p>
      <w:pPr>
        <w:spacing w:after="0" w:line="147"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67"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00" w:lineRule="exact"/>
        <w:rPr>
          <w:sz w:val="20"/>
          <w:szCs w:val="20"/>
          <w:color w:val="auto"/>
        </w:rPr>
      </w:pPr>
    </w:p>
    <w:p>
      <w:pPr>
        <w:sectPr>
          <w:pgSz w:w="11900" w:h="16838" w:orient="portrait"/>
          <w:cols w:equalWidth="0" w:num="2">
            <w:col w:w="2720" w:space="540"/>
            <w:col w:w="5759"/>
          </w:cols>
          <w:pgMar w:left="1440" w:top="644"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type w:val="continuous"/>
        </w:sectPr>
      </w:pPr>
    </w:p>
    <w:bookmarkStart w:id="16" w:name="page17"/>
    <w:bookmarkEnd w:id="16"/>
    <w:p>
      <w:pPr>
        <w:jc w:val="both"/>
        <w:ind w:left="3260" w:right="559" w:hanging="2713"/>
        <w:spacing w:after="0" w:line="256"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204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720455"/>
                    </a:xfrm>
                    <a:prstGeom prst="rect">
                      <a:avLst/>
                    </a:prstGeom>
                    <a:noFill/>
                  </pic:spPr>
                </pic:pic>
              </a:graphicData>
            </a:graphic>
          </wp:anchor>
        </w:drawing>
        <w:t>Limited payments to insiders</w:t>
      </w:r>
      <w:r>
        <w:rPr>
          <w:sz w:val="20"/>
          <w:szCs w:val="20"/>
          <w:color w:val="auto"/>
        </w:rPr>
        <w:tab/>
      </w:r>
      <w:r>
        <w:rPr>
          <w:rFonts w:ascii="Times New Roman" w:cs="Times New Roman" w:eastAsia="Times New Roman" w:hAnsi="Times New Roman"/>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24" w:lineRule="exact"/>
        <w:rPr>
          <w:sz w:val="20"/>
          <w:szCs w:val="20"/>
          <w:color w:val="auto"/>
        </w:rPr>
      </w:pPr>
    </w:p>
    <w:p>
      <w:pPr>
        <w:ind w:left="3680" w:right="579" w:hanging="207"/>
        <w:spacing w:after="0" w:line="282" w:lineRule="auto"/>
        <w:tabs>
          <w:tab w:leader="none" w:pos="37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of up to $1,000,000 made to us by our co-sponsors;</w:t>
      </w:r>
    </w:p>
    <w:p>
      <w:pPr>
        <w:spacing w:after="0" w:line="80" w:lineRule="exact"/>
        <w:rPr>
          <w:rFonts w:ascii="Times New Roman" w:cs="Times New Roman" w:eastAsia="Times New Roman" w:hAnsi="Times New Roman"/>
          <w:sz w:val="18"/>
          <w:szCs w:val="18"/>
          <w:color w:val="auto"/>
        </w:rPr>
      </w:pPr>
    </w:p>
    <w:p>
      <w:pPr>
        <w:jc w:val="both"/>
        <w:ind w:left="3680" w:right="559" w:hanging="207"/>
        <w:spacing w:after="0" w:line="266" w:lineRule="auto"/>
        <w:tabs>
          <w:tab w:leader="none" w:pos="3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$10,000 per month to Chardan Capital Markets LLC for office space and related services, subject to deferral as described herein;</w:t>
      </w:r>
    </w:p>
    <w:p>
      <w:pPr>
        <w:spacing w:after="0" w:line="108"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6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12"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7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98" w:lineRule="exact"/>
        <w:rPr>
          <w:rFonts w:ascii="Times New Roman" w:cs="Times New Roman" w:eastAsia="Times New Roman" w:hAnsi="Times New Roman"/>
          <w:sz w:val="18"/>
          <w:szCs w:val="18"/>
          <w:color w:val="auto"/>
        </w:rPr>
      </w:pPr>
    </w:p>
    <w:p>
      <w:pPr>
        <w:jc w:val="both"/>
        <w:ind w:left="3680" w:right="559" w:hanging="207"/>
        <w:spacing w:after="0" w:line="258" w:lineRule="auto"/>
        <w:tabs>
          <w:tab w:leader="none" w:pos="39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1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Potential revisions to agreements</w:t>
      </w:r>
    </w:p>
    <w:p>
      <w:pPr>
        <w:spacing w:after="0" w:line="31" w:lineRule="exact"/>
        <w:rPr>
          <w:sz w:val="20"/>
          <w:szCs w:val="20"/>
          <w:color w:val="auto"/>
        </w:rPr>
      </w:pPr>
    </w:p>
    <w:p>
      <w:pPr>
        <w:jc w:val="both"/>
        <w:ind w:left="3260" w:right="559" w:hanging="2533"/>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with insiders</w:t>
      </w:r>
      <w:r>
        <w:rPr>
          <w:sz w:val="20"/>
          <w:szCs w:val="20"/>
          <w:color w:val="auto"/>
        </w:rPr>
        <w:tab/>
      </w:r>
      <w:r>
        <w:rPr>
          <w:rFonts w:ascii="Times New Roman" w:cs="Times New Roman" w:eastAsia="Times New Roman" w:hAnsi="Times New Roman"/>
          <w:sz w:val="18"/>
          <w:szCs w:val="18"/>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7" w:name="page18"/>
    <w:bookmarkEnd w:id="17"/>
    <w:p>
      <w:pPr>
        <w:ind w:left="720" w:hanging="179"/>
        <w:spacing w:after="0" w:line="262" w:lineRule="auto"/>
        <w:rPr>
          <w:sz w:val="20"/>
          <w:szCs w:val="20"/>
          <w:color w:val="auto"/>
        </w:rPr>
      </w:pPr>
      <w:r>
        <w:rPr>
          <w:rFonts w:ascii="Times New Roman" w:cs="Times New Roman" w:eastAsia="Times New Roman" w:hAnsi="Times New Roman"/>
          <w:sz w:val="18"/>
          <w:szCs w:val="18"/>
          <w:b w:val="1"/>
          <w:bCs w:val="1"/>
          <w:color w:val="auto"/>
        </w:rPr>
        <w:t>Stockholder approval of, tender offer or redemption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-5588000</wp:posOffset>
            </wp:positionV>
            <wp:extent cx="5147310" cy="9474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474835"/>
                    </a:xfrm>
                    <a:prstGeom prst="rect">
                      <a:avLst/>
                    </a:prstGeom>
                    <a:noFill/>
                  </pic:spPr>
                </pic:pic>
              </a:graphicData>
            </a:graphic>
          </wp:anchor>
        </w:drawing>
      </w:r>
    </w:p>
    <w:p>
      <w:pPr>
        <w:spacing w:after="0" w:line="71"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67"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2980" w:space="280"/>
            <w:col w:w="5759"/>
          </w:cols>
          <w:pgMar w:left="1440" w:top="495" w:right="1440" w:bottom="852"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852" w:gutter="0" w:footer="0" w:header="0"/>
          <w:type w:val="continuous"/>
        </w:sectPr>
      </w:pPr>
    </w:p>
    <w:bookmarkStart w:id="18" w:name="page19"/>
    <w:bookmarkEnd w:id="18"/>
    <w:p>
      <w:pPr>
        <w:jc w:val="both"/>
        <w:ind w:left="3260" w:right="57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176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217660"/>
                    </a:xfrm>
                    <a:prstGeom prst="rect">
                      <a:avLst/>
                    </a:prstGeom>
                    <a:noFill/>
                  </pic:spPr>
                </pic:pic>
              </a:graphicData>
            </a:graphic>
          </wp:anchor>
        </w:drawing>
        <w:t>Our initial stockholders have agreed (A) to vote their founder shares and any public shares in favor of any proposed business combination,</w:t>
      </w:r>
    </w:p>
    <w:p>
      <w:pPr>
        <w:jc w:val="both"/>
        <w:ind w:left="3260" w:right="559" w:hanging="3"/>
        <w:spacing w:after="0" w:line="250" w:lineRule="auto"/>
        <w:tabs>
          <w:tab w:leader="none" w:pos="35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completing our</w:t>
      </w:r>
    </w:p>
    <w:p>
      <w:pPr>
        <w:spacing w:after="0" w:line="31" w:lineRule="exact"/>
        <w:rPr>
          <w:sz w:val="20"/>
          <w:szCs w:val="20"/>
          <w:color w:val="auto"/>
        </w:rPr>
      </w:pPr>
    </w:p>
    <w:p>
      <w:pPr>
        <w:jc w:val="both"/>
        <w:ind w:left="3260" w:right="559" w:hanging="2533"/>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initial business combination</w:t>
      </w:r>
      <w:r>
        <w:rPr>
          <w:sz w:val="20"/>
          <w:szCs w:val="20"/>
          <w:color w:val="auto"/>
        </w:rPr>
        <w:tab/>
      </w:r>
      <w:r>
        <w:rPr>
          <w:rFonts w:ascii="Times New Roman" w:cs="Times New Roman" w:eastAsia="Times New Roman" w:hAnsi="Times New Roman"/>
          <w:sz w:val="18"/>
          <w:szCs w:val="18"/>
          <w:color w:val="auto"/>
        </w:rPr>
        <w:t>There is no limitation on our ability to raise funds privately or through loans in connection with our initial business combination. Our initial business combination must occur with one or more target businesses that together have an aggregate fair market value of at least 80% of the value of the trust account (excluding any deferred underwriters’ fees and taxes payable on the income earned on the trust account) at the time of the agreement to enter into the initial business combination. If we are no longer listed on Nasdaq, we will not be required to satisfy the 80% test.</w:t>
      </w:r>
    </w:p>
    <w:p>
      <w:pPr>
        <w:spacing w:after="0" w:line="112"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If our board is not able to independently determine the fair market value of the target business or businesses, we may obtain an opinion from an independent investment banking or accounting firm as to the fair market value of the target business. We will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ectPr>
          <w:pgSz w:w="11900" w:h="16838" w:orient="portrait"/>
          <w:cols w:equalWidth="0" w:num="1">
            <w:col w:w="9019"/>
          </w:cols>
          <w:pgMar w:left="1440" w:top="499"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9" w:name="page20"/>
    <w:bookmarkEnd w:id="19"/>
    <w:p>
      <w:pPr>
        <w:ind w:left="54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convert his, her or its public shares into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upon consummation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-1068705</wp:posOffset>
            </wp:positionV>
            <wp:extent cx="5147310" cy="9149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9149080"/>
                    </a:xfrm>
                    <a:prstGeom prst="rect">
                      <a:avLst/>
                    </a:prstGeom>
                    <a:noFill/>
                  </pic:spPr>
                </pic:pic>
              </a:graphicData>
            </a:graphic>
          </wp:anchor>
        </w:drawing>
      </w:r>
    </w:p>
    <w:p>
      <w:pPr>
        <w:spacing w:after="0" w:line="100"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We may require public stockholders wishing to exercise conversion rights, whether they are a record holder or hold their shares in “street name,” to either tender the certificates they are seeking to convert to our transfer agent or to deliver the shares they are seeking to convert to the transfer agent electronically using Depository Trust Company’s DWAC (Deposit/Withdrawal At Custodian)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conversion rights will include the requirement that a beneficial holder must identify itself in order to validly redeem its shares.</w:t>
      </w:r>
    </w:p>
    <w:p>
      <w:pPr>
        <w:spacing w:after="0" w:line="125"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21"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040" w:space="220"/>
            <w:col w:w="5759"/>
          </w:cols>
          <w:pgMar w:left="1440" w:top="495"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0" w:name="page21"/>
    <w:bookmarkEnd w:id="20"/>
    <w:p>
      <w:pPr>
        <w:ind w:lef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57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857615"/>
                    </a:xfrm>
                    <a:prstGeom prst="rect">
                      <a:avLst/>
                    </a:prstGeom>
                    <a:noFill/>
                  </pic:spPr>
                </pic:pic>
              </a:graphicData>
            </a:graphic>
          </wp:anchor>
        </w:drawing>
        <w:t>Liquidation if no business</w:t>
      </w:r>
    </w:p>
    <w:p>
      <w:pPr>
        <w:spacing w:after="0" w:line="31" w:lineRule="exact"/>
        <w:rPr>
          <w:sz w:val="20"/>
          <w:szCs w:val="20"/>
          <w:color w:val="auto"/>
        </w:rPr>
      </w:pPr>
    </w:p>
    <w:p>
      <w:pPr>
        <w:jc w:val="both"/>
        <w:ind w:left="3260" w:right="559" w:hanging="2539"/>
        <w:spacing w:after="0" w:line="266" w:lineRule="auto"/>
        <w:tabs>
          <w:tab w:leader="none" w:pos="3240" w:val="left"/>
        </w:tabs>
        <w:rPr>
          <w:sz w:val="20"/>
          <w:szCs w:val="20"/>
          <w:color w:val="auto"/>
        </w:rPr>
      </w:pPr>
      <w:r>
        <w:rPr>
          <w:rFonts w:ascii="Times New Roman" w:cs="Times New Roman" w:eastAsia="Times New Roman" w:hAnsi="Times New Roman"/>
          <w:sz w:val="17"/>
          <w:szCs w:val="17"/>
          <w:b w:val="1"/>
          <w:bCs w:val="1"/>
          <w:color w:val="auto"/>
        </w:rPr>
        <w:t>combination</w:t>
      </w:r>
      <w:r>
        <w:rPr>
          <w:sz w:val="20"/>
          <w:szCs w:val="20"/>
          <w:color w:val="auto"/>
        </w:rPr>
        <w:tab/>
      </w:r>
      <w:r>
        <w:rPr>
          <w:rFonts w:ascii="Times New Roman" w:cs="Times New Roman" w:eastAsia="Times New Roman" w:hAnsi="Times New Roman"/>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pacing w:after="0" w:line="160" w:lineRule="exact"/>
        <w:rPr>
          <w:sz w:val="20"/>
          <w:szCs w:val="20"/>
          <w:color w:val="auto"/>
        </w:rPr>
      </w:pPr>
    </w:p>
    <w:p>
      <w:pPr>
        <w:jc w:val="both"/>
        <w:ind w:left="3260" w:right="559"/>
        <w:spacing w:after="0" w:line="255" w:lineRule="auto"/>
        <w:rPr>
          <w:sz w:val="20"/>
          <w:szCs w:val="20"/>
          <w:color w:val="auto"/>
        </w:rPr>
      </w:pPr>
      <w:r>
        <w:rPr>
          <w:rFonts w:ascii="Times New Roman" w:cs="Times New Roman" w:eastAsia="Times New Roman" w:hAnsi="Times New Roman"/>
          <w:sz w:val="18"/>
          <w:szCs w:val="18"/>
          <w:color w:val="auto"/>
        </w:rPr>
        <w:t>In connection with our redemption of 100% of our outstanding public shares for a portion of the funds held in the trust account, each holder will receive a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08" w:lineRule="exact"/>
        <w:rPr>
          <w:sz w:val="20"/>
          <w:szCs w:val="20"/>
          <w:color w:val="auto"/>
        </w:rPr>
      </w:pPr>
    </w:p>
    <w:p>
      <w:pPr>
        <w:jc w:val="both"/>
        <w:ind w:left="3260" w:right="559"/>
        <w:spacing w:after="0" w:line="254" w:lineRule="auto"/>
        <w:rPr>
          <w:sz w:val="20"/>
          <w:szCs w:val="20"/>
          <w:color w:val="auto"/>
        </w:rPr>
      </w:pPr>
      <w:r>
        <w:rPr>
          <w:rFonts w:ascii="Times New Roman" w:cs="Times New Roman" w:eastAsia="Times New Roman" w:hAnsi="Times New Roman"/>
          <w:sz w:val="18"/>
          <w:szCs w:val="18"/>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21" w:lineRule="exact"/>
        <w:rPr>
          <w:sz w:val="20"/>
          <w:szCs w:val="20"/>
          <w:color w:val="auto"/>
        </w:rPr>
      </w:pPr>
    </w:p>
    <w:p>
      <w:pPr>
        <w:jc w:val="both"/>
        <w:ind w:left="3260" w:right="55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and private warrants will not participate in any redemption distribution with respect to their founder shares and private warrants, but may have any public shares redeemed upon liquidation.</w:t>
      </w:r>
    </w:p>
    <w:p>
      <w:pPr>
        <w:spacing w:after="0" w:line="112"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the estimated $10.00. We will pay the costs of any subsequent liquidation from our remaining assets outside of the trust account. If such funds are insufficient, our co-sponsors have agreed to pay the funds necessary to complete such liquidation and has agreed not to seek repayment for such expenses. We currently do not anticipate that such funds will be insufficient.</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1" w:name="page22"/>
    <w:bookmarkEnd w:id="21"/>
    <w:p>
      <w:pPr>
        <w:ind w:left="54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20" w:lineRule="exact"/>
        <w:rPr>
          <w:sz w:val="20"/>
          <w:szCs w:val="20"/>
          <w:color w:val="auto"/>
        </w:rPr>
      </w:pPr>
      <w:r>
        <w:rPr>
          <w:sz w:val="20"/>
          <w:szCs w:val="20"/>
          <w:color w:val="auto"/>
        </w:rPr>
        <w:br w:type="column"/>
      </w: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Chardan Capital Markets LLC, the representative of the underwriters in this offering and an affiliate of one of our co-sponsors and one of our directors, is a beneficial owner of our co-sponsor, Chardan Investments. As a result, Chardan Capital Markets LLC is deemed to have a “conflict of interest” within the meaning of FINRA Rule 5121 (“Rule 5121”). Accordingly, this offering is being made in compliance with the applicable requirements of Rule 5121.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-1205230</wp:posOffset>
            </wp:positionV>
            <wp:extent cx="5147310" cy="4828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482854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540" w:space="720"/>
            <w:col w:w="5759"/>
          </w:cols>
          <w:pgMar w:left="1440" w:top="495" w:right="1440" w:bottom="1440" w:gutter="0" w:footer="0" w:header="0"/>
        </w:sect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Rule 5121 requires that a “qualified independent underwriter,” as defined in Rule 5121, participate in the preparation of the registration statement and prospectus and exercise the usual standards of due diligence with respect thereto. B. Riley FBR, Inc. has agreed to act as a “qualified independent underwriter” for this offering. B. Riley FBR, Inc. will receive $100,000 for acting as a qualified independent underwriter. We have agreed to indemnify B. Riley FBR,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ectPr>
          <w:pgSz w:w="11900" w:h="16838" w:orient="portrait"/>
          <w:cols w:equalWidth="0" w:num="1">
            <w:col w:w="9019"/>
          </w:cols>
          <w:pgMar w:left="1440" w:top="495" w:right="1440"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 — Comparison to Offerings of Blank Check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Subject to Rule 419</w:t>
      </w:r>
      <w:r>
        <w:rPr>
          <w:rFonts w:ascii="Times New Roman" w:cs="Times New Roman" w:eastAsia="Times New Roman" w:hAnsi="Times New Roman"/>
          <w:sz w:val="18"/>
          <w:szCs w:val="18"/>
          <w:color w:val="auto"/>
        </w:rPr>
        <w:t>.” You should carefully consider these and the other risks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“Risk Factors” beginning on page 20 of this prospectus.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402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5402580"/>
                    </a:xfrm>
                    <a:prstGeom prst="rect">
                      <a:avLst/>
                    </a:prstGeom>
                    <a:noFill/>
                  </pic:spPr>
                </pic:pic>
              </a:graphicData>
            </a:graphic>
          </wp:anchor>
        </w:drawing>
        <w:t>SUMMARY FINANCIAL DATA</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June 30, 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As Adjusted</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conversion/tender</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140,773,460</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98" w:lineRule="auto"/>
        <w:tabs>
          <w:tab w:leader="none" w:pos="102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$4,500,000 we will receive from the sale of the private warrants (without exercise of over-allotment option).</w:t>
      </w:r>
    </w:p>
    <w:p>
      <w:pPr>
        <w:spacing w:after="0" w:line="9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“as adjusted” working capital and total assets amounts include the $150,000,000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9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91"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requirement that the target business or businesses that we acquire must collectively have a fair market value equal to at least 80% of the balance of the funds in the trust account (excluding any deferred underwriters’ fees and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Nasdaq listing rules, the target business or businesses that we acquire must collectively have a fair market value equal to at least 80% of the balance of the funds in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$10.00 per share.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4" w:name="page25"/>
    <w:bookmarkEnd w:id="24"/>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333"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5" w:name="page26"/>
    <w:bookmarkEnd w:id="25"/>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24 months from the closing of this offering may give potential target businesses leverage over us in negotiating our initial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co-sponsors, officers and directors have agreed that we must complete our initial business combination within 24 months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It is intended that, if Rule 10b-18 under the Exchange Act would apply to purchases by our initial stockholders, directors, officers, advisors or their affiliates, then such purchases will comply with Rule 10b-18, to the extent it applies, which provides a safe harbor for purchased made under certain conditions, including with respect to timing, pricing and volume of purchases.</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6" w:name="page27"/>
    <w:bookmarkEnd w:id="26"/>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24 months of the closing of this offering. In no other circumstances will a stockholder have any right or interest of any kind to the funds in the trust account. Accordingly, to liquidate your investment, you may be forced to sell your public shares, potentially at a loss.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8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the net proceeds of this offering not being held in the trust account are insufficient to allow us to operate for at least the next 24 months, we may be unable to complete our initial business combination.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24 months,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7" w:name="page28"/>
    <w:bookmarkEnd w:id="27"/>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initial business combination, our public stockholders may only receive a pro rata portion of the amount then in the trust account (which may be less than $10.00 per share) (whether or not the underwriters’ over-allotment option is exercised in full) on our redemption, and our warrants will expire worthless.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Subsequent to our consummation of our initial business combination, we may be required to take write-downs or write-offs, restructuring and impairment or other charges.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$10.00 per share.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investments and results of operations.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our public stockholders may be forced to wait up to 24 months or longer before redemption from our trust account.</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units or their respective permitted transferees are registered.</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10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deferred underwriters’ fees and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$10.00 per share or even less (whether or not the underwriters’ over-allotment option is exercised in full) on our redemption, and our warrants will expire worthless.</w:t>
      </w:r>
    </w:p>
    <w:p>
      <w:pPr>
        <w:spacing w:after="0" w:line="1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deferred underwriters’ fees and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public stockholders from a financial point of view.</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that the price we are paying is fair to our public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$10.00 per share or even less (whether or not the underwriters’ over-allotment option is exercised in full) on our redemption, and our warrants will expire worthless.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officers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Messrs. Grossman and Weil are affiliated with Chardan Capital Markets LLC, which is also the underwriter in this offering. Each of Mr. Grossman and Mr. Weil owes a pre-existing fiduciary duty to Chardan Capital Markets LLC, meaning that each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these individuals present to us for purposes of completing a business combination. 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conflict of interest may not be resolved in our favor, and potential target businesses may be presented to another entity prior to their presentation to us.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8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directors prior to the consummation of the offering, resulting in Ventoux Acquisition holding a balance of 2,773,875 shares.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3,000,000 warrants (or 3,300,000 warrants if the over-allotment option is exercised in full), and Chardan Investments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The founder shares, private warrants and warrants will be worthless if we do not consummate an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we may choose to incur substantial debt to complete our initial business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95" w:lineRule="exact"/>
        <w:rPr>
          <w:sz w:val="20"/>
          <w:szCs w:val="20"/>
          <w:color w:val="auto"/>
        </w:rPr>
      </w:pPr>
    </w:p>
    <w:p>
      <w:pPr>
        <w:ind w:left="1320" w:right="479" w:hanging="434"/>
        <w:spacing w:after="0" w:line="282" w:lineRule="auto"/>
        <w:tabs>
          <w:tab w:leader="none" w:pos="1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shares of common stock;</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together with the funds we will receive from the sale of the private warrants (excluding $1,000,000 of net proceeds that will not be held in the trust account) will provide us with approximately $150,000,000 (or approximately $172,500,000 if the underwriters’ over-allotment option is exercised in full) that we may use to complete our initial business combination.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consummate our initial business combination with a private company about which little information is available.</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not be able to maintain control of a target business after our initial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9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Holders of warrants will not participate in liquidating distributions if we are unable to complete an initial business combination within the required time period.</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the warrants will expire and holders will not receive any of such proceeds with respect to the warrants. The foregoing may provide a financial incentive to public stockholders to vote in favor of any proposed initial business combination as each of their warrants would entitle the holder to receive or purchase additional shares of common stock, resulting in an increase in their overall economic stake in us. If a business combination is not approved, the warrants will expire and be worthless.</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 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or the warrants may expire worthless. Notwithstanding the foregoing, the private warrants may be exercisable for unregistered shares of common stock for cash even if the prospectus relating to the shares of common stock issuable upon exercise of the warrants is not current and effective.</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and/or its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amend the terms of the warrants in a way that may be adverse to holders with the approval by the holders of a majority of the then outstanding warrants.</w:t>
      </w:r>
    </w:p>
    <w:p>
      <w:pPr>
        <w:spacing w:after="0" w:line="9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 majority of the then outstanding warrants (including the private warrants) in order to make any change that adversely affects the interests of the registered 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have no obligation to net cash settle the warrants.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no event will we have any obligation to net cash settle the warrants. Accordingly, the warrants may expire worthless.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A public stockholder who fails to vote either in favor of or against a proposed business combination may not be able to have his, her or its shares redeemed for cash.</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we may require that the public stockholders vote either in favor of or against a proposed business combination. If required to vote pursuant to the procedures specified in our proxy statement to stockholders relating to the business combination, and a public stockholder fails to vote in favor of or against the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Redeeming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Because of our structure, other companies may have a competitive advantage and we may not be able to consummate an attractive business combination.</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contains provisions that prohibit our engaging in business combinations with interested stockholders in certain circumstances.</w:t>
      </w:r>
    </w:p>
    <w:p>
      <w:pPr>
        <w:spacing w:after="0" w:line="7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2" w:lineRule="exact"/>
        <w:rPr>
          <w:sz w:val="20"/>
          <w:szCs w:val="20"/>
          <w:color w:val="auto"/>
        </w:rPr>
      </w:pPr>
    </w:p>
    <w:p>
      <w:pPr>
        <w:ind w:left="1320" w:right="459" w:hanging="434"/>
        <w:spacing w:after="0" w:line="282" w:lineRule="auto"/>
        <w:tabs>
          <w:tab w:leader="none" w:pos="160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$10.00 per share or even less (whether or not the underwriters’ over-allotment option is exercised in full) on our redemption, and the warrants will expire worthless.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either restructure the transaction or abandon that particular initial business combination and seek an alternative target business candidate. If we are unable to complete our initial business combination, our public stockholders may only receive $10.00 per share or even less (whether or not the underwriters’ over-allotment option is exercised in full) on our redemption, and the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co-sponsors control a substantial interest in us and thus may exert a substantial influence on actions requiring a stockholder vote, potentially in a manner that you do not support.</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Neither of our co-sponsors nor, to our knowledge, any of our officers or directors, has any current intention to purchase additional securities. Factors that would be considered in making such additional purchases would include consideration of the current trading price of our shares of common stock.</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and, accordingly, you will experience immediate and substantial dilution from the purchase of our shares of common stock.</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shares of common stock included in a unit and none to the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$8.93 per share (the difference between the pro forma net tangible book value per share of $1.07 and the initial offering price of $10.00 per share immediately upon the closing of this offering), or approximately 90.6% dilution or $9.06 per share (the difference between the pro forma net tangible book value per share of $0.94 and the initial offering price of $10.00 per share) if the over-allotment is fully exercised.</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use to consummate an initial business combination.</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 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and warrants underlying the units, include:</w:t>
      </w:r>
    </w:p>
    <w:p>
      <w:pPr>
        <w:spacing w:after="0" w:line="121" w:lineRule="exact"/>
        <w:rPr>
          <w:sz w:val="20"/>
          <w:szCs w:val="20"/>
          <w:color w:val="auto"/>
        </w:rPr>
      </w:pPr>
    </w:p>
    <w:p>
      <w:pPr>
        <w:ind w:left="1320" w:right="479" w:hanging="434"/>
        <w:spacing w:after="0" w:line="282" w:lineRule="auto"/>
        <w:tabs>
          <w:tab w:leader="none" w:pos="15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including with respect to the impact from the COVID-19 pandemic;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21"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securities;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113"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 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7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is not be deemed to be a waiver by our stockholders of our obligation to comply with federal securities laws, rules and regulations, and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12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Associated with Acquiring and Operating a Business outside of the United States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effect our initial business combination with a company located outside of the United States.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08"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redemption or corporate withholding taxes on individuals;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 We may not be able to adequately address these additional risks. If we were unable to do so, our operations might suffer.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There are costs and difficulties inherent in managing cross-border business operations.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Many countries have difficult and unpredictable legal systems and underdeveloped laws and regulations that are unclear and subject to corruption and inexperience.</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relations between the United States and foreign governments deteriorate, it could cause potential target businesses or their goods and services to become less attractive.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Currency policies may cause a target business’ ability to succeed in the international markets to be diminished.</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Because foreign law could govern our material agreements, we may not be able to enforce our rights within such jurisdiction or elsewhere.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1" w:lineRule="exact"/>
        <w:rPr>
          <w:sz w:val="20"/>
          <w:szCs w:val="20"/>
          <w:color w:val="auto"/>
        </w:rPr>
      </w:pPr>
    </w:p>
    <w:p>
      <w:pPr>
        <w:ind w:left="1320" w:right="479" w:hanging="434"/>
        <w:spacing w:after="0" w:line="282" w:lineRule="auto"/>
        <w:tabs>
          <w:tab w:leader="none" w:pos="13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from Nasdaq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20.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Over-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Over-</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154,500,000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74,734</w:t>
            </w: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08"/>
        </w:trPr>
        <w:tc>
          <w:tcPr>
            <w:tcW w:w="5500" w:type="dxa"/>
            <w:vAlign w:val="bottom"/>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106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2"/>
                <w:szCs w:val="12"/>
                <w:color w:val="auto"/>
              </w:rPr>
              <w:t>150,000,000</w:t>
            </w:r>
          </w:p>
        </w:tc>
        <w:tc>
          <w:tcPr>
            <w:tcW w:w="10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10"/>
                <w:szCs w:val="10"/>
                <w:color w:val="auto"/>
              </w:rPr>
              <w:t>(3)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173,500,000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net proceeds not held in the trust account</w:t>
            </w:r>
            <w:r>
              <w:rPr>
                <w:rFonts w:ascii="Times New Roman" w:cs="Times New Roman" w:eastAsia="Times New Roman" w:hAnsi="Times New Roman"/>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month for up to 24 months), subject to deferral as described herein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offering expenses, including the SEC registration fee, the FINRA filing fee, the non-refundable portion of the Nasdaq listing fee and a portion of the legal and audit fees, have been paid from the funds we borrowed from our co-sponsors. These funds will be repaid out of the proceeds of this offering available to us.</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77"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ind w:left="880" w:hanging="426"/>
        <w:spacing w:after="0"/>
        <w:tabs>
          <w:tab w:leader="none" w:pos="8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proceeds not held in trust will remain constant at $1,000,000 even if the over-allotment is exercised.</w:t>
      </w:r>
    </w:p>
    <w:p>
      <w:pPr>
        <w:sectPr>
          <w:pgSz w:w="11900" w:h="16838" w:orient="portrait"/>
          <w:cols w:equalWidth="0" w:num="1">
            <w:col w:w="9019"/>
          </w:cols>
          <w:pgMar w:left="1440" w:top="333"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6" w:name="page47"/>
    <w:bookmarkEnd w:id="46"/>
    <w:p>
      <w:pPr>
        <w:jc w:val="both"/>
        <w:ind w:left="880" w:right="459" w:hanging="426"/>
        <w:spacing w:after="0" w:line="271" w:lineRule="auto"/>
        <w:tabs>
          <w:tab w:leader="none" w:pos="96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total of $10.00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7" w:name="page48"/>
    <w:bookmarkEnd w:id="47"/>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at the closing of a business combination. To date, the Company has drawn $150,000 under the promissory note.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June 30, 2020, our net tangible book value was $23,465 or approximately $0.01 per share. After giving effect to the sale of 15,000,000 shares of common stock included in the units we are offering by this prospectus and the proceeds received from the sale of the private warrants, the deduction of underwriting discounts and estimated expenses of this offering, our pro forma net tangible book value at June 30, 2020 would have been 5,000,005 or $1.07 per share, representing an immediate increase in net tangible book value of $1.06 per share to the initial stockholders and an immediate dilution of 89.3% per share or $8.93 to new investors not exercising their conversion/tender rights. For purposes of presentation, our pro forma net tangible book value after this offering is $140,773,460 less than it otherwise would have been because, if we effect a business combination, the ability of public stockholders to exercise conversion rights or sell their shares to us in any tender offer may result in the conversion or tender of up to 14,077,346 shares sold in this offering.</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 assuming no value is attributed to the redeemable warrants, including the private warrants: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new investors, private sales and capital contribution</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new investors</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new investors</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new investors: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0.007</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150,025,000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9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92"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this offering and private placement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underwriting commission payable</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(5,250,000)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conversion/tender</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(140,773,460)</w:t>
            </w:r>
          </w:p>
        </w:tc>
      </w:tr>
      <w:tr>
        <w:trPr>
          <w:trHeight w:val="284"/>
        </w:trPr>
        <w:tc>
          <w:tcPr>
            <w:tcW w:w="68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40" w:type="dxa"/>
            <w:vAlign w:val="bottom"/>
            <w:tcBorders>
              <w:bottom w:val="single" w:sz="8" w:color="CCEEFF"/>
            </w:tcBorders>
          </w:tcPr>
          <w:p>
            <w:pPr>
              <w:spacing w:after="0"/>
              <w:rPr>
                <w:sz w:val="24"/>
                <w:szCs w:val="24"/>
                <w:color w:val="auto"/>
              </w:rPr>
            </w:pPr>
          </w:p>
        </w:tc>
      </w:tr>
      <w:tr>
        <w:trPr>
          <w:trHeight w:val="270"/>
        </w:trPr>
        <w:tc>
          <w:tcPr>
            <w:tcW w:w="6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issued and outstanding prior to this offering</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sold in this offering</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Shares subject to conversion/tender</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(14,077,346)</w:t>
            </w:r>
          </w:p>
        </w:tc>
      </w:tr>
      <w:tr>
        <w:trPr>
          <w:trHeight w:val="244"/>
        </w:trPr>
        <w:tc>
          <w:tcPr>
            <w:tcW w:w="68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4,672,654</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by us as a result thereof.</w:t>
      </w:r>
    </w:p>
    <w:p>
      <w:pPr>
        <w:sectPr>
          <w:pgSz w:w="11900" w:h="16838" w:orient="portrait"/>
          <w:cols w:equalWidth="0" w:num="1">
            <w:col w:w="9019"/>
          </w:cols>
          <w:pgMar w:left="1440" w:top="333"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June 30, 2020 and as adjusted to give effect to the sale of our units and the private warrants and the application of the estimated net proceeds derived from the sale of such securities.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June 30, 2020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Shares of common stock, $0.0001 par value, none and 14,077,346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subject to possible conversion/tender, respectively</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140,773,460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 shares authorized; as adjusted, 4,312,500 shares issued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outstanding, actual; 4,672,654 shares issued and outstanding</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(excluding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14,077,346 shares subject to possible conversion/tender), as adjusted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5,001,073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5,000,005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$ 151,023,465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0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$4,500,000 we will receive from the sale of the private warrants (assumes the over-allotment option has not been exercised).</w:t>
      </w:r>
    </w:p>
    <w:p>
      <w:pPr>
        <w:ind w:left="880" w:right="479" w:hanging="426"/>
        <w:spacing w:after="0" w:line="288" w:lineRule="auto"/>
        <w:tabs>
          <w:tab w:leader="none" w:pos="89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06" w:lineRule="exact"/>
        <w:rPr>
          <w:sz w:val="20"/>
          <w:szCs w:val="20"/>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158" w:lineRule="exact"/>
        <w:rPr>
          <w:sz w:val="20"/>
          <w:szCs w:val="20"/>
          <w:color w:val="auto"/>
        </w:rPr>
      </w:pPr>
    </w:p>
    <w:p>
      <w:pPr>
        <w:ind w:left="1320" w:right="479" w:hanging="434"/>
        <w:spacing w:after="0" w:line="282"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at June 30, 2020, we had $24,465 in cash and no deferred offering costs. Further, we expect to continue to incur significant costs in the pursuit of our acquisition plans. Our plans to raise capital or to consummate our initial business combination may not be successful.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As indicated in the accompanying financial statements, at June 30, 2020, we had $24,465 in cash and working capital of $23,465.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2" w:name="page53"/>
    <w:bookmarkEnd w:id="52"/>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non-deferred underwriting fees and qualified independent underwriter fees of $3,000,000 (or $3,450,000 if the over-allotment option is exercised in full) and (2) the sale of the private warrants for a purchase price of $4,500,000 will be $151,000,000 (or $173,500,000 if the over-allotment option is exercised in full). Of this amount, $150,000,000 (or $172,500,000 if the over-allotment option is exercised in full), or “the net offering proceeds,” will be held in the trust account. The remaining $1,000,000 (whether or not the over-allotment option is exercised in full) will not be held in the trust account.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21" w:lineRule="exact"/>
        <w:rPr>
          <w:sz w:val="20"/>
          <w:szCs w:val="20"/>
          <w:color w:val="auto"/>
        </w:rPr>
      </w:pPr>
    </w:p>
    <w:p>
      <w:pPr>
        <w:jc w:val="both"/>
        <w:ind w:left="1320" w:right="459" w:hanging="434"/>
        <w:spacing w:after="0" w:line="266" w:lineRule="auto"/>
        <w:tabs>
          <w:tab w:leader="none" w:pos="14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of expenses for the due diligence and investigation of a target business by our officers, directors and initial stockholders;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of expenses in legal and accounting fees relating to our SEC reporting obligations;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 for the payment of the administrative fee to Chardan Capital Markets LLC (of $10,000 per month for up to 24 months), subject to deferral as described herein;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$620,000 for general working capital that will be used for miscellaneous expenses, including director and officer liability insurance premiums.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at the closing of a business combination. To date, the Company has drawn $150,000 under the promissory note.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27" w:lineRule="exact"/>
        <w:rPr>
          <w:sz w:val="20"/>
          <w:szCs w:val="20"/>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2020, we did not have any off-balance sheet arrangements as defined in Item 303(a)(4)</w:t>
      </w:r>
    </w:p>
    <w:p>
      <w:pPr>
        <w:spacing w:after="0" w:line="27" w:lineRule="exact"/>
        <w:rPr>
          <w:sz w:val="20"/>
          <w:szCs w:val="20"/>
          <w:color w:val="auto"/>
        </w:rPr>
      </w:pPr>
    </w:p>
    <w:p>
      <w:pPr>
        <w:ind w:left="460" w:right="479" w:hanging="6"/>
        <w:spacing w:after="0" w:line="260" w:lineRule="auto"/>
        <w:tabs>
          <w:tab w:leader="none" w:pos="7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did not have any commitments or contractual obligations. No unaudited quarterly operating data is included in this prospectus as we have conducted no operations to date.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06"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0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 Todd Ruppert and Mr. Robert Martin, we are confident that the combined experience makes us well situated to identify, source, negotiate and execute an initial business combination in the hospitality, leisure, travel and dining sectors.</w:t>
      </w:r>
    </w:p>
    <w:p>
      <w:pPr>
        <w:spacing w:after="0" w:line="107"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Corp. (NYSE: NRF), which he successfully took public in</w:t>
      </w:r>
    </w:p>
    <w:p>
      <w:pPr>
        <w:spacing w:after="0" w:line="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2004. In 2005, Mr. Scheetz became the Chief Executive Officer of Morgans Hotel Group Co.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 consideration, due diligence and acquisition of the 25-unit spa and class-based fitness company for Hyatt’s Wellness</w:t>
      </w:r>
    </w:p>
    <w:p>
      <w:pPr>
        <w:sectPr>
          <w:pgSz w:w="11900" w:h="16838" w:orient="portrait"/>
          <w:cols w:equalWidth="0" w:num="1">
            <w:col w:w="9019"/>
          </w:cols>
          <w:pgMar w:left="1440" w:top="333"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6" w:name="page57"/>
    <w:bookmarkEnd w:id="56"/>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Mr. Strasbourger is our Chief Operating Officer,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108"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Mr. Phatak is our Chief Investment Officer, and has over 17 years of experience in various finance and direct investment roles on Wall Street. Mr. Phatak founded his own investment firm, Tappan Street Partners LLC, where he has led a research driven investment process for a number of private funds over the past nine years. Additionally, Mr. Phatak was a Partner at Markley Capital Management from 2019 to 2020. Prior to Tappan Street, Mr. Phatak developed his investment expertise as a member of the US investment team at Eton Park Capital Management from 2005 to 2011, helping to deploy approximately $5 billion of capital as part of a six-member team. During his career, Mr. Phatak has underwritten investments in a variety of different sectors, including gaming, hospitality, and leisure. Mr. Phatak began his career at the Blackstone Group (NYSE: BX) as an analyst in the Restructuring and Reorganization Advisory group from 2003 to 2005, and later as a private equity associate at Madison Dearborn Partners during 2005.</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79 SPAC IPOs. Since 2018, Chardan has been merger and acquisition advisor to nine SPACs, helping companies close transactions valued at approximately $4.0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six SPACs, five of which have closed successful business combinations and one of which is currently seeking an acquisition.</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Mr. Jonas Grossman is a partner, the President and Head of Capital Markets for Chardan Capital Markets LLC, a New York headquartered broker/dealer, established in 2003. Since 2003, Mr. Grossman has overseen the firm’s investment banking and capital markets activities and initiatives. He has extensive transactional experience having led or managed more than 400 transactions during his tenure at Chardan.</w:t>
      </w:r>
    </w:p>
    <w:p>
      <w:pPr>
        <w:spacing w:after="0" w:line="8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Grossman has nearly two decades of SPAC expertise. Mr. Grossman has provided underwriting and business combination advisory services to more than 75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which recently announced a business combination with Vincera Pharma, Inc. Since April 2020, Mr. Grossman has been the Chief Executive Officer and President of Chardan Healthcare Acquisition 2 Corp.</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 companies, as a leader in Citi’s corporate strategy and M&amp;A group, UBS Financial Institutions Group’s investment bank, and General Electric’s corporate development group, and at boutique investment banking advisors, such as Lazard Middle Market and William Blair.</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of directors will include Julie Atkinson, Chief Marketing Officer for Founders Table Restaurant Group, which includes the Chopt and Dos Toros restaurant brands.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Mr. R. Todd Ruppert and Mr. Robert Martin will serve as Senior Advisors to the management team.</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Mr. Ruppert has had a 40-year career in financial services, and was formerly CEO and president of T. Rowe Price Global Investment Services, co-president, T. Rowe Price International, and a member of the operating steering committee of the T. Rowe Price Group. Mr. Ruppert is the founder and CEO of Ruppert International, a venture partner at Greenspring Associates, the president of London’s Royal Parks Foundation, a global ambassador for the Duke of Edinburgh’s International Award, and a board member of INSEAD Business School as well as the Rock and Roll Hall of Fame, among other activities.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Martin is a Vice Chairman in JLL’s New York office, where he leads a ten member brokerage, advisory and consulting team that focuses on tenant representation in the New York Tri-state market. Mr. Martin is an accomplished real estate professional, having completed transactions involving more than 50 million square feet over his 35-year real estate career. Mr. Martin is also the principal and founder of RGM Holdings, a real estate investment firm that sources and invests in real estate assets in the New York metro area. RGM Holdings is the General Partner in a portfolio of real estate investments comprising over 690,000 square feet and a value in excess of $1.3 billion. Mr. Martin is also an early investor in a variety of ventures, including in the proptech and fintech sectors.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3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9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31" w:lineRule="exact"/>
        <w:rPr>
          <w:sz w:val="20"/>
          <w:szCs w:val="20"/>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8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89" w:lineRule="exact"/>
        <w:rPr>
          <w:sz w:val="20"/>
          <w:szCs w:val="20"/>
          <w:color w:val="auto"/>
        </w:rPr>
      </w:pPr>
    </w:p>
    <w:p>
      <w:pPr>
        <w:ind w:left="1320" w:right="479" w:hanging="434"/>
        <w:spacing w:after="0" w:line="282" w:lineRule="auto"/>
        <w:tabs>
          <w:tab w:leader="none" w:pos="1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to meet the changing consumer or business behaviors in a post-COVID 19 environment;</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identified any acquisition targets. From the period prior to our formation through the date of this prospectus, there have been no communications, evaluations or discussions between any of our officers, directors or our 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deferred underwriters’ fees and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1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2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public stockholders from a financial point of view.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deferred underwriters’ fees and taxes payable 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w:t>
      </w:r>
    </w:p>
    <w:p>
      <w:pPr>
        <w:sectPr>
          <w:pgSz w:w="11900" w:h="16838" w:orient="portrait"/>
          <w:cols w:equalWidth="0" w:num="1">
            <w:col w:w="9019"/>
          </w:cols>
          <w:pgMar w:left="1440" w:top="333"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2" w:name="page63"/>
    <w:bookmarkEnd w:id="62"/>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 or Businesses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target business or businesses or assets with which we effect our initial business combination must have a collective fair market value equal to at least 80% of the value of the trust account (excluding any deferred underwriters’ fees and taxes payable on the income earned on the trust account)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public stockholders.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06" w:lineRule="exact"/>
        <w:rPr>
          <w:sz w:val="20"/>
          <w:szCs w:val="20"/>
          <w:color w:val="auto"/>
        </w:rPr>
      </w:pPr>
    </w:p>
    <w:p>
      <w:pPr>
        <w:jc w:val="both"/>
        <w:ind w:left="1320" w:right="459" w:hanging="434"/>
        <w:spacing w:after="0" w:line="266" w:lineRule="auto"/>
        <w:tabs>
          <w:tab w:leader="none" w:pos="13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Target’s Management Team</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or</w:t>
      </w:r>
    </w:p>
    <w:p>
      <w:pPr>
        <w:spacing w:after="0" w:line="3" w:lineRule="exact"/>
        <w:rPr>
          <w:sz w:val="20"/>
          <w:szCs w:val="20"/>
          <w:color w:val="auto"/>
        </w:rPr>
      </w:pPr>
    </w:p>
    <w:p>
      <w:pPr>
        <w:jc w:val="both"/>
        <w:ind w:left="460" w:right="459" w:hanging="6"/>
        <w:spacing w:after="0" w:line="251" w:lineRule="auto"/>
        <w:tabs>
          <w:tab w:leader="none" w:pos="7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determine to engage in a tender offer, such tender offer will be structured so that each stockholder may tender any or all of his, her or its public shares rather than some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937,001 of our public shares (or approximately 5.1%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Conversion/Tender Rights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any meeting called to approve an initial business combination,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less any taxes then due but not yet paid. A public stockholder may be required to vote for or against a proposed business combination in order to have his, her or its shares of common stock redeemed for cash. If required to do so, and the stockholder fails to vote for or against a proposed business combination, that stockholder would not be able to have his, her or its shares of common stock redeemed.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shares delivered by public 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of Trust Account if No Business Combination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we do not complete a business combination within 24 months from the closing of this offering, we will</w:t>
      </w:r>
    </w:p>
    <w:p>
      <w:pPr>
        <w:spacing w:after="0" w:line="27" w:lineRule="exact"/>
        <w:rPr>
          <w:sz w:val="20"/>
          <w:szCs w:val="20"/>
          <w:color w:val="auto"/>
        </w:rPr>
      </w:pPr>
    </w:p>
    <w:p>
      <w:pPr>
        <w:jc w:val="both"/>
        <w:ind w:left="460" w:right="479" w:hanging="6"/>
        <w:spacing w:after="0" w:line="253" w:lineRule="auto"/>
        <w:tabs>
          <w:tab w:leader="none" w:pos="6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1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09"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 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11" w:lineRule="exact"/>
        <w:rPr>
          <w:sz w:val="20"/>
          <w:szCs w:val="20"/>
          <w:color w:val="auto"/>
        </w:rPr>
      </w:pPr>
    </w:p>
    <w:p>
      <w:pPr>
        <w:jc w:val="both"/>
        <w:ind w:left="1320" w:right="459" w:hanging="434"/>
        <w:spacing w:after="0" w:line="254" w:lineRule="auto"/>
        <w:tabs>
          <w:tab w:leader="none" w:pos="13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$150,000,000, or $172,500,000 if the over-allotment option is exercised in full, shall be placed into the trust account;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Revisions to Agreements with Insiders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12" w:lineRule="exact"/>
        <w:rPr>
          <w:sz w:val="20"/>
          <w:szCs w:val="20"/>
          <w:color w:val="auto"/>
        </w:rPr>
      </w:pPr>
    </w:p>
    <w:p>
      <w:pPr>
        <w:jc w:val="both"/>
        <w:ind w:left="1320" w:right="459" w:hanging="434"/>
        <w:spacing w:after="0" w:line="266" w:lineRule="auto"/>
        <w:tabs>
          <w:tab w:leader="none" w:pos="15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8" w:name="page69"/>
    <w:bookmarkEnd w:id="68"/>
    <w:p>
      <w:pPr>
        <w:ind w:left="1320" w:right="459" w:hanging="434"/>
        <w:spacing w:after="0" w:line="282" w:lineRule="auto"/>
        <w:tabs>
          <w:tab w:leader="none" w:pos="1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of our securities could be amended to allow transfer to third parties who were not members of our original management team;</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management team to not propose amendments to our organizational documents could be amended to allow them to propose such changes to our stockholders;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insiders to not receive any compensation in connection with a business combination could be modified in order to allow them to receive such compensation;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a valuation for any target business affiliated with our insiders, in the event it was too expensive to do so.</w:t>
      </w:r>
    </w:p>
    <w:p>
      <w:pPr>
        <w:spacing w:after="0" w:line="8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specified above, stockholders would not be required to be given the opportunity to redeem their shares in connection with such changes. Such changes could result in:</w:t>
      </w:r>
    </w:p>
    <w:p>
      <w:pPr>
        <w:spacing w:after="0" w:line="94" w:lineRule="exact"/>
        <w:rPr>
          <w:sz w:val="20"/>
          <w:szCs w:val="20"/>
          <w:color w:val="auto"/>
        </w:rPr>
      </w:pPr>
    </w:p>
    <w:p>
      <w:pPr>
        <w:jc w:val="both"/>
        <w:ind w:left="1320" w:right="459" w:hanging="434"/>
        <w:spacing w:after="0" w:line="266" w:lineRule="auto"/>
        <w:tabs>
          <w:tab w:leader="none" w:pos="13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being able to vote against a business combination or in favor of changes to our organizational documents;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being controlled by a new management team that our stockholders did not elect to invest with;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receiving compensation in connection with a business combination;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closing a transaction with one of their affiliates without receiving an independent valuation of such business.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deferred underwriters’ fees and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currently have 3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registered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$150,000,000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-691515</wp:posOffset>
            </wp:positionV>
            <wp:extent cx="40633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Company, acting as trustee.</w:t>
      </w:r>
      <w:r>
        <w:rPr>
          <w:sz w:val="20"/>
          <w:szCs w:val="20"/>
          <w:color w:val="auto"/>
        </w:rPr>
        <w:tab/>
      </w:r>
      <w:r>
        <w:rPr>
          <w:rFonts w:ascii="Times New Roman" w:cs="Times New Roman" w:eastAsia="Times New Roman" w:hAnsi="Times New Roman"/>
          <w:sz w:val="18"/>
          <w:szCs w:val="18"/>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persons having the beneficial interests in the</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account.</w:t>
      </w:r>
    </w:p>
    <w:p>
      <w:pPr>
        <w:spacing w:after="0" w:line="162" w:lineRule="exact"/>
        <w:rPr>
          <w:sz w:val="20"/>
          <w:szCs w:val="20"/>
          <w:color w:val="auto"/>
        </w:rPr>
      </w:pPr>
    </w:p>
    <w:p>
      <w:pPr>
        <w:sectPr>
          <w:pgSz w:w="11900" w:h="16838" w:orient="portrait"/>
          <w:cols w:equalWidth="0" w:num="2">
            <w:col w:w="1860" w:space="300"/>
            <w:col w:w="6859"/>
          </w:cols>
          <w:pgMar w:left="1440" w:top="333"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 of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$150,000,000  of  the  net  offering</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Proceeds could be invested only in specified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and proceeds from the sale of the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such as a money market fund</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private warrants held in trust will only be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conditions  of  the  Investment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invested  in  United  States  government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Act or in securities that are direct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bills,  bonds  or  notes  with  a</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or obligations guaranteed as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maturity of 183 days or less or in money</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to principal or interest by, the United States.</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funds  meeting  the  applicable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under Rule 2a-7 promulgated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the Investment Company Act and</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that  invest  solely  in  United  States</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treasuries.</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on</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initial target business that we acquire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or net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must have a fair market value equal to at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target business unless the fair value of such</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 of target</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least 80% of the balance in our trust</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or  net  assets  to  be  acquired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 net of taxes payable at the time of</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execution of a definitive agreement for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offering proceeds.</w:t>
            </w: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our initial business combination.</w:t>
            </w:r>
          </w:p>
        </w:tc>
        <w:tc>
          <w:tcPr>
            <w:tcW w:w="3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of securities</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units may commence trading on or</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promptly after the date of this prospectus.</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shares of common stock and warrants</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comprising the units will begin to trade</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w:t>
            </w: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held in the escrow or trust account.</w:t>
            </w: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prospectus unless Chardan informs us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its decision to allow earlier separate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trading (based upon its assessment of the</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relative strengths of the securities markets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small capitalization and blank check</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companies  in  general,  and  the  trading</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pattern of, and demand for, our securities</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 particular), provided we have filed with</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 a Current Report on Form 8-K,</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which includes an audited balance sheet</w:t>
            </w:r>
          </w:p>
        </w:tc>
        <w:tc>
          <w:tcPr>
            <w:tcW w:w="3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reflecting our receipt of the proceeds of</w:t>
            </w:r>
          </w:p>
        </w:tc>
        <w:tc>
          <w:tcPr>
            <w:tcW w:w="3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offering.</w:t>
            </w:r>
          </w:p>
        </w:tc>
        <w:tc>
          <w:tcPr>
            <w:tcW w:w="32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333"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1" w:name="page72"/>
    <w:bookmarkEnd w:id="71"/>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Exercise of</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the warrants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Terms of the Offering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Terms Under a Rule 419 Offering</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296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296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warrants cannot be exercised until</w:t>
            </w:r>
          </w:p>
        </w:tc>
        <w:tc>
          <w:tcPr>
            <w:tcW w:w="100" w:type="dxa"/>
            <w:vAlign w:val="bottom"/>
            <w:vMerge w:val="continue"/>
          </w:tcPr>
          <w:p>
            <w:pPr>
              <w:spacing w:after="0"/>
              <w:rPr>
                <w:sz w:val="16"/>
                <w:szCs w:val="16"/>
                <w:color w:val="auto"/>
              </w:rPr>
            </w:pPr>
          </w:p>
        </w:tc>
        <w:tc>
          <w:tcPr>
            <w:tcW w:w="3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warrants could be exercised prior to</w:t>
            </w:r>
          </w:p>
        </w:tc>
        <w:tc>
          <w:tcPr>
            <w:tcW w:w="0" w:type="dxa"/>
            <w:vAlign w:val="bottom"/>
          </w:tcPr>
          <w:p>
            <w:pPr>
              <w:spacing w:after="0"/>
              <w:rPr>
                <w:sz w:val="1"/>
                <w:szCs w:val="1"/>
                <w:color w:val="auto"/>
              </w:rPr>
            </w:pP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business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completion of a business combination,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combination and, accordingly, will be</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but securities received and cash paid in</w:t>
            </w:r>
          </w:p>
        </w:tc>
        <w:tc>
          <w:tcPr>
            <w:tcW w:w="0" w:type="dxa"/>
            <w:vAlign w:val="bottom"/>
          </w:tcPr>
          <w:p>
            <w:pPr>
              <w:spacing w:after="0"/>
              <w:rPr>
                <w:sz w:val="1"/>
                <w:szCs w:val="1"/>
                <w:color w:val="auto"/>
              </w:rPr>
            </w:pPr>
          </w:p>
        </w:tc>
      </w:tr>
      <w:tr>
        <w:trPr>
          <w:trHeight w:val="216"/>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exercised only after the trust account has</w:t>
            </w: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connection with the exercise would be</w:t>
            </w:r>
          </w:p>
        </w:tc>
        <w:tc>
          <w:tcPr>
            <w:tcW w:w="0" w:type="dxa"/>
            <w:vAlign w:val="bottom"/>
          </w:tcPr>
          <w:p>
            <w:pPr>
              <w:spacing w:after="0"/>
              <w:rPr>
                <w:sz w:val="1"/>
                <w:szCs w:val="1"/>
                <w:color w:val="auto"/>
              </w:rPr>
            </w:pPr>
          </w:p>
        </w:tc>
      </w:tr>
      <w:tr>
        <w:trPr>
          <w:trHeight w:val="234"/>
        </w:trPr>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been terminated and distributed.</w:t>
            </w:r>
          </w:p>
        </w:tc>
        <w:tc>
          <w:tcPr>
            <w:tcW w:w="6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deposited in the escrow or trust account.</w:t>
            </w:r>
          </w:p>
        </w:tc>
        <w:tc>
          <w:tcPr>
            <w:tcW w:w="0" w:type="dxa"/>
            <w:vAlign w:val="bottom"/>
          </w:tcPr>
          <w:p>
            <w:pPr>
              <w:spacing w:after="0"/>
              <w:rPr>
                <w:sz w:val="1"/>
                <w:szCs w:val="1"/>
                <w:color w:val="auto"/>
              </w:rPr>
            </w:pPr>
          </w:p>
        </w:tc>
      </w:tr>
    </w:tbl>
    <w:p>
      <w:pPr>
        <w:spacing w:after="0" w:line="167" w:lineRule="exact"/>
        <w:rPr>
          <w:sz w:val="20"/>
          <w:szCs w:val="20"/>
          <w:color w:val="auto"/>
        </w:rPr>
      </w:pPr>
    </w:p>
    <w:p>
      <w:pPr>
        <w:sectPr>
          <w:pgSz w:w="11900" w:h="16838" w:orient="portrait"/>
          <w:cols w:equalWidth="0" w:num="2">
            <w:col w:w="1660" w:space="720"/>
            <w:col w:w="6639"/>
          </w:cols>
          <w:pgMar w:left="1440" w:top="340" w:right="1440" w:bottom="1440" w:gutter="0" w:footer="0" w:header="0"/>
        </w:sectPr>
      </w:pPr>
    </w:p>
    <w:tbl>
      <w:tblPr>
        <w:tblLayout w:type="fixed"/>
        <w:tblInd w:w="46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 an</w:t>
            </w: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We will either (1) give our stockholders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prospectus</w:t>
            </w: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containing</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w:t>
            </w:r>
          </w:p>
        </w:tc>
      </w:tr>
      <w:tr>
        <w:trPr>
          <w:trHeight w:val="220"/>
        </w:trPr>
        <w:tc>
          <w:tcPr>
            <w:tcW w:w="1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 opportunity to vote on the business</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required by the SEC would be sent to each</w:t>
            </w:r>
          </w:p>
        </w:tc>
      </w:tr>
      <w:tr>
        <w:trPr>
          <w:trHeight w:val="216"/>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combination or (2) provide our public</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investor. Each investor would be given the</w:t>
            </w:r>
          </w:p>
        </w:tc>
      </w:tr>
      <w:tr>
        <w:trPr>
          <w:trHeight w:val="216"/>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stockholders with the opportunity to sell</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opportunity  to  notify  the  company,  in</w:t>
            </w:r>
          </w:p>
        </w:tc>
      </w:tr>
      <w:tr>
        <w:trPr>
          <w:trHeight w:val="214"/>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their public shares to us in a tender offer</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writing, within a period of no less than 20</w:t>
            </w:r>
          </w:p>
        </w:tc>
      </w:tr>
      <w:tr>
        <w:trPr>
          <w:trHeight w:val="218"/>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xml:space="preserve">for cash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days</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than</w:t>
            </w:r>
          </w:p>
        </w:tc>
      </w:tr>
      <w:tr>
        <w:trPr>
          <w:trHeight w:val="216"/>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 aggregate amount then on deposit in</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45 business days from the effective date of</w:t>
            </w:r>
          </w:p>
        </w:tc>
      </w:tr>
      <w:tr>
        <w:trPr>
          <w:trHeight w:val="216"/>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the trust account, less taxes. If we hold a</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post-effective amendment, to decide</w:t>
            </w:r>
          </w:p>
        </w:tc>
      </w:tr>
      <w:tr>
        <w:trPr>
          <w:trHeight w:val="216"/>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meeting to approve a proposed business</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whether he, she or it elects to remain a</w:t>
            </w:r>
          </w:p>
        </w:tc>
      </w:tr>
      <w:tr>
        <w:trPr>
          <w:trHeight w:val="216"/>
        </w:trPr>
        <w:tc>
          <w:tcPr>
            <w:tcW w:w="1780" w:type="dxa"/>
            <w:vAlign w:val="bottom"/>
          </w:tcPr>
          <w:p>
            <w:pPr>
              <w:spacing w:after="0"/>
              <w:rPr>
                <w:sz w:val="18"/>
                <w:szCs w:val="18"/>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combination,   we   will   send   each</w:t>
            </w:r>
          </w:p>
        </w:tc>
        <w:tc>
          <w:tcPr>
            <w:tcW w:w="31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stockholder of the company or require the</w:t>
            </w:r>
          </w:p>
        </w:tc>
      </w:tr>
      <w:tr>
        <w:trPr>
          <w:trHeight w:val="234"/>
        </w:trPr>
        <w:tc>
          <w:tcPr>
            <w:tcW w:w="178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return of</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 or</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her</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If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bl>
    <w:p>
      <w:pPr>
        <w:spacing w:after="0" w:line="171" w:lineRule="exact"/>
        <w:rPr>
          <w:sz w:val="20"/>
          <w:szCs w:val="20"/>
          <w:color w:val="auto"/>
        </w:rPr>
      </w:pPr>
    </w:p>
    <w:p>
      <w:pPr>
        <w:ind w:left="2380" w:right="459"/>
        <w:spacing w:after="0" w:line="250" w:lineRule="auto"/>
        <w:rPr>
          <w:sz w:val="20"/>
          <w:szCs w:val="20"/>
          <w:color w:val="auto"/>
        </w:rPr>
      </w:pPr>
      <w:r>
        <w:rPr>
          <w:rFonts w:ascii="Times New Roman" w:cs="Times New Roman" w:eastAsia="Times New Roman" w:hAnsi="Times New Roman"/>
          <w:sz w:val="18"/>
          <w:szCs w:val="18"/>
          <w:color w:val="auto"/>
        </w:rPr>
        <w:t>containing information required by the company has not received the notification SEC. Under Delaware law, we must by the end of the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business day, funds provide at least 10 days’ advance notice and interest or dividends, if any, held in of any meeting of stockholders. the trust or escrow account would Accordingly, this is the minimum automatically be returned to the amount of time we would need to stockholder. Unless a sufficient number of provide holders to determine whether to investors elect to remain investors, all of exercise their rights to convert their the deposited funds in the escrow account shares into cash at such a meeting or to must be returned to all investors and none remain an investor in our company. of the securities will be issued. Alternatively, if we do not hold a</w:t>
      </w:r>
    </w:p>
    <w:p>
      <w:pPr>
        <w:spacing w:after="0" w:line="21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meeting and instead conduct a tender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offer, we will conduct such tender offer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in accordance with the tender offer rules</w:t>
      </w:r>
    </w:p>
    <w:p>
      <w:pPr>
        <w:spacing w:after="0" w:line="9" w:lineRule="exact"/>
        <w:rPr>
          <w:sz w:val="20"/>
          <w:szCs w:val="20"/>
          <w:color w:val="auto"/>
        </w:rPr>
      </w:pPr>
    </w:p>
    <w:p>
      <w:pPr>
        <w:ind w:left="2380"/>
        <w:spacing w:after="0"/>
        <w:tabs>
          <w:tab w:leader="none" w:pos="2680" w:val="left"/>
          <w:tab w:leader="none" w:pos="3060" w:val="left"/>
          <w:tab w:leader="none" w:pos="3560" w:val="left"/>
          <w:tab w:leader="none" w:pos="3980" w:val="left"/>
          <w:tab w:leader="none" w:pos="4380" w:val="left"/>
          <w:tab w:leader="none" w:pos="5000" w:val="left"/>
        </w:tabs>
        <w:rPr>
          <w:sz w:val="20"/>
          <w:szCs w:val="20"/>
          <w:color w:val="auto"/>
        </w:rPr>
      </w:pPr>
      <w:r>
        <w:rPr>
          <w:rFonts w:ascii="Times New Roman" w:cs="Times New Roman" w:eastAsia="Times New Roman" w:hAnsi="Times New Roman"/>
          <w:sz w:val="18"/>
          <w:szCs w:val="18"/>
          <w:color w:val="auto"/>
        </w:rPr>
        <w:t>of</w:t>
        <w:tab/>
        <w:t>the</w:t>
        <w:tab/>
        <w:t>SEC</w:t>
        <w:tab/>
        <w:t>and</w:t>
        <w:tab/>
        <w:t>file</w:t>
        <w:tab/>
        <w:t>tender</w:t>
      </w:r>
      <w:r>
        <w:rPr>
          <w:sz w:val="20"/>
          <w:szCs w:val="20"/>
          <w:color w:val="auto"/>
        </w:rPr>
        <w:tab/>
      </w:r>
      <w:r>
        <w:rPr>
          <w:rFonts w:ascii="Times New Roman" w:cs="Times New Roman" w:eastAsia="Times New Roman" w:hAnsi="Times New Roman"/>
          <w:sz w:val="17"/>
          <w:szCs w:val="17"/>
          <w:color w:val="auto"/>
        </w:rPr>
        <w:t>offer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documents  with  the  SEC  which  will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contain substantially the same financial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and other information about the initial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business combination as we would have</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included in a proxy statement.</w:t>
      </w:r>
    </w:p>
    <w:p>
      <w:pPr>
        <w:spacing w:after="0" w:line="18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The tender offer rules require us to hold</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the tender offer open for at least 20</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business days. Accordingly, this is the</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minimum amount of time we would need</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to provide holders to determine whether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they want to sell their shares to us in the</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tender offer or remain an investor in our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company.</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certificate</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incorporation, if we do not complete an</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 within 24</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months from the consummation of this</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offering, it will trigger our automatic</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escrow  account  would  be  returned  to</w:t>
            </w:r>
          </w:p>
        </w:tc>
      </w:tr>
      <w:tr>
        <w:trPr>
          <w:trHeight w:val="234"/>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winding up, dissolution and liquidation.</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investors.</w:t>
            </w:r>
          </w:p>
        </w:tc>
      </w:tr>
      <w:tr>
        <w:trPr>
          <w:trHeight w:val="445"/>
        </w:trPr>
        <w:tc>
          <w:tcPr>
            <w:tcW w:w="1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0" w:right="1440" w:bottom="1440" w:gutter="0" w:footer="0" w:header="0"/>
          <w:type w:val="continuous"/>
        </w:sectPr>
      </w:pPr>
    </w:p>
    <w:bookmarkStart w:id="72" w:name="page73"/>
    <w:bookmarkEnd w:id="72"/>
    <w:p>
      <w:pPr>
        <w:spacing w:after="0" w:line="237" w:lineRule="exact"/>
        <w:rPr>
          <w:sz w:val="20"/>
          <w:szCs w:val="20"/>
          <w:color w:val="auto"/>
        </w:rPr>
      </w:pPr>
    </w:p>
    <w:p>
      <w:pPr>
        <w:ind w:left="6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Interest earned on the funds in the trust account</w:t>
      </w:r>
    </w:p>
    <w:p>
      <w:pPr>
        <w:spacing w:after="0" w:line="20" w:lineRule="exact"/>
        <w:rPr>
          <w:sz w:val="20"/>
          <w:szCs w:val="20"/>
          <w:color w:val="auto"/>
        </w:rPr>
      </w:pPr>
      <w:r>
        <w:rPr>
          <w:sz w:val="20"/>
          <w:szCs w:val="20"/>
          <w:color w:val="auto"/>
        </w:rPr>
        <w:br w:type="column"/>
      </w: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ind w:right="459"/>
        <w:spacing w:after="0" w:line="255" w:lineRule="auto"/>
        <w:rPr>
          <w:sz w:val="20"/>
          <w:szCs w:val="20"/>
          <w:color w:val="auto"/>
        </w:rPr>
      </w:pPr>
      <w:r>
        <w:rPr>
          <w:rFonts w:ascii="Times New Roman" w:cs="Times New Roman" w:eastAsia="Times New Roman" w:hAnsi="Times New Roman"/>
          <w:sz w:val="18"/>
          <w:szCs w:val="18"/>
          <w:color w:val="auto"/>
        </w:rPr>
        <w:t>There can be released to us, from time to All interest earned on the funds in the trust time, any interest earned on the funds in account will be held in trust for the benefit the trust account that we may need to pay of public stockholders until the earlier of our tax obligations. The remaining interest the completion of a business combination earned on the funds in the trust account and our liquidation upon failure to effect a will not be released until the earlier of the business combination within the allotted completion of a business combination and time. our entry into liquidation upon failure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-974090</wp:posOffset>
            </wp:positionV>
            <wp:extent cx="40633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 business combination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allotted time.</w:t>
      </w:r>
    </w:p>
    <w:p>
      <w:pPr>
        <w:spacing w:after="0" w:line="176" w:lineRule="exact"/>
        <w:rPr>
          <w:sz w:val="20"/>
          <w:szCs w:val="20"/>
          <w:color w:val="auto"/>
        </w:rPr>
      </w:pPr>
    </w:p>
    <w:p>
      <w:pPr>
        <w:sectPr>
          <w:pgSz w:w="11900" w:h="16838" w:orient="portrait"/>
          <w:cols w:equalWidth="0" w:num="2">
            <w:col w:w="1940" w:space="220"/>
            <w:col w:w="6859"/>
          </w:cols>
          <w:pgMar w:left="1440" w:top="340" w:right="1440" w:bottom="1440" w:gutter="0" w:footer="0" w:header="0"/>
        </w:sectPr>
      </w:pPr>
    </w:p>
    <w:p>
      <w:pPr>
        <w:jc w:val="both"/>
        <w:ind w:left="2160" w:right="459" w:hanging="1700"/>
        <w:spacing w:after="0" w:line="255"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Release of funds</w:t>
      </w:r>
      <w:r>
        <w:rPr>
          <w:sz w:val="20"/>
          <w:szCs w:val="20"/>
          <w:color w:val="auto"/>
        </w:rPr>
        <w:tab/>
      </w:r>
      <w:r>
        <w:rPr>
          <w:rFonts w:ascii="Times New Roman" w:cs="Times New Roman" w:eastAsia="Times New Roman" w:hAnsi="Times New Roman"/>
          <w:sz w:val="18"/>
          <w:szCs w:val="18"/>
          <w:color w:val="auto"/>
        </w:rPr>
        <w:t>Except for interest earned on the funds The proceeds held in the escrow account held in the trust account that may be would not be released until the earlier of the released to us to pay our tax obligations, completion of a business combination or the the proceeds held in the trust account will failure to effect a business combination not be released until the earlier of the within the allotted time.</w:t>
      </w:r>
    </w:p>
    <w:p>
      <w:pPr>
        <w:spacing w:after="0" w:line="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completion of a business combination (in</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which case, the proceeds released to us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will be net of the funds used to pay</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converting or tendering stockholders, as</w:t>
      </w:r>
    </w:p>
    <w:p>
      <w:pPr>
        <w:spacing w:after="0" w:line="9" w:lineRule="exact"/>
        <w:rPr>
          <w:sz w:val="20"/>
          <w:szCs w:val="20"/>
          <w:color w:val="auto"/>
        </w:rPr>
      </w:pPr>
    </w:p>
    <w:p>
      <w:pPr>
        <w:ind w:left="2160"/>
        <w:spacing w:after="0"/>
        <w:tabs>
          <w:tab w:leader="none" w:pos="2560" w:val="left"/>
          <w:tab w:leader="none" w:pos="3240" w:val="left"/>
          <w:tab w:leader="none" w:pos="3720" w:val="left"/>
          <w:tab w:leader="none" w:pos="4480" w:val="left"/>
          <w:tab w:leader="none" w:pos="5020" w:val="left"/>
        </w:tabs>
        <w:rPr>
          <w:sz w:val="20"/>
          <w:szCs w:val="20"/>
          <w:color w:val="auto"/>
        </w:rPr>
      </w:pPr>
      <w:r>
        <w:rPr>
          <w:rFonts w:ascii="Times New Roman" w:cs="Times New Roman" w:eastAsia="Times New Roman" w:hAnsi="Times New Roman"/>
          <w:sz w:val="18"/>
          <w:szCs w:val="18"/>
          <w:color w:val="auto"/>
        </w:rPr>
        <w:t>the</w:t>
        <w:tab/>
        <w:t>trustee</w:t>
        <w:tab/>
        <w:t>will</w:t>
        <w:tab/>
        <w:t>directly</w:t>
        <w:tab/>
        <w:t>send</w:t>
        <w:tab/>
        <w:t>the</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appropriate portion of the amount held in</w:t>
      </w:r>
    </w:p>
    <w:p>
      <w:pPr>
        <w:spacing w:after="0" w:line="9" w:lineRule="exact"/>
        <w:rPr>
          <w:sz w:val="20"/>
          <w:szCs w:val="20"/>
          <w:color w:val="auto"/>
        </w:rPr>
      </w:pPr>
    </w:p>
    <w:p>
      <w:pPr>
        <w:ind w:left="2160"/>
        <w:spacing w:after="0"/>
        <w:tabs>
          <w:tab w:leader="none" w:pos="2620" w:val="left"/>
          <w:tab w:leader="none" w:pos="2920" w:val="left"/>
          <w:tab w:leader="none" w:pos="3300" w:val="left"/>
          <w:tab w:leader="none" w:pos="4240" w:val="left"/>
          <w:tab w:leader="none" w:pos="4560" w:val="left"/>
        </w:tabs>
        <w:rPr>
          <w:sz w:val="20"/>
          <w:szCs w:val="20"/>
          <w:color w:val="auto"/>
        </w:rPr>
      </w:pPr>
      <w:r>
        <w:rPr>
          <w:rFonts w:ascii="Times New Roman" w:cs="Times New Roman" w:eastAsia="Times New Roman" w:hAnsi="Times New Roman"/>
          <w:sz w:val="18"/>
          <w:szCs w:val="18"/>
          <w:color w:val="auto"/>
        </w:rPr>
        <w:t>trust</w:t>
        <w:tab/>
        <w:t>to</w:t>
        <w:tab/>
        <w:t>the</w:t>
        <w:tab/>
        <w:t>converting</w:t>
        <w:tab/>
        <w:t>or</w:t>
        <w:tab/>
        <w:t>tendering</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stockholders at the time of the business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combination) and the liquidation of our</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trust  account  upon  failure  to  effect  a</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business combination within the allotted</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time.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 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Investment Officer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Edward Scheetz, 55, has been our Chief Executive Officer and Chairman since August 2020. He is also the co-founder, Chief Executive Officer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Chief Financial Officer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2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Brock Strasbourger, 33, has been our Chief Operating Officer since October 2020. He is also the Chief Operating Officer of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w:t>
      </w:r>
    </w:p>
    <w:p>
      <w:pPr>
        <w:sectPr>
          <w:pgSz w:w="11900" w:h="16838" w:orient="portrait"/>
          <w:cols w:equalWidth="0" w:num="1">
            <w:col w:w="9019"/>
          </w:cols>
          <w:pgMar w:left="1440" w:top="333"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4" w:name="page75"/>
    <w:bookmarkEnd w:id="74"/>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Prasad Phatak, 38, has been our Chief Investment Officer since September 2020. He is also the Chief Investment Officer of Ventoux Acquisition. Since July 2011, Mr. Phatak has been the Managing Member of Tappan Street Partners LLC, where he has led the investment research and portfolio management for several private investment funds these past nine years. Additionally, from December 2019 to September 2020, Mr. Phatak was a Partner at Markley Capital Management, a US-focused investment firm. Mr. Phatak founded Tappan Street Partners after leaving Eton Park Capital Management, where he began as a Research Associate in October 2005 and focused on investing in both public and private investments in a variety of industries. Prior to Eton Park, Mr. Phatak worked as a private equity associate for Madison Dearborn Partners from July 2005 to October 2005, and began his career in July 2003 at the Blackstone Group (NYSE: BX) in the Restructuring and Reorganization Advisory Group, where he worked for two years as an investment banking analyst, analyzing complex corporate restructurings in both out of court and Chapter 11 reorganizations. Mr. Phatak graduated with high distinction from the University of Michigan Ross School of Business with a B.B.A. in Finance and Accounting in May 2003.</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Jonas Grossman, 45, has been our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a special purpose acquisition company that recently announced a business combination with Vincera Pharma, Inc. Since April 2020, Mr. Grossman has been the Chief Executive Officer and President of Chardan Healthcare Acquisition 2 Corp., a special purpose acquisition company. Mr. Grossman has served as Partner and Head of Capital Markets for Chardan Capital Markets, LLC, a New York headquartered broker/dealer, since December 2003, and has served as President of Chardan Capital Markets, LLC since September 2015. Since 2003, Mr. Grossman has overseen the firm’s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Woodrow (“Woody”) H. Levin, 41, has agreed to become our director as of the effective date of the registration statement of which this prospectus is part. Mr. Levin is the founder, and has been the Chief Executive Officer since February 2019, of Extend, Inc. Mr. Levin was the Chief Executive Officer of 3.0 Capital GP, LLC from November 2017 until January 2019. From September 2015 until October 2017, Mr. Levin served as Vice President of Growth at DocuSign, Inc. (NASDAQ: DOCU). In addition, Mr. Levin served as the founder and Chief Executive Officer of Estate Assist, Inc., from February 2014 to September 2015 (at which time it was acquired), and BringIt, Inc., from June 2009 to September 2012 (at which time it was acquired by DocuSign). Before that, Mr. Levin served as Director Emerging Business — Office of the CTO at International Game Technology PLC (NYSE: IGT). Since May 2013, Mr. Levin has served as a member of the board of directors of DraftKings Inc. (NASDAQ: DKNG), and he has served as a member of the board of directors of Extend, Inc. since February 2019. Since September 2020, Mr. Levin has been a member of the board of directors of 10X Capital Venture Acquisition Corp., a special purpose acquisition company. Mr. Levin received his J.D. from Chicago-Kent College of Law, Illinois Institute of Technology, and his B.A. from the University of Wisconsin. We believe Mr. Levin is qualified to serve on our board of directors because of his extensive experience and knowledge as an executive for technology companies.</w:t>
      </w:r>
    </w:p>
    <w:p>
      <w:pPr>
        <w:spacing w:after="0" w:line="12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January 2017 to May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 members, [•] of whom will be deemed “independent” under SEC and Nasdaq rules. We may not hold an annual meeting of stockholders until after we consummate our initial business combination.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 are “independent directors” as defined in the Nasdaq listing standards and applicable SEC rules. Our independent directors will have regularly scheduled meetings at which only independent directors are present.</w:t>
      </w:r>
    </w:p>
    <w:p>
      <w:pPr>
        <w:spacing w:after="0" w:line="11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an audit committee of the board of directors, which will consist of Mr. Weil, Ms. Atkinson, and [•] each of whom is an independent director. [•] will serve as chairman of the audit committee. The audit committee’s duties, which are specified in our Audit Committee Charter, include, but are not limited to:</w:t>
      </w:r>
    </w:p>
    <w:p>
      <w:pPr>
        <w:spacing w:after="0" w:line="112" w:lineRule="exact"/>
        <w:rPr>
          <w:sz w:val="20"/>
          <w:szCs w:val="20"/>
          <w:color w:val="auto"/>
        </w:rPr>
      </w:pPr>
    </w:p>
    <w:p>
      <w:pPr>
        <w:jc w:val="both"/>
        <w:ind w:left="1320" w:right="479" w:hanging="434"/>
        <w:spacing w:after="0" w:line="266" w:lineRule="auto"/>
        <w:tabs>
          <w:tab w:leader="none" w:pos="13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 nominating committee of the board of directors, which will consist of [•] and [•], each of whom is an independent director under Nasdaq’s listing standards. [•] is the Chairperson of the nominating committee.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Committee Charter, generally provide that persons to be nominated:</w:t>
      </w:r>
    </w:p>
    <w:p>
      <w:pPr>
        <w:spacing w:after="0" w:line="81" w:lineRule="exact"/>
        <w:rPr>
          <w:sz w:val="20"/>
          <w:szCs w:val="20"/>
          <w:color w:val="auto"/>
        </w:rPr>
      </w:pPr>
    </w:p>
    <w:p>
      <w:pPr>
        <w:ind w:left="1320" w:right="479" w:hanging="434"/>
        <w:spacing w:after="0" w:line="282" w:lineRule="auto"/>
        <w:tabs>
          <w:tab w:leader="none" w:pos="1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have established a compensation committee of the board of directors consisting of Mr. Weil and [•], each of whom is an independent director. Mr. Weil will serve as chairman of the compensation committee. We will adopt a compensation committee charter, which will detail the principal functions of the compensation committee, including:</w:t>
      </w:r>
    </w:p>
    <w:p>
      <w:pPr>
        <w:spacing w:after="0" w:line="116" w:lineRule="exact"/>
        <w:rPr>
          <w:sz w:val="20"/>
          <w:szCs w:val="20"/>
          <w:color w:val="auto"/>
        </w:rPr>
      </w:pPr>
    </w:p>
    <w:p>
      <w:pPr>
        <w:jc w:val="both"/>
        <w:ind w:left="1320" w:right="459" w:hanging="434"/>
        <w:spacing w:after="0" w:line="261" w:lineRule="auto"/>
        <w:tabs>
          <w:tab w:leader="none" w:pos="1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8" w:name="page79"/>
    <w:bookmarkEnd w:id="78"/>
    <w:p>
      <w:pPr>
        <w:ind w:left="1320" w:right="479" w:hanging="434"/>
        <w:spacing w:after="0" w:line="282" w:lineRule="auto"/>
        <w:tabs>
          <w:tab w:leader="none" w:pos="16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158" w:lineRule="exact"/>
        <w:rPr>
          <w:sz w:val="20"/>
          <w:szCs w:val="20"/>
          <w:color w:val="auto"/>
        </w:rPr>
      </w:pPr>
    </w:p>
    <w:p>
      <w:pPr>
        <w:jc w:val="both"/>
        <w:ind w:left="1320" w:right="479" w:hanging="434"/>
        <w:spacing w:after="0" w:line="266" w:lineRule="auto"/>
        <w:tabs>
          <w:tab w:leader="none" w:pos="15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45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81" w:lineRule="exact"/>
        <w:rPr>
          <w:sz w:val="20"/>
          <w:szCs w:val="20"/>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Furthermore, Mr. Grossman is a director of each of LifeSci Acquisition Corp. and Chardan Healthcare Acquisition 2 Corp., and an officer of Chardan Healthcare Acquisition 2 Corp. Mr. Levin is a director of 10X Capital Venture Acquisition Corp. Each of LifeSci Acquisition Corp., Chardan Healthcare Acquisition 2 Corp. and 10X Capital Venture Acquisition Corp. is a special purpose acquisition company that is seeking a target for a business combination. These entities may have priority over us in connection with potential target business identified by each of them. These affiliations may limit the number of potential targets these individuals present to us for purposes of completing a business combination.</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material pre-existing fiduciary or contractual obligations of our officers, directors and director nominees: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6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Matthew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Tappan Street Partners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International Investments,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Head of Capital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432"/>
        </w:trPr>
        <w:tc>
          <w:tcPr>
            <w:tcW w:w="14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80" w:name="page81"/>
    <w:bookmarkEnd w:id="8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7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6"/>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BiomX, Inc.</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Pre-clinical</w:t>
            </w:r>
          </w:p>
        </w:tc>
        <w:tc>
          <w:tcPr>
            <w:tcW w:w="100" w:type="dxa"/>
            <w:vAlign w:val="bottom"/>
            <w:vMerge w:val="continue"/>
          </w:tcPr>
          <w:p>
            <w:pPr>
              <w:spacing w:after="0"/>
              <w:rPr>
                <w:sz w:val="16"/>
                <w:szCs w:val="16"/>
                <w:color w:val="auto"/>
              </w:rPr>
            </w:pPr>
          </w:p>
        </w:tc>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microbiome company</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developing both natural</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engineered phage-</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based therapies for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acne and chronic</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diseases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LifeSci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49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Chardan Healthcare Acquisition 2 Corp. Blank check company</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President,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Cornix Advisors,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Founding Partner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Woodrow</w:t>
            </w: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Extend,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w w:val="97"/>
              </w:rPr>
              <w:t>(“Woody”) H. Levin</w:t>
            </w: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API-first solution for</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 and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merchants to offer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extended warranties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protection plans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 Capital GP,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DraftKings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digital sports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entertainment and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gaming</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10X Capital Venture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Alex Weil</w:t>
            </w: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w w:val="99"/>
              </w:rPr>
              <w:t>Managing Director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Co-Head of Fintech</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Banking</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Founders Table Restaurant Group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creation, acquisition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cultivation of</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founder led-restaurant</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companies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Provider of child care</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early education,</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dependent care, and</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040"/>
        <w:spacing w:after="0"/>
        <w:rPr>
          <w:sz w:val="20"/>
          <w:szCs w:val="20"/>
          <w:color w:val="auto"/>
        </w:rPr>
      </w:pPr>
      <w:r>
        <w:rPr>
          <w:rFonts w:ascii="Times New Roman" w:cs="Times New Roman" w:eastAsia="Times New Roman" w:hAnsi="Times New Roman"/>
          <w:sz w:val="18"/>
          <w:szCs w:val="18"/>
          <w:color w:val="auto"/>
        </w:rPr>
        <w:t>workforce education</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service</w:t>
      </w:r>
    </w:p>
    <w:p>
      <w:pPr>
        <w:spacing w:after="0" w:line="2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0" w:right="1440" w:bottom="1440" w:gutter="0" w:footer="0" w:header="0"/>
        </w:sectPr>
      </w:pPr>
    </w:p>
    <w:bookmarkStart w:id="81" w:name="page82"/>
    <w:bookmarkEnd w:id="81"/>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public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99" w:lineRule="exact"/>
        <w:rPr>
          <w:sz w:val="20"/>
          <w:szCs w:val="20"/>
          <w:color w:val="auto"/>
        </w:rPr>
      </w:pPr>
    </w:p>
    <w:p>
      <w:pPr>
        <w:ind w:left="1320" w:right="479" w:hanging="434"/>
        <w:spacing w:after="0" w:line="282" w:lineRule="auto"/>
        <w:tabs>
          <w:tab w:leader="none" w:pos="13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2500" w:type="dxa"/>
            <w:vAlign w:val="bottom"/>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After Offering</w:t>
            </w:r>
            <w:r>
              <w:rPr>
                <w:rFonts w:ascii="Times New Roman" w:cs="Times New Roman" w:eastAsia="Times New Roman" w:hAnsi="Times New Roman"/>
                <w:sz w:val="18"/>
                <w:szCs w:val="18"/>
                <w:b w:val="1"/>
                <w:bCs w:val="1"/>
                <w:color w:val="auto"/>
                <w:vertAlign w:val="superscript"/>
              </w:rPr>
              <w:t>(2)</w:t>
            </w:r>
          </w:p>
        </w:tc>
      </w:tr>
      <w:tr>
        <w:trPr>
          <w:trHeight w:val="187"/>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55"/>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48"/>
        </w:trPr>
        <w:tc>
          <w:tcPr>
            <w:tcW w:w="29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2,773,875</w:t>
            </w:r>
            <w:r>
              <w:rPr>
                <w:rFonts w:ascii="Times New Roman" w:cs="Times New Roman" w:eastAsia="Times New Roman" w:hAnsi="Times New Roman"/>
                <w:sz w:val="10"/>
                <w:szCs w:val="10"/>
                <w:color w:val="auto"/>
              </w:rPr>
              <w:t>(3)(4)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2,773,875</w:t>
            </w:r>
            <w:r>
              <w:rPr>
                <w:rFonts w:ascii="Times New Roman" w:cs="Times New Roman" w:eastAsia="Times New Roman" w:hAnsi="Times New Roman"/>
                <w:sz w:val="10"/>
                <w:szCs w:val="10"/>
                <w:color w:val="auto"/>
              </w:rPr>
              <w:t>(3)(4)</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2,408,250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41"/>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Prasad Phatak</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10"/>
                <w:szCs w:val="10"/>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1,296,750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Weil</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Woodrow H. Levin</w:t>
            </w: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22,500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22,500</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22,500</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22,500</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5"/>
        </w:trPr>
        <w:tc>
          <w:tcPr>
            <w:tcW w:w="3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individuals)</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4,312,500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8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Ventoux Acquisition Holdings LLC</w:t>
            </w:r>
            <w:r>
              <w:rPr>
                <w:rFonts w:ascii="Times New Roman" w:cs="Times New Roman" w:eastAsia="Times New Roman" w:hAnsi="Times New Roman"/>
                <w:sz w:val="20"/>
                <w:szCs w:val="20"/>
                <w:color w:val="auto"/>
                <w:vertAlign w:val="superscript"/>
              </w:rPr>
              <w:t>(6)</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2,773,875</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2,408,250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1,296,750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0"/>
        </w:trPr>
        <w:tc>
          <w:tcPr>
            <w:tcW w:w="2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9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 individuals is c/o Ventoux CCM Acquisition Corp., 1 East Putnam Avenue, Floor 4, Greenwich, CT 06830.</w:t>
      </w:r>
    </w:p>
    <w:p>
      <w:pPr>
        <w:ind w:left="880" w:right="479" w:hanging="426"/>
        <w:spacing w:after="0" w:line="264" w:lineRule="auto"/>
        <w:tabs>
          <w:tab w:leader="none" w:pos="91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exercise of the over-allotment option and, therefore, the forfeiture of an aggregate of 562,500 shares of common stock held by our initial stockholders.</w:t>
      </w:r>
    </w:p>
    <w:p>
      <w:pPr>
        <w:ind w:left="880" w:right="459" w:hanging="426"/>
        <w:spacing w:after="0" w:line="264" w:lineRule="auto"/>
        <w:tabs>
          <w:tab w:leader="none" w:pos="942"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Ventoux Acquisition Holdings LLC, for which Edward Scheetz and Matthew MacDonald are the managing members.</w:t>
      </w:r>
    </w:p>
    <w:p>
      <w:pPr>
        <w:ind w:left="880" w:hanging="426"/>
        <w:spacing w:after="0"/>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Ventoux Acquisition Holdings LLC distributed an aggregate of 45,000 shares to certain of our directors.</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Chardan International Investments, LLC, for which Jonas Grossman is the managing member.</w:t>
      </w:r>
    </w:p>
    <w:p>
      <w:pPr>
        <w:ind w:left="880" w:hanging="426"/>
        <w:spacing w:after="0"/>
        <w:tabs>
          <w:tab w:leader="none" w:pos="8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Edward Scheetz and Matthew MacDonald are the managing members of Ventoux Acquisition Holdings LLC.</w:t>
      </w:r>
    </w:p>
    <w:p>
      <w:pPr>
        <w:spacing w:after="0" w:line="15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ectPr>
          <w:pgSz w:w="11900" w:h="16838" w:orient="portrait"/>
          <w:cols w:equalWidth="0" w:num="1">
            <w:col w:w="9019"/>
          </w:cols>
          <w:pgMar w:left="1440" w:top="333"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3" w:name="page84"/>
    <w:bookmarkEnd w:id="83"/>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3" w:lineRule="exact"/>
        <w:rPr>
          <w:sz w:val="20"/>
          <w:szCs w:val="20"/>
          <w:color w:val="auto"/>
        </w:rPr>
      </w:pPr>
    </w:p>
    <w:p>
      <w:pPr>
        <w:jc w:val="both"/>
        <w:ind w:left="460" w:right="479" w:hanging="6"/>
        <w:spacing w:after="0" w:line="251" w:lineRule="auto"/>
        <w:tabs>
          <w:tab w:leader="none" w:pos="7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2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spacing w:after="0" w:line="11" w:lineRule="exact"/>
        <w:rPr>
          <w:sz w:val="20"/>
          <w:szCs w:val="20"/>
          <w:color w:val="auto"/>
        </w:rPr>
      </w:pPr>
    </w:p>
    <w:p>
      <w:pPr>
        <w:jc w:val="both"/>
        <w:ind w:left="460" w:right="479" w:hanging="6"/>
        <w:spacing w:after="0" w:line="253" w:lineRule="auto"/>
        <w:tabs>
          <w:tab w:leader="none" w:pos="7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2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of Ventoux Acquisition Holdings LLC and Chardan International Investments, LLC is a “promoter,” as that term is defined under the federal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directors prior to the consummation of the offering, resulting in Ventoux Acquisition holding a balance of 2,773,875 shares. The founder shares include an aggregate of up to 562,500 shares that are subject to forfeiture to the extent that the underwriters’ over-allotment option is not exercised in full or in part.</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6" w:name="page87"/>
    <w:bookmarkEnd w:id="86"/>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any such registration statements.</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at the closing of a business combination. To date, the Company has drawn $150,000 under the promissory note.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These agreements will require us to indemnify these individuals to the fullest extent permitted under Delaware law and to advance expenses incurred as a result of any proceeding against them as to which they could be indemnified to the fullest extent permitted by applicable law and our amended and restated certificate of incorporation.</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public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our amended certificate of incorporation, our authorized capital stock consists of [•],000,000 shares of common stock, par value $0.0001, and [•],000,000 shares of preferred stock, par value $0.0001. As of the date of this prospectus, 4,312,500 shares of common stock are issued and outstanding, held by our co-sponsors, our directors, and affiliates of our management team. No preferred shares are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unit consists of one share of common stock and one warrant.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shares of common stock and warrants comprising the units will not be separately traded until 90 days after the effective date of this prospectus unless Chardan informs us of its decision to allow earlier separate trading, but in no event will the shares of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our initial business combination within 24 months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9" w:name="page90"/>
    <w:bookmarkEnd w:id="89"/>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 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108" w:lineRule="exact"/>
        <w:rPr>
          <w:sz w:val="20"/>
          <w:szCs w:val="20"/>
          <w:color w:val="auto"/>
        </w:rPr>
      </w:pPr>
    </w:p>
    <w:p>
      <w:pPr>
        <w:ind w:left="1300" w:hanging="41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9"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1" w:name="page92"/>
    <w:bookmarkEnd w:id="91"/>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the Certain Warrants</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agreed that so long as the private warrants are still held by the initial purchasers or their affiliates,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48" w:lineRule="exact"/>
        <w:rPr>
          <w:sz w:val="20"/>
          <w:szCs w:val="20"/>
          <w:color w:val="auto"/>
        </w:rPr>
      </w:pPr>
    </w:p>
    <w:p>
      <w:pPr>
        <w:jc w:val="both"/>
        <w:ind w:left="460" w:right="479" w:firstLine="432"/>
        <w:spacing w:after="0" w:line="304"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Continental Stock Transfer &amp; Trust Company,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5" w:lineRule="exact"/>
        <w:rPr>
          <w:sz w:val="20"/>
          <w:szCs w:val="20"/>
          <w:color w:val="auto"/>
        </w:rPr>
      </w:pPr>
    </w:p>
    <w:p>
      <w:pPr>
        <w:ind w:left="1320" w:right="459" w:hanging="434"/>
        <w:spacing w:after="0" w:line="282" w:lineRule="auto"/>
        <w:tabs>
          <w:tab w:leader="none" w:pos="16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148"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opening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for certain lawsuits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24" w:lineRule="exact"/>
        <w:rPr>
          <w:sz w:val="20"/>
          <w:szCs w:val="20"/>
          <w:color w:val="auto"/>
        </w:rPr>
      </w:pPr>
    </w:p>
    <w:p>
      <w:pPr>
        <w:jc w:val="both"/>
        <w:ind w:left="1320" w:right="459" w:hanging="434"/>
        <w:spacing w:after="0" w:line="266" w:lineRule="auto"/>
        <w:tabs>
          <w:tab w:leader="none" w:pos="13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20" w:lineRule="exact"/>
        <w:rPr>
          <w:sz w:val="20"/>
          <w:szCs w:val="20"/>
          <w:color w:val="auto"/>
        </w:rPr>
      </w:pPr>
    </w:p>
    <w:p>
      <w:pPr>
        <w:ind w:left="1300" w:hanging="41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 of any such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of Units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copy of the underwriting agreement has been filed as an exhibit to the registration statement of which this prospectus forms a part.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units, shares of common stock and warrants will be quoted on Nasdaq under the symbols “VTAQU,” “VTAQ,” and “VTAQW,” respectively. Our units will be listed on Nasdaq on or promptly after the effective date of the registration statement. Following the date that our shares of common stock and warrants are eligible to trade separately, we anticipate that our shares of common stock and warrants will be listed separately and as a unit on Nasdaq. We cannot guarantee that our securities will continue to be listed on Nasdaq after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underwriters have agreed to reimburse certain of our expenses. We have agreed to reimburse the underwriters for accountable out-of-pocket expenses up to an aggregate amount of $200,000, including, but not limited to, travel, due diligence expenses, reasonable fees and expenses of its legal counsel, accountable roadshow expenses, background checks on our principal shareholders, directors and officers and fees and expenses related to the review by FINRA (not to exceed $26,375).</w:t>
      </w:r>
    </w:p>
    <w:p>
      <w:pPr>
        <w:spacing w:after="0" w:line="116" w:lineRule="exact"/>
        <w:rPr>
          <w:sz w:val="20"/>
          <w:szCs w:val="20"/>
          <w:color w:val="auto"/>
        </w:rPr>
      </w:pPr>
    </w:p>
    <w:p>
      <w:pPr>
        <w:jc w:val="both"/>
        <w:ind w:left="460" w:right="479" w:firstLine="432"/>
        <w:spacing w:after="0" w:line="277" w:lineRule="auto"/>
        <w:rPr>
          <w:sz w:val="20"/>
          <w:szCs w:val="20"/>
          <w:color w:val="auto"/>
        </w:rPr>
      </w:pPr>
      <w:r>
        <w:rPr>
          <w:rFonts w:ascii="Times New Roman" w:cs="Times New Roman" w:eastAsia="Times New Roman" w:hAnsi="Times New Roman"/>
          <w:sz w:val="17"/>
          <w:szCs w:val="17"/>
          <w:color w:val="auto"/>
        </w:rPr>
        <w:t>We have also agreed to provide Chardan Capital Markets LLC with a right of first refusal to participate as lead book running manager for any public or private securities offerings for a period of eighteen (18)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6" w:name="page97"/>
    <w:bookmarkEnd w:id="96"/>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r>
      <w:tr>
        <w:trPr>
          <w:trHeight w:val="46"/>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r>
              <w:rPr>
                <w:rFonts w:ascii="Times New Roman" w:cs="Times New Roman" w:eastAsia="Times New Roman" w:hAnsi="Times New Roman"/>
                <w:sz w:val="20"/>
                <w:szCs w:val="20"/>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r>
      <w:tr>
        <w:trPr>
          <w:trHeight w:val="28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r>
              <w:rPr>
                <w:rFonts w:ascii="Times New Roman" w:cs="Times New Roman" w:eastAsia="Times New Roman" w:hAnsi="Times New Roman"/>
                <w:sz w:val="20"/>
                <w:szCs w:val="20"/>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169,050,000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99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amount includes $5,250,000, or $0.35 per unit (or $6,037,500 if the underwriters’ over-allotment option is exercised in full) payable to the underwriters for deferred underwriting commissions upon completion of a business combination.</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expenses are estimated at $500,000.</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Pricing of Securities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12" w:lineRule="exact"/>
        <w:rPr>
          <w:sz w:val="20"/>
          <w:szCs w:val="20"/>
          <w:color w:val="auto"/>
        </w:rPr>
      </w:pPr>
    </w:p>
    <w:p>
      <w:pPr>
        <w:ind w:left="1320" w:right="479" w:hanging="434"/>
        <w:spacing w:after="0" w:line="282" w:lineRule="auto"/>
        <w:tabs>
          <w:tab w:leader="none" w:pos="15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amount of net proceeds being placed into the trust account;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58"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Restrictions on Purchase of Securities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95" w:lineRule="exact"/>
        <w:rPr>
          <w:sz w:val="20"/>
          <w:szCs w:val="20"/>
          <w:color w:val="auto"/>
        </w:rPr>
      </w:pPr>
    </w:p>
    <w:p>
      <w:pPr>
        <w:jc w:val="both"/>
        <w:ind w:left="1320" w:right="459" w:hanging="434"/>
        <w:spacing w:after="0" w:line="266" w:lineRule="auto"/>
        <w:tabs>
          <w:tab w:leader="none" w:pos="152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Stabilizing Transactions</w:t>
      </w:r>
      <w:r>
        <w:rPr>
          <w:rFonts w:ascii="Times New Roman" w:cs="Times New Roman" w:eastAsia="Times New Roman" w:hAnsi="Times New Roman"/>
          <w:sz w:val="18"/>
          <w:szCs w:val="18"/>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7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-1261745</wp:posOffset>
            </wp:positionV>
            <wp:extent cx="2943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4386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06" w:lineRule="exact"/>
        <w:rPr>
          <w:sz w:val="20"/>
          <w:szCs w:val="20"/>
          <w:color w:val="auto"/>
        </w:rPr>
      </w:pPr>
    </w:p>
    <w:p>
      <w:pPr>
        <w:jc w:val="both"/>
        <w:ind w:left="1320" w:right="479" w:hanging="434"/>
        <w:spacing w:after="0" w:line="266" w:lineRule="auto"/>
        <w:tabs>
          <w:tab w:leader="none" w:pos="131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Penalty Bids</w:t>
      </w:r>
      <w:r>
        <w:rPr>
          <w:rFonts w:ascii="Times New Roman" w:cs="Times New Roman" w:eastAsia="Times New Roman" w:hAnsi="Times New Roman"/>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Chardan Investments, our co-sponsor, is an affiliate of Chardan Capital Markets LLC, the representative of the underwriters in this offering, and Messrs. Grossman and Weil are affiliated with Chardan Capital Markets LLC. As a result, Chardan Capital Markets LLC is deemed to have a “conflict of interest” within the meaning of Rule 5121.</w:t>
      </w:r>
    </w:p>
    <w:p>
      <w:pPr>
        <w:spacing w:after="0" w:line="11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FBR, Inc. has agreed to act as a “qualified independent underwriter” for this offering. B. Riley FBR, Inc. will receive $100,000 for acting as a qualified independent underwriter. We have agreed to indemnify B. Riley FBR,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Terms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Canadian purchaser will be required to represent to us and the dealer from whom the purchase confirmation is received that:</w:t>
      </w:r>
    </w:p>
    <w:p>
      <w:pPr>
        <w:spacing w:after="0" w:line="54" w:lineRule="exact"/>
        <w:rPr>
          <w:sz w:val="20"/>
          <w:szCs w:val="20"/>
          <w:color w:val="auto"/>
        </w:rPr>
      </w:pPr>
    </w:p>
    <w:p>
      <w:pPr>
        <w:ind w:left="1320" w:right="459" w:hanging="434"/>
        <w:spacing w:after="0" w:line="282" w:lineRule="auto"/>
        <w:tabs>
          <w:tab w:leader="none" w:pos="15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securities without the benefit of a prospectus qualified under those securities laws;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11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Collection of Personal Information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Ventoux CCM Acquisition Corp. as of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which contains the Form S-1 and other reports, proxy and information statements and information regarding issuers that file electronically with the SEC.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0" w:name="page101"/>
    <w:bookmarkEnd w:id="100"/>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5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4"/>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05">
              <w:r>
                <w:rPr>
                  <w:rFonts w:ascii="Times New Roman" w:cs="Times New Roman" w:eastAsia="Times New Roman" w:hAnsi="Times New Roman"/>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41"/>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6">
              <w:r>
                <w:rPr>
                  <w:rFonts w:ascii="Times New Roman" w:cs="Times New Roman" w:eastAsia="Times New Roman" w:hAnsi="Times New Roman"/>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F-6</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07">
              <w:r>
                <w:rPr>
                  <w:rFonts w:ascii="Times New Roman" w:cs="Times New Roman" w:eastAsia="Times New Roman" w:hAnsi="Times New Roman"/>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01" w:name="page102"/>
    <w:bookmarkEnd w:id="101"/>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Ventoux CCM Acquisition Corp.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27,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24,465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 shares authorized;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4,312,500 shares issued and outstanding</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24,465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7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324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6"/>
                <w:szCs w:val="6"/>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6"/>
                <w:szCs w:val="6"/>
                <w:color w:val="auto"/>
              </w:rPr>
            </w:pPr>
          </w:p>
        </w:tc>
        <w:tc>
          <w:tcPr>
            <w:tcW w:w="10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6"/>
        </w:trPr>
        <w:tc>
          <w:tcPr>
            <w:tcW w:w="3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6"/>
        </w:trPr>
        <w:tc>
          <w:tcPr>
            <w:tcW w:w="3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10, 2019 (inception)</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Initial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0"/>
                <w:szCs w:val="20"/>
                <w:color w:val="auto"/>
                <w:vertAlign w:val="superscript"/>
              </w:rPr>
              <w:t>(1)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4,312,500</w:t>
            </w:r>
          </w:p>
        </w:tc>
        <w:tc>
          <w:tcPr>
            <w:tcW w:w="1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 (audited)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 (unaudited)</w:t>
            </w: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24,569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1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97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40" w:type="dxa"/>
            <w:vAlign w:val="bottom"/>
          </w:tcPr>
          <w:p>
            <w:pPr>
              <w:spacing w:after="0"/>
              <w:rPr>
                <w:sz w:val="22"/>
                <w:szCs w:val="22"/>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24,465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6" w:name="page107"/>
    <w:bookmarkEnd w:id="106"/>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2020 (unaudited) and December 31, 2019, the Company had not commenced any operations. All activity through June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4,500,000 warrants (or 4,950,000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(less any deferred underwriting commissions and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$10.00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approximately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 the Company will pay to the underwriters (as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7" w:name="page108"/>
    <w:bookmarkEnd w:id="107"/>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discussed in Note 6). There will be no redemption rights upon the completion of a Business Combination with respect to the Company’s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Company has agreed not to enter into a definitive agreement regarding an initial Business Combination without the prior consent of the Sponsor. Further, 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w:t>
      </w:r>
    </w:p>
    <w:p>
      <w:pPr>
        <w:spacing w:after="0" w:line="12" w:lineRule="exact"/>
        <w:rPr>
          <w:sz w:val="20"/>
          <w:szCs w:val="20"/>
          <w:color w:val="auto"/>
        </w:rPr>
      </w:pPr>
    </w:p>
    <w:p>
      <w:pPr>
        <w:jc w:val="both"/>
        <w:ind w:left="460" w:right="459" w:hanging="6"/>
        <w:spacing w:after="0" w:line="253" w:lineRule="auto"/>
        <w:tabs>
          <w:tab w:leader="none" w:pos="71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will have until 24 months from the closing of the Proposed Public Offering to consummate a Business Combination (the “Combination Period”). 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Therefore, the actual per-share redemption amount could be less than $10.00.</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Sponsors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six months ended June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six months ended June 30, 2020 are not necessarily indicative of the results that may be expected for the year ending December 31, 2020.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9" w:name="page110"/>
    <w:bookmarkEnd w:id="109"/>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2020 and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and December 31, 2019. The Company is currently not aware of any issues under review that could result in significant payments, accruals or material deviation from its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0" w:name="page111"/>
    <w:bookmarkEnd w:id="110"/>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deemed to be de minimis for the six months ended June 30, 2020 and for the period from July 10, 2019 (inception) through December 31,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June 30, 2020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June 30, 2020 and December 31, 2019,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Public Offering</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and one warrant (“Public Warrant”). Each Public Warrant entitles the holder to purchase one-half of one share of common stock at an exercise price of $11.50 per share (see Note 7).</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Proposed Public Offering, Ventoux Acquisition and Chardan Investments have to committed to an investment in the Private Warrants. Ventoux Acquisition has committed to purchase an aggregate of 3,000,000 Private Warrants (or 3,300,000 Private Warrants if the over-allotment option is exercised in full), and Chardan Investments has committed to purchase an aggregate of 1,500,000 Private Warrants (or 1,650,000 Private Warrants if the over-allotment option is exercised in full), at $1.00 per Private Warrant resulting in s combined aggregate purchase price of $4,500,000 (or $4,950,000 is the over-allotment option is exercised in full), in a private placement that will occur simultaneously with the consummation of the Proposed Public Offering. Each Private Warrant is exercisable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1" w:name="page112"/>
    <w:bookmarkEnd w:id="111"/>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Private Placement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As of the date hereof, Ventoux Acquisition holds 2,818,875 Founder Shares, of which 45,000 shares Ventoux Acquisition intends to distribute to certain of the Company’s directors prior to the consummation of the Proposed Public Offering, resulting in Ventoux Acquisition holding a balance of 2,773,875 Founder Shares (see Note 8). All share and per-share amounts have been retroactively restated to reflect the share cancellations.</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Subsequent to June 30, 2020, 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(see Note 8).</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2" w:name="page113"/>
    <w:bookmarkEnd w:id="112"/>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$0.50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Times New Roman" w:cs="Times New Roman" w:eastAsia="Times New Roman" w:hAnsi="Times New Roman"/>
          <w:sz w:val="18"/>
          <w:szCs w:val="18"/>
          <w:b w:val="1"/>
          <w:bCs w:val="1"/>
          <w:color w:val="auto"/>
        </w:rPr>
        <w:t>_</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$3,000,000 in the aggregate (or $3,450,000 if the over-allotment option is exercised in full), payable upon the closing of the Proposed Public Offering. In addition, the underwriters will be entitled to a deferred fee of $0.35 per Unit, or $5,250,000 (or $6,037,500 if the over-allotment option in exercised in full). The deferred fee will become payable to the underwriters from the amounts held in the Trust Account solely in the event that the Company completes a Business Combination, subject to the terms of the underwriting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3" w:name="page114"/>
    <w:bookmarkEnd w:id="113"/>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plans on filing an Amended and Restated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closing date of the Proposed Public Offering such that the Company will be authorized to issue preferred stock. As of June 30, 2020, and December 31, 2019, the Company has no authorized shares of preferred stock.</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Holders of the Company’s common stock are entitled to one vote for each share. At June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—The Public Warrants will become exercisable at any time commencing on the later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4" w:name="page115"/>
    <w:bookmarkEnd w:id="114"/>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August 27, 2020, the date that the financial statements were available to be issued. Other than as described below, the Company did not identify any subsequent events that would have required adjustment or disclosure in the financial statements.</w:t>
      </w:r>
    </w:p>
    <w:p>
      <w:pPr>
        <w:spacing w:after="0" w:line="99"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As of the date hereof, Ventoux Acquisition holds 2,818,875 Founder Shares, of which 45,000 shares Ventoux Acquisition intends to distribute to certain of the Company’s directors prior to the consummation of the Proposed Public Offering, resulting in Ventoux Acquisition holding a balance of 2,773,875 Founder Shares. All share and per-share amounts have been retroactively restated to reflect the share cancellations.</w:t>
      </w:r>
    </w:p>
    <w:p>
      <w:pPr>
        <w:spacing w:after="0" w:line="10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the Company issued a $250,000 unsecured promissory note to the Ventoux Acquisition. The Promissory Note is non-interest bearing and payable promptly after (i) the date on which the consummation of the Proposed Public Offering or (2) the date on which it is determined not to consummate the Proposed Public Offering. To date, the Company has drawn $150,000 under the Promissory Note.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5" w:name="page116"/>
    <w:bookmarkEnd w:id="115"/>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131445</wp:posOffset>
            </wp:positionV>
            <wp:extent cx="514350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Ventoux CCM Acquisition Corp.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14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Chardan</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1091565</wp:posOffset>
            </wp:positionV>
            <wp:extent cx="514350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1134110</wp:posOffset>
            </wp:positionV>
            <wp:extent cx="514350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1417320</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22,391</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concerning indemnification of officers, directors, employees and agents is set forth below.</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52" w:lineRule="auto"/>
        <w:tabs>
          <w:tab w:leader="none" w:pos="131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7" w:name="page118"/>
    <w:bookmarkEnd w:id="117"/>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but in view of all the circumstances of the case, such person is fairly and reasonably entitled to indemnity for such expenses which the Court of Chancery or such other court shall deem proper.</w:t>
      </w:r>
    </w:p>
    <w:p>
      <w:pPr>
        <w:spacing w:after="0" w:line="81" w:lineRule="exact"/>
        <w:rPr>
          <w:sz w:val="20"/>
          <w:szCs w:val="20"/>
          <w:color w:val="auto"/>
        </w:rPr>
      </w:pPr>
    </w:p>
    <w:p>
      <w:pPr>
        <w:jc w:val="both"/>
        <w:ind w:left="1320" w:right="459" w:hanging="434"/>
        <w:spacing w:after="0" w:line="258" w:lineRule="auto"/>
        <w:tabs>
          <w:tab w:leader="none" w:pos="133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Times New Roman" w:cs="Times New Roman" w:eastAsia="Times New Roman" w:hAnsi="Times New Roman"/>
          <w:sz w:val="18"/>
          <w:szCs w:val="18"/>
          <w:color w:val="auto"/>
        </w:rPr>
      </w:pPr>
    </w:p>
    <w:p>
      <w:pPr>
        <w:jc w:val="both"/>
        <w:ind w:left="132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1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06" w:lineRule="exact"/>
        <w:rPr>
          <w:sz w:val="20"/>
          <w:szCs w:val="20"/>
          <w:color w:val="auto"/>
        </w:rPr>
      </w:pPr>
    </w:p>
    <w:p>
      <w:pPr>
        <w:jc w:val="both"/>
        <w:ind w:left="1320" w:right="479" w:hanging="434"/>
        <w:spacing w:after="0" w:line="261" w:lineRule="auto"/>
        <w:tabs>
          <w:tab w:leader="none" w:pos="131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jc w:val="both"/>
        <w:ind w:left="1320" w:right="459" w:hanging="434"/>
        <w:spacing w:after="0" w:line="252" w:lineRule="auto"/>
        <w:tabs>
          <w:tab w:leader="none" w:pos="143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As of the date hereof, Ventoux Acquisition Holdings LLC holds 2,818,875 shares of common stock of which 45,000 shares Ventoux Acquisition Holdings LLC intends to distribute to certain of our directors prior to the consummation of the offering, resulting in Ventoux Acquisition Holdings LLC holding a balance of 2,773,875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in transactions not involving a public offering, the shares were issued in reliance on the exemption from registration contained in Section 4(a)(2) of the Securities 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jc w:val="both"/>
        <w:ind w:left="1320" w:right="459" w:hanging="434"/>
        <w:spacing w:after="0" w:line="253" w:lineRule="auto"/>
        <w:tabs>
          <w:tab w:leader="none" w:pos="13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Holdings LLC has committed to purchase from us an aggregate of 3,000,000 warrants (or 3,300,000 warrants if the over-allotment option is exercised in full), and Chardan International Investments,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existing stockholders, the sale does not involve a public offering and is being made in reliance on the exemption from registration contained in Section 4(a)(2) of the Securities Act.</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4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1.1*</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3.4*</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3.5*</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-136525</wp:posOffset>
            </wp:positionV>
            <wp:extent cx="514350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Specimen Unit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Specimen Common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Specimen Warrant Certificate.</w:t>
      </w:r>
    </w:p>
    <w:p>
      <w:pPr>
        <w:spacing w:after="0" w:line="50" w:lineRule="exact"/>
        <w:rPr>
          <w:sz w:val="20"/>
          <w:szCs w:val="20"/>
          <w:color w:val="auto"/>
        </w:rPr>
      </w:pPr>
    </w:p>
    <w:p>
      <w:pPr>
        <w:ind w:right="459"/>
        <w:spacing w:after="0" w:line="282" w:lineRule="auto"/>
        <w:rPr>
          <w:sz w:val="20"/>
          <w:szCs w:val="20"/>
          <w:color w:val="auto"/>
        </w:rPr>
      </w:pPr>
      <w:r>
        <w:rPr>
          <w:rFonts w:ascii="Times New Roman" w:cs="Times New Roman" w:eastAsia="Times New Roman" w:hAnsi="Times New Roman"/>
          <w:sz w:val="18"/>
          <w:szCs w:val="18"/>
          <w:color w:val="auto"/>
        </w:rPr>
        <w:t>Form of Warrant Agreement between Continental Stock Transfer &amp; Trust Company and the Registrant.</w:t>
      </w:r>
    </w:p>
    <w:p>
      <w:pPr>
        <w:spacing w:after="0" w:line="4" w:lineRule="exact"/>
        <w:rPr>
          <w:sz w:val="20"/>
          <w:szCs w:val="20"/>
          <w:color w:val="auto"/>
        </w:rPr>
      </w:pPr>
    </w:p>
    <w:p>
      <w:pPr>
        <w:sectPr>
          <w:pgSz w:w="11900" w:h="16838" w:orient="portrait"/>
          <w:cols w:equalWidth="0" w:num="2">
            <w:col w:w="760" w:space="360"/>
            <w:col w:w="789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Opinion of Loeb &amp; Loeb LLP.</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7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Form of Letter Agreement among the Registrant, Chardan Capital Markets LLC and the Company’s</w:t>
            </w:r>
          </w:p>
        </w:tc>
      </w:tr>
      <w:tr>
        <w:trPr>
          <w:trHeight w:val="234"/>
        </w:trPr>
        <w:tc>
          <w:tcPr>
            <w:tcW w:w="54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 directors and stockholders.</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198"/>
        </w:trPr>
        <w:tc>
          <w:tcPr>
            <w:tcW w:w="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10.2*</w:t>
            </w:r>
          </w:p>
        </w:tc>
        <w:tc>
          <w:tcPr>
            <w:tcW w:w="75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w:t>
            </w:r>
          </w:p>
        </w:tc>
      </w:tr>
      <w:tr>
        <w:trPr>
          <w:trHeight w:val="255"/>
        </w:trPr>
        <w:tc>
          <w:tcPr>
            <w:tcW w:w="54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and the Registrant.</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10.3*</w:t>
            </w:r>
          </w:p>
        </w:tc>
        <w:tc>
          <w:tcPr>
            <w:tcW w:w="7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Form of Escrow Agreement between the Registrant, Continental Stock Transfer &amp; Trust Company and</w:t>
            </w:r>
          </w:p>
        </w:tc>
      </w:tr>
      <w:tr>
        <w:trPr>
          <w:trHeight w:val="234"/>
        </w:trPr>
        <w:tc>
          <w:tcPr>
            <w:tcW w:w="54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Initial Stockholders.</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198"/>
        </w:trPr>
        <w:tc>
          <w:tcPr>
            <w:tcW w:w="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75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Form of Registration Rights Agreement among the Registrant, the Initial Stockholders and Continental</w:t>
            </w:r>
          </w:p>
        </w:tc>
      </w:tr>
      <w:tr>
        <w:trPr>
          <w:trHeight w:val="255"/>
        </w:trPr>
        <w:tc>
          <w:tcPr>
            <w:tcW w:w="540" w:type="dxa"/>
            <w:vAlign w:val="bottom"/>
            <w:tcBorders>
              <w:bottom w:val="single" w:sz="8" w:color="CCEEFF"/>
            </w:tcBorders>
            <w:shd w:val="clear" w:color="auto" w:fill="CCEEFF"/>
          </w:tcPr>
          <w:p>
            <w:pPr>
              <w:spacing w:after="0"/>
              <w:rPr>
                <w:sz w:val="22"/>
                <w:szCs w:val="22"/>
                <w:color w:val="auto"/>
              </w:rPr>
            </w:pP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Transfer &amp; Trust Company.</w:t>
            </w:r>
          </w:p>
        </w:tc>
      </w:tr>
      <w:tr>
        <w:trPr>
          <w:trHeight w:val="198"/>
        </w:trPr>
        <w:tc>
          <w:tcPr>
            <w:tcW w:w="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75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Form of Subscription Agreement among the Registrant, the Initial Stockholders and Chardan Capital</w:t>
            </w:r>
          </w:p>
        </w:tc>
      </w:tr>
      <w:tr>
        <w:trPr>
          <w:trHeight w:val="234"/>
        </w:trPr>
        <w:tc>
          <w:tcPr>
            <w:tcW w:w="540" w:type="dxa"/>
            <w:vAlign w:val="bottom"/>
          </w:tcPr>
          <w:p>
            <w:pPr>
              <w:spacing w:after="0"/>
              <w:rPr>
                <w:sz w:val="20"/>
                <w:szCs w:val="20"/>
                <w:color w:val="auto"/>
              </w:rPr>
            </w:pP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Markets LLC.</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263"/>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Code of Ethics.</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263"/>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WithumSmith+Brown, P.C.</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Loeb &amp; Loeb LLP (included in Exhibit 5.1).</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264"/>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24.1</w:t>
            </w:r>
          </w:p>
        </w:tc>
        <w:tc>
          <w:tcPr>
            <w:tcW w:w="756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Power of Attorney (included on the signature page of the original filing hereof).</w:t>
              </w:r>
            </w:hyperlink>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Nominating Committee Charter.</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263"/>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99.2*</w:t>
            </w: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Audit Committee Charter.</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Compensation Committee Charter.</w:t>
            </w:r>
          </w:p>
        </w:tc>
      </w:tr>
      <w:tr>
        <w:trPr>
          <w:trHeight w:val="40"/>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264"/>
        </w:trPr>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99.4*</w:t>
            </w:r>
          </w:p>
        </w:tc>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Alex Weil.</w:t>
            </w:r>
          </w:p>
        </w:tc>
      </w:tr>
      <w:tr>
        <w:trPr>
          <w:trHeight w:val="24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Woodrow H. Levin.</w:t>
            </w:r>
          </w:p>
        </w:tc>
      </w:tr>
      <w:tr>
        <w:trPr>
          <w:trHeight w:val="41"/>
        </w:trPr>
        <w:tc>
          <w:tcPr>
            <w:tcW w:w="540" w:type="dxa"/>
            <w:vAlign w:val="bottom"/>
          </w:tcPr>
          <w:p>
            <w:pPr>
              <w:spacing w:after="0"/>
              <w:rPr>
                <w:sz w:val="3"/>
                <w:szCs w:val="3"/>
                <w:color w:val="auto"/>
              </w:rPr>
            </w:pPr>
          </w:p>
        </w:tc>
        <w:tc>
          <w:tcPr>
            <w:tcW w:w="7560" w:type="dxa"/>
            <w:vAlign w:val="bottom"/>
          </w:tcPr>
          <w:p>
            <w:pPr>
              <w:spacing w:after="0"/>
              <w:rPr>
                <w:sz w:val="3"/>
                <w:szCs w:val="3"/>
                <w:color w:val="auto"/>
              </w:rPr>
            </w:pPr>
          </w:p>
        </w:tc>
      </w:tr>
      <w:tr>
        <w:trPr>
          <w:trHeight w:val="243"/>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99.6*</w:t>
            </w: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Consent of Julie Atkinson.</w:t>
            </w:r>
          </w:p>
        </w:tc>
      </w:tr>
      <w:tr>
        <w:trPr>
          <w:trHeight w:val="40"/>
        </w:trPr>
        <w:tc>
          <w:tcPr>
            <w:tcW w:w="540" w:type="dxa"/>
            <w:vAlign w:val="bottom"/>
            <w:shd w:val="clear" w:color="auto" w:fill="CCEEFF"/>
          </w:tcPr>
          <w:p>
            <w:pPr>
              <w:spacing w:after="0"/>
              <w:rPr>
                <w:sz w:val="3"/>
                <w:szCs w:val="3"/>
                <w:color w:val="auto"/>
              </w:rPr>
            </w:pPr>
          </w:p>
        </w:tc>
        <w:tc>
          <w:tcPr>
            <w:tcW w:w="75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ectPr>
          <w:pgSz w:w="11900" w:h="16838" w:orient="portrait"/>
          <w:cols w:equalWidth="0" w:num="1">
            <w:col w:w="9019"/>
          </w:cols>
          <w:pgMar w:left="1440" w:top="270" w:right="1440" w:bottom="1440" w:gutter="0" w:footer="0" w:header="0"/>
          <w:type w:val="continuous"/>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jc w:val="both"/>
        <w:ind w:left="1320" w:right="479" w:hanging="434"/>
        <w:spacing w:after="0" w:line="266" w:lineRule="auto"/>
        <w:tabs>
          <w:tab w:leader="none" w:pos="13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5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3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0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4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80"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241"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2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2" w:name="page123"/>
    <w:bookmarkEnd w:id="122"/>
    <w:p>
      <w:pPr>
        <w:ind w:left="1280" w:hanging="394"/>
        <w:spacing w:after="0"/>
        <w:tabs>
          <w:tab w:leader="none" w:pos="1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8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on the [__] day of _________, 2020.</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22720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57"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[__] and [__]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upperLetter"/>
      <w:start w:val="1"/>
    </w:lvl>
  </w:abstractNum>
  <w:abstractNum w:abstractNumId="6">
    <w:nsid w:val="580BD78F"/>
    <w:multiLevelType w:val="hybridMultilevel"/>
    <w:lvl w:ilvl="0">
      <w:lvlJc w:val="left"/>
      <w:lvlText w:val="(%1)"/>
      <w:numFmt w:val="upperLetter"/>
      <w:start w:val="4"/>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upperLetter"/>
      <w:start w:val="2"/>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4"/>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lowerRoman"/>
      <w:start w:val="2"/>
    </w:lvl>
  </w:abstractNum>
  <w:abstractNum w:abstractNumId="29">
    <w:nsid w:val="75C6C33A"/>
    <w:multiLevelType w:val="hybridMultilevel"/>
    <w:lvl w:ilvl="0">
      <w:lvlJc w:val="left"/>
      <w:lvlText w:val="(%1)"/>
      <w:numFmt w:val="lowerRoman"/>
      <w:start w:val="2"/>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2"/>
    </w:lvl>
  </w:abstractNum>
  <w:abstractNum w:abstractNumId="34">
    <w:nsid w:val="4F4EF005"/>
    <w:multiLevelType w:val="hybridMultilevel"/>
    <w:lvl w:ilvl="0">
      <w:lvlJc w:val="left"/>
      <w:lvlText w:val="(%1)"/>
      <w:numFmt w:val="lowerRoman"/>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6"/>
    </w:lvl>
  </w:abstractNum>
  <w:abstractNum w:abstractNumId="50">
    <w:nsid w:val="7E0C57B1"/>
    <w:multiLevelType w:val="hybridMultilevel"/>
    <w:lvl w:ilvl="0">
      <w:lvlJc w:val="left"/>
      <w:lvlText w:val="(%1)"/>
      <w:numFmt w:val="lowerLetter"/>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3"/>
    </w:lvl>
    <w:lvl w:ilvl="1">
      <w:lvlJc w:val="left"/>
      <w:lvlText w:val="(%2)"/>
      <w:numFmt w:val="lowerLetter"/>
      <w:start w:val="1"/>
    </w:lvl>
  </w:abstractNum>
  <w:abstractNum w:abstractNumId="67">
    <w:nsid w:val="799D0247"/>
    <w:multiLevelType w:val="hybridMultilevel"/>
    <w:lvl w:ilvl="0">
      <w:lvlJc w:val="left"/>
      <w:lvlText w:val="(%1)"/>
      <w:numFmt w:val="lowerLetter"/>
      <w:start w:val="10"/>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lowerLetter"/>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3">
    <w:nsid w:val="5DC79EA8"/>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2020-12-07T23:07:29Z</dcterms:created>
  <dcterms:modified xsi:type="dcterms:W3CDTF">2020-12-07T23:07:29Z</dcterms:modified>
</cp:coreProperties>
</file>