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5372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37210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Healey William Robert</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985 INDUSTRIAL ROAD, SUITE 205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Presto Automation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PRST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09/21/2022</w:t>
      </w:r>
    </w:p>
    <w:p>
      <w:pPr>
        <w:spacing w:after="0" w:line="20" w:lineRule="exact"/>
        <w:rPr>
          <w:sz w:val="24"/>
          <w:szCs w:val="24"/>
          <w:color w:val="auto"/>
        </w:rPr>
      </w:pPr>
      <w:r>
        <w:rPr>
          <w:sz w:val="24"/>
          <w:szCs w:val="24"/>
          <w:color w:val="auto"/>
        </w:rPr>
        <w:br w:type="column"/>
      </w: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5" w:type="dxa"/>
        <w:tblCellMar>
          <w:top w:w="0" w:type="dxa"/>
          <w:left w:w="0" w:type="dxa"/>
          <w:bottom w:w="0" w:type="dxa"/>
          <w:right w:w="0" w:type="dxa"/>
        </w:tblCellMar>
      </w:tblPr>
      <w:tr>
        <w:trPr>
          <w:trHeight w:val="167"/>
        </w:trPr>
        <w:tc>
          <w:tcPr>
            <w:tcW w:w="2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2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00"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CARLOS</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94070</w:t>
            </w:r>
          </w:p>
        </w:tc>
      </w:tr>
      <w:tr>
        <w:trPr>
          <w:trHeight w:val="146"/>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2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95"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76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760" w:type="dxa"/>
            <w:vAlign w:val="bottom"/>
            <w:gridSpan w:val="4"/>
          </w:tcPr>
          <w:p>
            <w:pPr>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715"/>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715"/>
              <w:spacing w:after="0"/>
              <w:rPr>
                <w:sz w:val="20"/>
                <w:szCs w:val="20"/>
                <w:color w:val="auto"/>
              </w:rPr>
            </w:pPr>
            <w:r>
              <w:rPr>
                <w:rFonts w:ascii="Times New Roman" w:cs="Times New Roman" w:eastAsia="Times New Roman" w:hAnsi="Times New Roman"/>
                <w:sz w:val="17"/>
                <w:szCs w:val="17"/>
                <w:color w:val="0000FF"/>
                <w:w w:val="95"/>
              </w:rPr>
              <w:t>09/21/2022</w:t>
            </w: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124"/>
              <w:spacing w:after="0"/>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(1)</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8"/>
              </w:rPr>
              <w:t>40,496</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300" w:type="dxa"/>
            <w:vAlign w:val="bottom"/>
            <w:tcBorders>
              <w:bottom w:val="single" w:sz="8" w:color="2C2C2C"/>
            </w:tcBorders>
            <w:gridSpan w:val="3"/>
          </w:tcPr>
          <w:p>
            <w:pPr>
              <w:jc w:val="right"/>
              <w:ind w:right="340"/>
              <w:spacing w:after="0"/>
              <w:rPr>
                <w:sz w:val="20"/>
                <w:szCs w:val="20"/>
                <w:color w:val="auto"/>
              </w:rPr>
            </w:pPr>
            <w:r>
              <w:rPr>
                <w:rFonts w:ascii="Times New Roman" w:cs="Times New Roman" w:eastAsia="Times New Roman" w:hAnsi="Times New Roman"/>
                <w:sz w:val="17"/>
                <w:szCs w:val="17"/>
                <w:color w:val="0000FF"/>
              </w:rPr>
              <w:t>40,496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2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0.02</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09/21/2022</w:t>
            </w: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jc w:val="center"/>
              <w:ind w:right="325"/>
              <w:spacing w:after="0" w:line="241" w:lineRule="exact"/>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(1)</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546,204</w:t>
            </w:r>
          </w:p>
        </w:tc>
        <w:tc>
          <w:tcPr>
            <w:tcW w:w="280" w:type="dxa"/>
            <w:vAlign w:val="bottom"/>
          </w:tcPr>
          <w:p>
            <w:pPr>
              <w:spacing w:after="0"/>
              <w:rPr>
                <w:sz w:val="21"/>
                <w:szCs w:val="21"/>
                <w:color w:val="auto"/>
              </w:rPr>
            </w:pPr>
          </w:p>
        </w:tc>
        <w:tc>
          <w:tcPr>
            <w:tcW w:w="740" w:type="dxa"/>
            <w:vAlign w:val="bottom"/>
            <w:gridSpan w:val="2"/>
          </w:tcPr>
          <w:p>
            <w:pPr>
              <w:jc w:val="center"/>
              <w:ind w:right="24"/>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08/26/2027</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ind w:right="12"/>
              <w:spacing w:after="0"/>
              <w:rPr>
                <w:sz w:val="20"/>
                <w:szCs w:val="20"/>
                <w:color w:val="auto"/>
              </w:rPr>
            </w:pPr>
            <w:r>
              <w:rPr>
                <w:rFonts w:ascii="Times New Roman" w:cs="Times New Roman" w:eastAsia="Times New Roman" w:hAnsi="Times New Roman"/>
                <w:sz w:val="17"/>
                <w:szCs w:val="17"/>
                <w:color w:val="0000FF"/>
                <w:w w:val="97"/>
              </w:rPr>
              <w:t>546,204</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546,204</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ind w:left="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0.39</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09/21/2022</w:t>
            </w: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vMerge w:val="restart"/>
          </w:tcPr>
          <w:p>
            <w:pPr>
              <w:jc w:val="center"/>
              <w:ind w:right="325"/>
              <w:spacing w:after="0"/>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80,992</w:t>
            </w:r>
          </w:p>
        </w:tc>
        <w:tc>
          <w:tcPr>
            <w:tcW w:w="280" w:type="dxa"/>
            <w:vAlign w:val="bottom"/>
          </w:tcPr>
          <w:p>
            <w:pPr>
              <w:spacing w:after="0"/>
              <w:rPr>
                <w:sz w:val="15"/>
                <w:szCs w:val="15"/>
                <w:color w:val="auto"/>
              </w:rPr>
            </w:pPr>
          </w:p>
        </w:tc>
        <w:tc>
          <w:tcPr>
            <w:tcW w:w="740" w:type="dxa"/>
            <w:vAlign w:val="bottom"/>
            <w:gridSpan w:val="2"/>
            <w:vMerge w:val="restart"/>
          </w:tcPr>
          <w:p>
            <w:pPr>
              <w:jc w:val="center"/>
              <w:ind w:right="24"/>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11/06/2028</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80,992</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80,992</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0.41</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09/21/2022</w:t>
            </w: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vMerge w:val="restart"/>
          </w:tcPr>
          <w:p>
            <w:pPr>
              <w:jc w:val="center"/>
              <w:ind w:right="325"/>
              <w:spacing w:after="0"/>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80,992</w:t>
            </w:r>
          </w:p>
        </w:tc>
        <w:tc>
          <w:tcPr>
            <w:tcW w:w="280" w:type="dxa"/>
            <w:vAlign w:val="bottom"/>
          </w:tcPr>
          <w:p>
            <w:pPr>
              <w:spacing w:after="0"/>
              <w:rPr>
                <w:sz w:val="15"/>
                <w:szCs w:val="15"/>
                <w:color w:val="auto"/>
              </w:rPr>
            </w:pPr>
          </w:p>
        </w:tc>
        <w:tc>
          <w:tcPr>
            <w:tcW w:w="740" w:type="dxa"/>
            <w:vAlign w:val="bottom"/>
            <w:gridSpan w:val="2"/>
            <w:vMerge w:val="restart"/>
          </w:tcPr>
          <w:p>
            <w:pPr>
              <w:jc w:val="center"/>
              <w:ind w:right="24"/>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09/21/2029</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80,992</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80,992</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1.44</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09/21/2022</w:t>
            </w: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jc w:val="center"/>
              <w:ind w:right="325"/>
              <w:spacing w:after="0" w:line="241" w:lineRule="exact"/>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(1)</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184,126</w:t>
            </w:r>
          </w:p>
        </w:tc>
        <w:tc>
          <w:tcPr>
            <w:tcW w:w="280" w:type="dxa"/>
            <w:vAlign w:val="bottom"/>
          </w:tcPr>
          <w:p>
            <w:pPr>
              <w:spacing w:after="0"/>
              <w:rPr>
                <w:sz w:val="21"/>
                <w:szCs w:val="21"/>
                <w:color w:val="auto"/>
              </w:rPr>
            </w:pPr>
          </w:p>
        </w:tc>
        <w:tc>
          <w:tcPr>
            <w:tcW w:w="740" w:type="dxa"/>
            <w:vAlign w:val="bottom"/>
            <w:gridSpan w:val="2"/>
          </w:tcPr>
          <w:p>
            <w:pPr>
              <w:jc w:val="center"/>
              <w:ind w:right="24"/>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03/04/2031</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ind w:right="12"/>
              <w:spacing w:after="0"/>
              <w:rPr>
                <w:sz w:val="20"/>
                <w:szCs w:val="20"/>
                <w:color w:val="auto"/>
              </w:rPr>
            </w:pPr>
            <w:r>
              <w:rPr>
                <w:rFonts w:ascii="Times New Roman" w:cs="Times New Roman" w:eastAsia="Times New Roman" w:hAnsi="Times New Roman"/>
                <w:sz w:val="17"/>
                <w:szCs w:val="17"/>
                <w:color w:val="0000FF"/>
                <w:w w:val="97"/>
              </w:rPr>
              <w:t>184,126</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184,126</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ind w:left="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Earn-Out</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(1)(6)</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09/21/2022</w:t>
            </w: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jc w:val="center"/>
              <w:ind w:right="325"/>
              <w:spacing w:after="0" w:line="241" w:lineRule="exact"/>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(1)</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266,822</w:t>
            </w:r>
          </w:p>
        </w:tc>
        <w:tc>
          <w:tcPr>
            <w:tcW w:w="280" w:type="dxa"/>
            <w:vAlign w:val="bottom"/>
          </w:tcPr>
          <w:p>
            <w:pPr>
              <w:spacing w:after="0"/>
              <w:rPr>
                <w:sz w:val="21"/>
                <w:szCs w:val="21"/>
                <w:color w:val="auto"/>
              </w:rPr>
            </w:pPr>
          </w:p>
        </w:tc>
        <w:tc>
          <w:tcPr>
            <w:tcW w:w="740" w:type="dxa"/>
            <w:vAlign w:val="bottom"/>
            <w:gridSpan w:val="2"/>
          </w:tcPr>
          <w:p>
            <w:pPr>
              <w:jc w:val="center"/>
              <w:ind w:right="24"/>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09/21/2027</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ind w:right="12"/>
              <w:spacing w:after="0"/>
              <w:rPr>
                <w:sz w:val="20"/>
                <w:szCs w:val="20"/>
                <w:color w:val="auto"/>
              </w:rPr>
            </w:pPr>
            <w:r>
              <w:rPr>
                <w:rFonts w:ascii="Times New Roman" w:cs="Times New Roman" w:eastAsia="Times New Roman" w:hAnsi="Times New Roman"/>
                <w:sz w:val="17"/>
                <w:szCs w:val="17"/>
                <w:color w:val="0000FF"/>
                <w:w w:val="97"/>
              </w:rPr>
              <w:t>266,822</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266,822</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60"/>
              <w:spacing w:after="0" w:line="140" w:lineRule="exact"/>
              <w:rPr>
                <w:sz w:val="20"/>
                <w:szCs w:val="20"/>
                <w:color w:val="auto"/>
              </w:rPr>
            </w:pPr>
            <w:r>
              <w:rPr>
                <w:rFonts w:ascii="Times New Roman" w:cs="Times New Roman" w:eastAsia="Times New Roman" w:hAnsi="Times New Roman"/>
                <w:sz w:val="13"/>
                <w:szCs w:val="13"/>
                <w:color w:val="0000FF"/>
              </w:rPr>
              <w:t>Shares</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ind w:left="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-2685415</wp:posOffset>
            </wp:positionV>
            <wp:extent cx="28575" cy="2690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6904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60"/>
        <w:spacing w:after="0" w:line="232"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acquired pursuant to the terms of the Agreement and Plan of Merger, dated as of November 10, 2021, as amended (the "Merger Agreement"), entered into by and among Ventoux CCM Acquisition Corp. (which subsequently changed its name to "Presto Automation Inc.", the "Issuer"), Ventoux Merger Sub I Inc. and Ventoux Merger Sub II LLC, each a wholly owned subsidiary of Ventoux CCM Acquisition Corp., and E La Carte, Inc. ("Old Presto"), pursuant to which the Issuer acquired Old Presto (the "Business Combination"). Pursuant to the terms of the Merger Agreement, each share of Old Presto common stock outstanding and each Old Presto option outstanding immediately prior to the closing of the Business Combination was entitled to receive 0.8099224419 shares of Issuer common stock or option, respectively, and certain earnout shares ("Earn-out Shares"). The Business Combination closed on September 21, 2022 (the "Closing Date").</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of the options were exercisable as of the Closing Date.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of the options were exercisable as of the Closing Date.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options, of which there were 29,697 as of the Closing Date, that vest in equal installments monthly until July 1, 2024.</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options, of which there were 30,687 as of the Closing Date, that vest in equal installments monthly until January 14, 2023.</w:t>
      </w:r>
    </w:p>
    <w:p>
      <w:pPr>
        <w:spacing w:after="0" w:line="41" w:lineRule="exact"/>
        <w:rPr>
          <w:rFonts w:ascii="Times New Roman" w:cs="Times New Roman" w:eastAsia="Times New Roman" w:hAnsi="Times New Roman"/>
          <w:sz w:val="13"/>
          <w:szCs w:val="13"/>
          <w:color w:val="008000"/>
        </w:rPr>
      </w:pPr>
    </w:p>
    <w:p>
      <w:pPr>
        <w:ind w:left="40" w:right="220"/>
        <w:spacing w:after="0" w:line="234"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consummation of the Business Combination, the Reporting Person received the right to acquire shares of the Issuer's common stock as follows: one-half of the Earn-Out Shares will be issued to the Reporting Person if the volume weighted average price ("VWAP") of the Issuer common stock equals or exceeds $12.50 over 20 trading days within any 30 trading day period on or before the third anniversary of the Closing Date, and one-half will be issued to the Reporting Person if the VWAP of the Issuer common stock equals or exceeds $15.00 over 20 trading days within any 30 trading day period on or before the fifth anniversary of the Closing Date.</w:t>
      </w:r>
    </w:p>
    <w:p>
      <w:pPr>
        <w:spacing w:after="0" w:line="3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Stephen Perry, as attorney-</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09/23/2022</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in-fact</w:t>
            </w:r>
          </w:p>
        </w:tc>
        <w:tc>
          <w:tcPr>
            <w:tcW w:w="24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6779" TargetMode="External"/><Relationship Id="rId13"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2022-09-23T17:52:56Z</dcterms:created>
  <dcterms:modified xsi:type="dcterms:W3CDTF">2022-09-23T17:52:56Z</dcterms:modified>
</cp:coreProperties>
</file>