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April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0" w:type="dxa"/>
            <w:vAlign w:val="bottom"/>
            <w:gridSpan w:val="3"/>
          </w:tcPr>
          <w:p>
            <w:pPr>
              <w:jc w:val="center"/>
              <w:ind w:left="720"/>
              <w:spacing w:after="0"/>
              <w:rPr>
                <w:sz w:val="20"/>
                <w:szCs w:val="20"/>
                <w:color w:val="auto"/>
              </w:rPr>
            </w:pPr>
            <w:r>
              <w:rPr>
                <w:rFonts w:ascii="Times New Roman" w:cs="Times New Roman" w:eastAsia="Times New Roman" w:hAnsi="Times New Roman"/>
                <w:sz w:val="16"/>
                <w:szCs w:val="16"/>
                <w:b w:val="1"/>
                <w:bCs w:val="1"/>
                <w:color w:val="auto"/>
                <w:w w:val="98"/>
              </w:rPr>
              <w:t>001-39830</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84-2968594</w:t>
            </w:r>
          </w:p>
        </w:tc>
      </w:tr>
      <w:tr>
        <w:trPr>
          <w:trHeight w:val="173"/>
        </w:trPr>
        <w:tc>
          <w:tcPr>
            <w:tcW w:w="3040" w:type="dxa"/>
            <w:vAlign w:val="bottom"/>
            <w:tcBorders>
              <w:top w:val="single" w:sz="8" w:color="auto"/>
            </w:tcBorders>
          </w:tcPr>
          <w:p>
            <w:pPr>
              <w:jc w:val="center"/>
              <w:ind w:left="480"/>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1 East Putnam Avenue, Floor 4</w:t>
            </w:r>
          </w:p>
        </w:tc>
        <w:tc>
          <w:tcPr>
            <w:tcW w:w="288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Greenwich, CT 06830</w:t>
            </w:r>
          </w:p>
        </w:tc>
        <w:tc>
          <w:tcPr>
            <w:tcW w:w="2880" w:type="dxa"/>
            <w:vAlign w:val="bottom"/>
          </w:tcPr>
          <w:p>
            <w:pPr>
              <w:spacing w:after="0"/>
              <w:rPr>
                <w:sz w:val="16"/>
                <w:szCs w:val="16"/>
                <w:color w:val="auto"/>
              </w:rPr>
            </w:pPr>
          </w:p>
        </w:tc>
      </w:tr>
      <w:tr>
        <w:trPr>
          <w:trHeight w:val="210"/>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 (zip code)</w:t>
            </w:r>
          </w:p>
        </w:tc>
        <w:tc>
          <w:tcPr>
            <w:tcW w:w="288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(646) 465-9000</w:t>
            </w:r>
          </w:p>
        </w:tc>
        <w:tc>
          <w:tcPr>
            <w:tcW w:w="2880" w:type="dxa"/>
            <w:vAlign w:val="bottom"/>
          </w:tcPr>
          <w:p>
            <w:pPr>
              <w:spacing w:after="0"/>
              <w:rPr>
                <w:sz w:val="24"/>
                <w:szCs w:val="24"/>
                <w:color w:val="auto"/>
              </w:rPr>
            </w:pP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N/A</w:t>
            </w:r>
          </w:p>
        </w:tc>
        <w:tc>
          <w:tcPr>
            <w:tcW w:w="2880" w:type="dxa"/>
            <w:vAlign w:val="bottom"/>
          </w:tcPr>
          <w:p>
            <w:pPr>
              <w:spacing w:after="0"/>
              <w:rPr>
                <w:sz w:val="24"/>
                <w:szCs w:val="24"/>
                <w:color w:val="auto"/>
              </w:rPr>
            </w:pPr>
          </w:p>
        </w:tc>
      </w:tr>
      <w:tr>
        <w:trPr>
          <w:trHeight w:val="210"/>
        </w:trPr>
        <w:tc>
          <w:tcPr>
            <w:tcW w:w="3040" w:type="dxa"/>
            <w:vAlign w:val="bottom"/>
          </w:tcPr>
          <w:p>
            <w:pPr>
              <w:spacing w:after="0"/>
              <w:rPr>
                <w:sz w:val="18"/>
                <w:szCs w:val="18"/>
                <w:color w:val="auto"/>
              </w:rPr>
            </w:pPr>
          </w:p>
        </w:tc>
        <w:tc>
          <w:tcPr>
            <w:tcW w:w="53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(Former name or former address, if changed since last report)</w:t>
            </w:r>
          </w:p>
        </w:tc>
        <w:tc>
          <w:tcPr>
            <w:tcW w:w="28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82" w:lineRule="exact"/>
        <w:rPr>
          <w:sz w:val="24"/>
          <w:szCs w:val="24"/>
          <w:color w:val="auto"/>
        </w:rPr>
      </w:pPr>
    </w:p>
    <w:p>
      <w:pPr>
        <w:ind w:left="400" w:hanging="357"/>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sz w:val="24"/>
          <w:szCs w:val="24"/>
          <w:color w:val="auto"/>
        </w:rPr>
      </w:pPr>
    </w:p>
    <w:p>
      <w:pPr>
        <w:ind w:left="400" w:hanging="357"/>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400" w:hanging="357"/>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right="3760" w:firstLine="43"/>
        <w:spacing w:after="0" w:line="505" w:lineRule="auto"/>
        <w:tabs>
          <w:tab w:leader="none" w:pos="39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91"/>
        </w:trPr>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w:t>
            </w:r>
          </w:p>
        </w:tc>
      </w:tr>
      <w:tr>
        <w:trPr>
          <w:trHeight w:val="21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1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r>
      <w:tr>
        <w:trPr>
          <w:trHeight w:val="203"/>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w:t>
            </w:r>
          </w:p>
        </w:tc>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VTAQ</w:t>
            </w:r>
          </w:p>
        </w:tc>
        <w:tc>
          <w:tcPr>
            <w:tcW w:w="12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12"/>
        </w:trPr>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Warrants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VTAQW</w:t>
            </w: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195"/>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Rights</w:t>
            </w: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VTAQR</w:t>
            </w:r>
          </w:p>
        </w:tc>
        <w:tc>
          <w:tcPr>
            <w:tcW w:w="120" w:type="dxa"/>
            <w:vAlign w:val="bottom"/>
            <w:shd w:val="clear" w:color="auto" w:fill="CCEEFF"/>
          </w:tcPr>
          <w:p>
            <w:pPr>
              <w:spacing w:after="0"/>
              <w:rPr>
                <w:sz w:val="16"/>
                <w:szCs w:val="16"/>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08"/>
        </w:trPr>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Units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VTAQU</w:t>
            </w: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82"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4"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1481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127000</wp:posOffset>
            </wp:positionV>
            <wp:extent cx="7148195"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528955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Attached as Exhibit 99.1 hereto and incorporated herein by reference is an updated investor presentation dated April 8, 2022, which will be used by Ventoux CCM Acquisition Corp. (“Ventoux”) in connection with its previously announced business combination with E La Carte, Inc., d/b/a Presto, Inc. (“Presto”).</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Ventoux under the Securities Act or the Exchange Act, regardless of any general incorporation language in such filings. This Current Report on Form 8-K will not be deemed an admission as to the materiality of any information of the information in this Item 7.01, including Exhibit 99.1.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connection with the proposed business combination involving Ventoux and Presto, Ventoux has filed a registration statement, which includes a preliminary proxy statement/prospectus, with the SEC. The proxy statement/prospectus will be sent to stockholders of Ventoux. This Current Report on Form 8-K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February 23, 2022.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8" w:lineRule="exact"/>
        <w:rPr>
          <w:sz w:val="20"/>
          <w:szCs w:val="20"/>
          <w:color w:val="auto"/>
        </w:rPr>
      </w:pPr>
    </w:p>
    <w:p>
      <w:pPr>
        <w:ind w:left="224" w:hanging="224"/>
        <w:spacing w:after="0"/>
        <w:tabs>
          <w:tab w:leader="none" w:pos="22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198" w:lineRule="exact"/>
        <w:rPr>
          <w:sz w:val="20"/>
          <w:szCs w:val="20"/>
          <w:color w:val="auto"/>
        </w:rPr>
      </w:pPr>
    </w:p>
    <w:p>
      <w:pPr>
        <w:ind w:left="124"/>
        <w:spacing w:after="0"/>
        <w:tabs>
          <w:tab w:leader="none" w:pos="1124"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8195" cy="136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5" w:lineRule="exact"/>
        <w:rPr>
          <w:sz w:val="20"/>
          <w:szCs w:val="20"/>
          <w:color w:val="auto"/>
        </w:rPr>
      </w:pPr>
    </w:p>
    <w:p>
      <w:pPr>
        <w:ind w:left="364"/>
        <w:spacing w:after="0"/>
        <w:tabs>
          <w:tab w:leader="none" w:pos="1124"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99.1</w:t>
      </w:r>
      <w:r>
        <w:rPr>
          <w:sz w:val="20"/>
          <w:szCs w:val="20"/>
          <w:color w:val="auto"/>
        </w:rPr>
        <w:tab/>
      </w:r>
      <w:hyperlink w:anchor="page6">
        <w:r>
          <w:rPr>
            <w:rFonts w:ascii="Times New Roman" w:cs="Times New Roman" w:eastAsia="Times New Roman" w:hAnsi="Times New Roman"/>
            <w:sz w:val="15"/>
            <w:szCs w:val="15"/>
            <w:u w:val="single" w:color="auto"/>
            <w:color w:val="0000EE"/>
          </w:rPr>
          <w:t>Investor Presentation dated April 8, 2022</w:t>
        </w:r>
      </w:hyperlink>
    </w:p>
    <w:p>
      <w:pPr>
        <w:spacing w:after="0" w:line="24" w:lineRule="exact"/>
        <w:rPr>
          <w:sz w:val="20"/>
          <w:szCs w:val="20"/>
          <w:color w:val="auto"/>
        </w:rPr>
      </w:pPr>
    </w:p>
    <w:p>
      <w:pPr>
        <w:ind w:left="5584" w:right="5020" w:hanging="5196"/>
        <w:spacing w:after="0" w:line="532" w:lineRule="auto"/>
        <w:tabs>
          <w:tab w:leader="none" w:pos="1131"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Ventoux CCM Acquisition Corp. has duly caused this report to be signed on its behalf by the undersigned hereunto duly authorized.</w:t>
      </w:r>
    </w:p>
    <w:p>
      <w:pPr>
        <w:spacing w:after="0" w:line="14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b w:val="1"/>
          <w:bCs w:val="1"/>
          <w:color w:val="auto"/>
        </w:rPr>
        <w:t>VENTOUX CCM ACQUISITION CORP.</w:t>
      </w:r>
    </w:p>
    <w:p>
      <w:pPr>
        <w:spacing w:after="0" w:line="20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6"/>
          <w:szCs w:val="16"/>
          <w:color w:val="auto"/>
        </w:rPr>
        <w:t>Date: April 8,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Ed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Ed Scheetz</w:t>
      </w:r>
    </w:p>
    <w:p>
      <w:pPr>
        <w:spacing w:after="0" w:line="2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5" w:name="page6"/>
    <w:bookmarkEnd w:id="5"/>
    <w:p>
      <w:pPr>
        <w:ind w:left="93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78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93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9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85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4770755</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93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39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85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93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439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2022-04-11T05:26:51Z</dcterms:created>
  <dcterms:modified xsi:type="dcterms:W3CDTF">2022-04-11T05:26:51Z</dcterms:modified>
</cp:coreProperties>
</file>