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31, 2023</w:t>
      </w:r>
    </w:p>
    <w:p>
      <w:pPr>
        <w:spacing w:after="0" w:line="21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Presto Automation Inc.</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720" w:type="dxa"/>
            <w:vAlign w:val="bottom"/>
            <w:gridSpan w:val="4"/>
          </w:tcPr>
          <w:p>
            <w:pPr>
              <w:jc w:val="center"/>
              <w:ind w:right="920"/>
              <w:spacing w:after="0"/>
              <w:rPr>
                <w:sz w:val="20"/>
                <w:szCs w:val="20"/>
                <w:color w:val="auto"/>
              </w:rPr>
            </w:pPr>
            <w:r>
              <w:rPr>
                <w:rFonts w:ascii="Arial" w:cs="Arial" w:eastAsia="Arial" w:hAnsi="Arial"/>
                <w:sz w:val="18"/>
                <w:szCs w:val="18"/>
                <w:color w:val="auto"/>
                <w:w w:val="90"/>
              </w:rPr>
              <w:t>(Exact name of registrant as specified in its charter)</w:t>
            </w:r>
          </w:p>
        </w:tc>
        <w:tc>
          <w:tcPr>
            <w:tcW w:w="2800" w:type="dxa"/>
            <w:vAlign w:val="bottom"/>
          </w:tcPr>
          <w:p>
            <w:pPr>
              <w:spacing w:after="0"/>
              <w:rPr>
                <w:sz w:val="20"/>
                <w:szCs w:val="20"/>
                <w:color w:val="auto"/>
              </w:rPr>
            </w:pPr>
          </w:p>
        </w:tc>
      </w:tr>
      <w:tr>
        <w:trPr>
          <w:trHeight w:val="437"/>
        </w:trPr>
        <w:tc>
          <w:tcPr>
            <w:tcW w:w="3000" w:type="dxa"/>
            <w:vAlign w:val="bottom"/>
          </w:tcPr>
          <w:p>
            <w:pPr>
              <w:jc w:val="center"/>
              <w:ind w:left="690"/>
              <w:spacing w:after="0"/>
              <w:rPr>
                <w:sz w:val="20"/>
                <w:szCs w:val="20"/>
                <w:color w:val="auto"/>
              </w:rPr>
            </w:pPr>
            <w:r>
              <w:rPr>
                <w:rFonts w:ascii="Arial" w:cs="Arial" w:eastAsia="Arial" w:hAnsi="Arial"/>
                <w:sz w:val="18"/>
                <w:szCs w:val="18"/>
                <w:b w:val="1"/>
                <w:bCs w:val="1"/>
                <w:color w:val="auto"/>
                <w:w w:val="93"/>
              </w:rPr>
              <w:t>Delaware</w:t>
            </w:r>
          </w:p>
        </w:tc>
        <w:tc>
          <w:tcPr>
            <w:tcW w:w="4440" w:type="dxa"/>
            <w:vAlign w:val="bottom"/>
            <w:gridSpan w:val="3"/>
          </w:tcPr>
          <w:p>
            <w:pPr>
              <w:jc w:val="right"/>
              <w:ind w:right="1250"/>
              <w:spacing w:after="0"/>
              <w:rPr>
                <w:sz w:val="20"/>
                <w:szCs w:val="20"/>
                <w:color w:val="auto"/>
              </w:rPr>
            </w:pPr>
            <w:r>
              <w:rPr>
                <w:rFonts w:ascii="Arial" w:cs="Arial" w:eastAsia="Arial" w:hAnsi="Arial"/>
                <w:sz w:val="18"/>
                <w:szCs w:val="18"/>
                <w:b w:val="1"/>
                <w:bCs w:val="1"/>
                <w:color w:val="auto"/>
              </w:rPr>
              <w:t>001-39830</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Pr>
          <w:p>
            <w:pPr>
              <w:jc w:val="center"/>
              <w:ind w:right="650"/>
              <w:spacing w:after="0"/>
              <w:rPr>
                <w:sz w:val="20"/>
                <w:szCs w:val="20"/>
                <w:color w:val="auto"/>
              </w:rPr>
            </w:pPr>
            <w:r>
              <w:rPr>
                <w:rFonts w:ascii="Arial" w:cs="Arial" w:eastAsia="Arial" w:hAnsi="Arial"/>
                <w:sz w:val="18"/>
                <w:szCs w:val="18"/>
                <w:b w:val="1"/>
                <w:bCs w:val="1"/>
                <w:color w:val="auto"/>
                <w:w w:val="89"/>
              </w:rPr>
              <w:t>84-2968594</w:t>
            </w:r>
          </w:p>
        </w:tc>
      </w:tr>
      <w:tr>
        <w:trPr>
          <w:trHeight w:val="202"/>
        </w:trPr>
        <w:tc>
          <w:tcPr>
            <w:tcW w:w="3000" w:type="dxa"/>
            <w:vAlign w:val="bottom"/>
            <w:tcBorders>
              <w:top w:val="single" w:sz="8" w:color="auto"/>
            </w:tcBorders>
          </w:tcPr>
          <w:p>
            <w:pPr>
              <w:jc w:val="center"/>
              <w:ind w:left="690"/>
              <w:spacing w:after="0" w:line="201" w:lineRule="exact"/>
              <w:rPr>
                <w:sz w:val="20"/>
                <w:szCs w:val="20"/>
                <w:color w:val="auto"/>
              </w:rPr>
            </w:pPr>
            <w:r>
              <w:rPr>
                <w:rFonts w:ascii="Arial" w:cs="Arial" w:eastAsia="Arial" w:hAnsi="Arial"/>
                <w:sz w:val="18"/>
                <w:szCs w:val="18"/>
                <w:color w:val="auto"/>
                <w:w w:val="92"/>
              </w:rPr>
              <w:t>(State or other jurisdiction</w:t>
            </w: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tcPr>
          <w:p>
            <w:pPr>
              <w:jc w:val="center"/>
              <w:ind w:right="6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00" w:type="dxa"/>
            <w:vAlign w:val="bottom"/>
          </w:tcPr>
          <w:p>
            <w:pPr>
              <w:jc w:val="center"/>
              <w:ind w:left="690"/>
              <w:spacing w:after="0"/>
              <w:rPr>
                <w:sz w:val="20"/>
                <w:szCs w:val="20"/>
                <w:color w:val="auto"/>
              </w:rPr>
            </w:pPr>
            <w:r>
              <w:rPr>
                <w:rFonts w:ascii="Arial" w:cs="Arial" w:eastAsia="Arial" w:hAnsi="Arial"/>
                <w:sz w:val="18"/>
                <w:szCs w:val="18"/>
                <w:color w:val="auto"/>
                <w:w w:val="93"/>
              </w:rPr>
              <w:t>of incorporation)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0" w:type="dxa"/>
            <w:vAlign w:val="bottom"/>
          </w:tcPr>
          <w:p>
            <w:pPr>
              <w:jc w:val="center"/>
              <w:ind w:right="6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92"/>
              </w:rPr>
              <w:t>985 Industrial Road</w:t>
            </w:r>
          </w:p>
        </w:tc>
        <w:tc>
          <w:tcPr>
            <w:tcW w:w="2800" w:type="dxa"/>
            <w:vAlign w:val="bottom"/>
          </w:tcPr>
          <w:p>
            <w:pPr>
              <w:spacing w:after="0"/>
              <w:rPr>
                <w:sz w:val="24"/>
                <w:szCs w:val="24"/>
                <w:color w:val="auto"/>
              </w:rPr>
            </w:pPr>
          </w:p>
        </w:tc>
      </w:tr>
      <w:tr>
        <w:trPr>
          <w:trHeight w:val="220"/>
        </w:trPr>
        <w:tc>
          <w:tcPr>
            <w:tcW w:w="3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90"/>
              </w:rPr>
              <w:t>San Carlos, CA 94070</w:t>
            </w:r>
          </w:p>
        </w:tc>
        <w:tc>
          <w:tcPr>
            <w:tcW w:w="280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p>
        </w:tc>
        <w:tc>
          <w:tcPr>
            <w:tcW w:w="544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80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44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Registrant’s telephone number, including area code</w:t>
            </w:r>
            <w:r>
              <w:rPr>
                <w:rFonts w:ascii="Arial" w:cs="Arial" w:eastAsia="Arial" w:hAnsi="Arial"/>
                <w:sz w:val="18"/>
                <w:szCs w:val="18"/>
                <w:b w:val="1"/>
                <w:bCs w:val="1"/>
                <w:color w:val="auto"/>
                <w:w w:val="90"/>
              </w:rPr>
              <w:t>: (650) 817-9012</w:t>
            </w:r>
          </w:p>
        </w:tc>
        <w:tc>
          <w:tcPr>
            <w:tcW w:w="2800" w:type="dxa"/>
            <w:vAlign w:val="bottom"/>
          </w:tcPr>
          <w:p>
            <w:pPr>
              <w:spacing w:after="0"/>
              <w:rPr>
                <w:sz w:val="24"/>
                <w:szCs w:val="24"/>
                <w:color w:val="auto"/>
              </w:rPr>
            </w:pPr>
          </w:p>
        </w:tc>
      </w:tr>
      <w:tr>
        <w:trPr>
          <w:trHeight w:val="418"/>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92"/>
              </w:rPr>
              <w:t>Not Applicable</w:t>
            </w:r>
          </w:p>
        </w:tc>
        <w:tc>
          <w:tcPr>
            <w:tcW w:w="280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544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80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12"/>
        <w:spacing w:after="0" w:line="498" w:lineRule="auto"/>
        <w:tabs>
          <w:tab w:leader="none" w:pos="32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Trading</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which</w:t>
            </w:r>
          </w:p>
        </w:tc>
      </w:t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par value $0.0001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PRST</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Warrants, each whole warrant exercisable for one share of</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PRSTW</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common stock</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31, 2023, Presto Automation Inc. (the “Company”) announced that it has scheduled its 2023 annual meeting of stockholders (the “Annual Meeting”) for December 6, 2023. It is expected that the purpose of the Annual Meeting will be to, among other things, elect the Company’s Class I Director nominees (Krishna K. Gupta, Keith Kravcik and Edward Scheetz). The final proposals to be considered at the Annual Meeting will be included in a definitive proxy statement that the Company plans to file with the Securities and Exchange Commission (the “SEC”).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this is the first annual meeting of the Company following its business combination with Ventoux CCM Acquisition Corp., the Company has set a deadline of September 14, 2023 for the receipt of any stockholder proposals submitted pursuant to Rule 14a-8 (“Rule 14a-8”) under the Securities Exchange Act of 1934, as amended (the “Exchange Act”). Any such proposal must also meet the requirements set forth in the rules and regulations of the SEC in order to be eligible for inclusion in the Company’s proxy materials for the Annual Meeting.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deadline for stockholder proposals other than pursuant to Rule 14a-8 under the Company’s bylaws, including director nominations and other business, is September 10, 2023. Any such proposal or nomination must meet the requirements set forth in the Company’s bylaws.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in order for stockholders to give timely notice of nominations for directors for inclusion on a universal proxy card for the Annual Meeting, notice must be submitted by September 10, 2023, and must include the information in the notice required by the Company’s bylaws and by Rule 14a-19(b)</w:t>
      </w:r>
    </w:p>
    <w:p>
      <w:pPr>
        <w:spacing w:after="0"/>
        <w:rPr>
          <w:sz w:val="20"/>
          <w:szCs w:val="20"/>
          <w:color w:val="auto"/>
        </w:rPr>
      </w:pPr>
      <w:r>
        <w:rPr>
          <w:rFonts w:ascii="Arial" w:cs="Arial" w:eastAsia="Arial" w:hAnsi="Arial"/>
          <w:sz w:val="18"/>
          <w:szCs w:val="18"/>
          <w:color w:val="auto"/>
        </w:rPr>
        <w:t>(2) and Rule 14a-19(b)(3)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Susan Shinoff</w:t>
      </w:r>
    </w:p>
    <w:p>
      <w:pPr>
        <w:spacing w:after="0" w:line="23" w:lineRule="exact"/>
        <w:rPr>
          <w:sz w:val="20"/>
          <w:szCs w:val="20"/>
          <w:color w:val="auto"/>
        </w:rPr>
      </w:pPr>
    </w:p>
    <w:tbl>
      <w:tblPr>
        <w:tblLayout w:type="fixed"/>
        <w:tblInd w:w="6100" w:type="dxa"/>
        <w:tblCellMar>
          <w:top w:w="0" w:type="dxa"/>
          <w:left w:w="0" w:type="dxa"/>
          <w:bottom w:w="0" w:type="dxa"/>
          <w:right w:w="0" w:type="dxa"/>
        </w:tblCellMar>
      </w:tblPr>
      <w:tr>
        <w:trPr>
          <w:trHeight w:val="195"/>
        </w:trPr>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Susan Shinoff</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00"/>
              <w:spacing w:after="0"/>
              <w:rPr>
                <w:sz w:val="20"/>
                <w:szCs w:val="20"/>
                <w:color w:val="auto"/>
              </w:rPr>
            </w:pPr>
            <w:r>
              <w:rPr>
                <w:rFonts w:ascii="Arial" w:cs="Arial" w:eastAsia="Arial" w:hAnsi="Arial"/>
                <w:sz w:val="18"/>
                <w:szCs w:val="18"/>
                <w:color w:val="auto"/>
              </w:rPr>
              <w:t>General Counsel and Corporate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August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2023-08-31T16:45:08Z</dcterms:created>
  <dcterms:modified xsi:type="dcterms:W3CDTF">2023-08-31T16:45:08Z</dcterms:modified>
</cp:coreProperties>
</file>