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77470</wp:posOffset>
            </wp:positionV>
            <wp:extent cx="56610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3302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142875</wp:posOffset>
            </wp:positionV>
            <wp:extent cx="566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31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1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9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Date of Report (Date of earliest event reported): January 10, 2023</w:t>
      </w:r>
    </w:p>
    <w:p>
      <w:pPr>
        <w:spacing w:after="0" w:line="10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Presto Automation Inc.</w:t>
      </w:r>
    </w:p>
    <w:p>
      <w:pPr>
        <w:spacing w:after="0" w:line="37"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06" w:lineRule="exact"/>
        <w:rPr>
          <w:sz w:val="24"/>
          <w:szCs w:val="24"/>
          <w:color w:val="auto"/>
        </w:rPr>
      </w:pPr>
    </w:p>
    <w:tbl>
      <w:tblPr>
        <w:tblLayout w:type="fixed"/>
        <w:tblInd w:w="60" w:type="dxa"/>
        <w:tblCellMar>
          <w:top w:w="0" w:type="dxa"/>
          <w:left w:w="0" w:type="dxa"/>
          <w:bottom w:w="0" w:type="dxa"/>
          <w:right w:w="0" w:type="dxa"/>
        </w:tblCellMar>
      </w:tblPr>
      <w:tr>
        <w:trPr>
          <w:trHeight w:val="227"/>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40" w:type="dxa"/>
            <w:vAlign w:val="bottom"/>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rPr>
              <w:t>001-39830</w:t>
            </w:r>
          </w:p>
        </w:tc>
        <w:tc>
          <w:tcPr>
            <w:tcW w:w="1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84-2968594</w:t>
            </w:r>
          </w:p>
        </w:tc>
      </w:tr>
      <w:tr>
        <w:trPr>
          <w:trHeight w:val="183"/>
        </w:trPr>
        <w:tc>
          <w:tcPr>
            <w:tcW w:w="282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00" w:type="dxa"/>
            <w:vAlign w:val="bottom"/>
          </w:tcPr>
          <w:p>
            <w:pPr>
              <w:spacing w:after="0"/>
              <w:rPr>
                <w:sz w:val="15"/>
                <w:szCs w:val="15"/>
                <w:color w:val="auto"/>
              </w:rPr>
            </w:pPr>
          </w:p>
        </w:tc>
        <w:tc>
          <w:tcPr>
            <w:tcW w:w="284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(Commission File Number)</w:t>
            </w:r>
          </w:p>
        </w:tc>
        <w:tc>
          <w:tcPr>
            <w:tcW w:w="180" w:type="dxa"/>
            <w:vAlign w:val="bottom"/>
          </w:tcPr>
          <w:p>
            <w:pPr>
              <w:spacing w:after="0"/>
              <w:rPr>
                <w:sz w:val="15"/>
                <w:szCs w:val="15"/>
                <w:color w:val="auto"/>
              </w:rPr>
            </w:pPr>
          </w:p>
        </w:tc>
        <w:tc>
          <w:tcPr>
            <w:tcW w:w="28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(IRS Employer</w:t>
            </w:r>
          </w:p>
        </w:tc>
      </w:tr>
      <w:tr>
        <w:trPr>
          <w:trHeight w:val="223"/>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of incorporation)</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9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985 Industrial Road</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1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9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r>
        <w:rPr>
          <w:rFonts w:ascii="Times New Roman" w:cs="Times New Roman" w:eastAsia="Times New Roman" w:hAnsi="Times New Roman"/>
          <w:sz w:val="17"/>
          <w:szCs w:val="17"/>
          <w:b w:val="1"/>
          <w:bCs w:val="1"/>
          <w:color w:val="auto"/>
        </w:rPr>
        <w:t>: (650) 817-9012</w:t>
      </w:r>
    </w:p>
    <w:p>
      <w:pPr>
        <w:spacing w:after="0" w:line="11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9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4"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r>
      <w:tr>
        <w:trPr>
          <w:trHeight w:val="227"/>
        </w:trPr>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r>
      <w:tr>
        <w:trPr>
          <w:trHeight w:val="183"/>
        </w:trPr>
        <w:tc>
          <w:tcPr>
            <w:tcW w:w="314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Class A common stock, par value $0.0001</w:t>
            </w:r>
          </w:p>
        </w:tc>
        <w:tc>
          <w:tcPr>
            <w:tcW w:w="180" w:type="dxa"/>
            <w:vAlign w:val="bottom"/>
          </w:tcPr>
          <w:p>
            <w:pPr>
              <w:spacing w:after="0"/>
              <w:rPr>
                <w:sz w:val="15"/>
                <w:szCs w:val="15"/>
                <w:color w:val="auto"/>
              </w:rPr>
            </w:pPr>
          </w:p>
        </w:tc>
        <w:tc>
          <w:tcPr>
            <w:tcW w:w="27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8"/>
              </w:rPr>
              <w:t>PRST</w:t>
            </w:r>
          </w:p>
        </w:tc>
        <w:tc>
          <w:tcPr>
            <w:tcW w:w="180" w:type="dxa"/>
            <w:vAlign w:val="bottom"/>
          </w:tcPr>
          <w:p>
            <w:pPr>
              <w:spacing w:after="0"/>
              <w:rPr>
                <w:sz w:val="15"/>
                <w:szCs w:val="15"/>
                <w:color w:val="auto"/>
              </w:rPr>
            </w:pPr>
          </w:p>
        </w:tc>
        <w:tc>
          <w:tcPr>
            <w:tcW w:w="27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The Nasdaq Stock Market LLC</w:t>
            </w:r>
          </w:p>
        </w:tc>
      </w:tr>
      <w:tr>
        <w:trPr>
          <w:trHeight w:val="207"/>
        </w:trPr>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per share</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7"/>
        </w:trPr>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Warrants, each whole warrant exercisable for</w:t>
            </w:r>
          </w:p>
        </w:tc>
        <w:tc>
          <w:tcPr>
            <w:tcW w:w="2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one share of common stock</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100" w:lineRule="exact"/>
        <w:rPr>
          <w:sz w:val="24"/>
          <w:szCs w:val="24"/>
          <w:color w:val="auto"/>
        </w:rPr>
      </w:pPr>
    </w:p>
    <w:p>
      <w:pPr>
        <w:ind w:left="40" w:right="500" w:firstLine="62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80" w:hanging="329"/>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7" w:lineRule="exact"/>
        <w:rPr>
          <w:rFonts w:ascii="MS PGothic" w:cs="MS PGothic" w:eastAsia="MS PGothic" w:hAnsi="MS PGothic"/>
          <w:sz w:val="17"/>
          <w:szCs w:val="17"/>
          <w:color w:val="auto"/>
        </w:rPr>
      </w:pPr>
    </w:p>
    <w:p>
      <w:pPr>
        <w:ind w:left="380" w:hanging="329"/>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7" w:lineRule="exact"/>
        <w:rPr>
          <w:rFonts w:ascii="MS PGothic" w:cs="MS PGothic" w:eastAsia="MS PGothic" w:hAnsi="MS PGothic"/>
          <w:sz w:val="17"/>
          <w:szCs w:val="17"/>
          <w:color w:val="auto"/>
        </w:rPr>
      </w:pPr>
    </w:p>
    <w:p>
      <w:pPr>
        <w:ind w:left="380" w:hanging="329"/>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7" w:lineRule="exact"/>
        <w:rPr>
          <w:rFonts w:ascii="MS PGothic" w:cs="MS PGothic" w:eastAsia="MS PGothic" w:hAnsi="MS PGothic"/>
          <w:sz w:val="17"/>
          <w:szCs w:val="17"/>
          <w:color w:val="auto"/>
        </w:rPr>
      </w:pPr>
    </w:p>
    <w:p>
      <w:pPr>
        <w:ind w:left="380" w:hanging="329"/>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18" w:lineRule="exact"/>
        <w:rPr>
          <w:sz w:val="24"/>
          <w:szCs w:val="24"/>
          <w:color w:val="auto"/>
        </w:rPr>
      </w:pPr>
    </w:p>
    <w:p>
      <w:pPr>
        <w:ind w:left="40" w:right="70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left="40" w:right="52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464185</wp:posOffset>
            </wp:positionV>
            <wp:extent cx="566102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2476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62230</wp:posOffset>
            </wp:positionV>
            <wp:extent cx="566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103505</wp:posOffset>
            </wp:positionV>
            <wp:extent cx="566102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33020"/>
                    </a:xfrm>
                    <a:prstGeom prst="rect">
                      <a:avLst/>
                    </a:prstGeom>
                    <a:noFill/>
                  </pic:spPr>
                </pic:pic>
              </a:graphicData>
            </a:graphic>
          </wp:anchor>
        </w:drawing>
      </w:r>
    </w:p>
    <w:p>
      <w:pPr>
        <w:sectPr>
          <w:pgSz w:w="11900" w:h="16838" w:orient="portrait"/>
          <w:cols w:equalWidth="0" w:num="1">
            <w:col w:w="9400"/>
          </w:cols>
          <w:pgMar w:left="1440" w:top="339" w:right="10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7.01.</w:t>
      </w:r>
    </w:p>
    <w:p>
      <w:pPr>
        <w:spacing w:after="0" w:line="222" w:lineRule="exact"/>
        <w:rPr>
          <w:sz w:val="20"/>
          <w:szCs w:val="20"/>
          <w:color w:val="auto"/>
        </w:rPr>
      </w:pPr>
    </w:p>
    <w:p>
      <w:pPr>
        <w:ind w:left="40" w:right="219" w:firstLine="620"/>
        <w:spacing w:after="0" w:line="270" w:lineRule="auto"/>
        <w:rPr>
          <w:sz w:val="20"/>
          <w:szCs w:val="20"/>
          <w:color w:val="auto"/>
        </w:rPr>
      </w:pPr>
      <w:r>
        <w:rPr>
          <w:rFonts w:ascii="Times New Roman" w:cs="Times New Roman" w:eastAsia="Times New Roman" w:hAnsi="Times New Roman"/>
          <w:sz w:val="17"/>
          <w:szCs w:val="17"/>
          <w:color w:val="auto"/>
        </w:rPr>
        <w:t>Presto Automation Inc. presented at the 2023 ICR Conference, an annual industry event, on January 10, 2023. A copy of the presentation deck that was referred to by management at the conference is attached hereto as Exhibit 99.1 and is incorporated herein by reference.</w:t>
      </w:r>
    </w:p>
    <w:p>
      <w:pPr>
        <w:spacing w:after="0" w:line="167" w:lineRule="exact"/>
        <w:rPr>
          <w:sz w:val="20"/>
          <w:szCs w:val="20"/>
          <w:color w:val="auto"/>
        </w:rPr>
      </w:pPr>
    </w:p>
    <w:p>
      <w:pPr>
        <w:ind w:left="40" w:right="319" w:firstLine="620"/>
        <w:spacing w:after="0" w:line="265" w:lineRule="auto"/>
        <w:rPr>
          <w:sz w:val="20"/>
          <w:szCs w:val="20"/>
          <w:color w:val="auto"/>
        </w:rPr>
      </w:pPr>
      <w:r>
        <w:rPr>
          <w:rFonts w:ascii="Times New Roman" w:cs="Times New Roman" w:eastAsia="Times New Roman" w:hAnsi="Times New Roman"/>
          <w:sz w:val="17"/>
          <w:szCs w:val="17"/>
          <w:color w:val="auto"/>
        </w:rPr>
        <w:t>In accordance with General Instruction B.2 of Form 8-K, the information included in this Item 7.01 and Exhibit 99.1 shall not be deemed “filed” for purposes of Section 18 of the Securities Exchange Act of 1934, as amended, nor shall such information be deemed to be incorporated by reference in any filing under the Securities Act of 1933, as amended, except as shall be expressly set forth by specific reference in such a filing.</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 Exhibits.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1"/>
        </w:trPr>
        <w:tc>
          <w:tcPr>
            <w:tcW w:w="72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7"/>
                <w:szCs w:val="17"/>
                <w:color w:val="auto"/>
              </w:rPr>
              <w:t>99.1</w:t>
            </w:r>
          </w:p>
        </w:tc>
        <w:tc>
          <w:tcPr>
            <w:tcW w:w="180" w:type="dxa"/>
            <w:vAlign w:val="bottom"/>
          </w:tcPr>
          <w:p>
            <w:pPr>
              <w:spacing w:after="0"/>
              <w:rPr>
                <w:sz w:val="13"/>
                <w:szCs w:val="13"/>
                <w:color w:val="auto"/>
              </w:rPr>
            </w:pPr>
          </w:p>
        </w:tc>
        <w:tc>
          <w:tcPr>
            <w:tcW w:w="8000" w:type="dxa"/>
            <w:vAlign w:val="bottom"/>
            <w:tcBorders>
              <w:top w:val="single" w:sz="8" w:color="auto"/>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EE"/>
              </w:rPr>
              <w:t>Presto Automation Inc. Presentation Deck dated January 10, 2023</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43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 the Inline XBRL document)</w:t>
            </w:r>
          </w:p>
        </w:tc>
      </w:tr>
      <w:tr>
        <w:trPr>
          <w:trHeight w:val="962"/>
        </w:trPr>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2" w:lineRule="exact"/>
        <w:rPr>
          <w:sz w:val="20"/>
          <w:szCs w:val="20"/>
          <w:color w:val="auto"/>
        </w:rPr>
      </w:pPr>
    </w:p>
    <w:p>
      <w:pPr>
        <w:ind w:left="40" w:right="379"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By: /s/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17780</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Name: Rajat Suri</w:t>
      </w:r>
    </w:p>
    <w:p>
      <w:pPr>
        <w:spacing w:after="0" w:line="24" w:lineRule="exact"/>
        <w:rPr>
          <w:sz w:val="20"/>
          <w:szCs w:val="20"/>
          <w:color w:val="auto"/>
        </w:rPr>
      </w:pPr>
    </w:p>
    <w:p>
      <w:pPr>
        <w:ind w:left="4740"/>
        <w:spacing w:after="0"/>
        <w:tabs>
          <w:tab w:leader="none" w:pos="52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January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346075</wp:posOffset>
            </wp:positionV>
            <wp:extent cx="566102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025"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wp:posOffset>
            </wp:positionH>
            <wp:positionV relativeFrom="page">
              <wp:posOffset>88900</wp:posOffset>
            </wp:positionV>
            <wp:extent cx="6884035" cy="4225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4035" cy="4225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2023-01-11T11:16:26Z</dcterms:created>
  <dcterms:modified xsi:type="dcterms:W3CDTF">2023-01-11T11:16:26Z</dcterms:modified>
</cp:coreProperties>
</file>