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(Amendment No. __1____)*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Ventoux CCM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92280L200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10020" w:firstLine="8"/>
        <w:spacing w:after="0" w:line="220" w:lineRule="exact"/>
        <w:tabs>
          <w:tab w:leader="none" w:pos="2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0" w:lineRule="exact"/>
        <w:rPr>
          <w:sz w:val="24"/>
          <w:szCs w:val="24"/>
          <w:color w:val="auto"/>
        </w:rPr>
      </w:pPr>
    </w:p>
    <w:p>
      <w:pPr>
        <w:ind w:firstLine="8"/>
        <w:spacing w:after="0" w:line="194" w:lineRule="auto"/>
        <w:tabs>
          <w:tab w:leader="none" w:pos="112"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NAMES OF REPORTING PERSONS</w:t>
      </w:r>
    </w:p>
    <w:p>
      <w:pPr>
        <w:ind w:left="660" w:hanging="463"/>
        <w:spacing w:after="0" w:line="185" w:lineRule="auto"/>
        <w:tabs>
          <w:tab w:leader="none" w:pos="660" w:val="left"/>
        </w:tabs>
        <w:numPr>
          <w:ilvl w:val="0"/>
          <w:numId w:val="3"/>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660"/>
        <w:spacing w:after="0"/>
        <w:rPr>
          <w:rFonts w:ascii="Arial" w:cs="Arial" w:eastAsia="Arial" w:hAnsi="Arial"/>
          <w:sz w:val="27"/>
          <w:szCs w:val="27"/>
          <w:color w:val="auto"/>
          <w:vertAlign w:val="subscript"/>
        </w:rPr>
      </w:pPr>
      <w:r>
        <w:rPr>
          <w:rFonts w:ascii="Arial" w:cs="Arial" w:eastAsia="Arial" w:hAnsi="Arial"/>
          <w:sz w:val="18"/>
          <w:szCs w:val="18"/>
          <w:color w:val="auto"/>
        </w:rPr>
        <w:t>Boothbay Absolute Return Strategies, LP</w:t>
      </w:r>
    </w:p>
    <w:p>
      <w:pPr>
        <w:spacing w:after="0" w:line="36" w:lineRule="exact"/>
        <w:rPr>
          <w:rFonts w:ascii="Arial" w:cs="Arial" w:eastAsia="Arial" w:hAnsi="Arial"/>
          <w:sz w:val="27"/>
          <w:szCs w:val="27"/>
          <w:color w:val="auto"/>
          <w:vertAlign w:val="subscript"/>
        </w:rPr>
      </w:pPr>
    </w:p>
    <w:p>
      <w:pPr>
        <w:ind w:left="660" w:right="5620"/>
        <w:spacing w:after="0" w:line="197" w:lineRule="auto"/>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 (see instructions)</w:t>
      </w:r>
    </w:p>
    <w:p>
      <w:pPr>
        <w:ind w:left="660" w:hanging="463"/>
        <w:spacing w:after="0" w:line="323" w:lineRule="exact"/>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 w:lineRule="exact"/>
        <w:rPr>
          <w:rFonts w:ascii="Arial" w:cs="Arial" w:eastAsia="Arial" w:hAnsi="Arial"/>
          <w:sz w:val="36"/>
          <w:szCs w:val="36"/>
          <w:color w:val="auto"/>
          <w:vertAlign w:val="superscript"/>
        </w:rPr>
      </w:pPr>
    </w:p>
    <w:p>
      <w:pPr>
        <w:ind w:left="660"/>
        <w:spacing w:after="0" w:line="207" w:lineRule="exact"/>
        <w:rPr>
          <w:rFonts w:ascii="Arial" w:cs="Arial" w:eastAsia="Arial" w:hAnsi="Arial"/>
          <w:sz w:val="36"/>
          <w:szCs w:val="36"/>
          <w:color w:val="auto"/>
          <w:vertAlign w:val="superscript"/>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 w:lineRule="exact"/>
        <w:rPr>
          <w:rFonts w:ascii="Arial" w:cs="Arial" w:eastAsia="Arial" w:hAnsi="Arial"/>
          <w:sz w:val="36"/>
          <w:szCs w:val="36"/>
          <w:color w:val="auto"/>
          <w:vertAlign w:val="superscript"/>
        </w:rPr>
      </w:pPr>
    </w:p>
    <w:p>
      <w:pPr>
        <w:ind w:left="660" w:hanging="463"/>
        <w:spacing w:after="0" w:line="186" w:lineRule="auto"/>
        <w:tabs>
          <w:tab w:leader="none" w:pos="660" w:val="left"/>
        </w:tabs>
        <w:numPr>
          <w:ilvl w:val="0"/>
          <w:numId w:val="3"/>
        </w:numPr>
        <w:rPr>
          <w:rFonts w:ascii="Arial" w:cs="Arial" w:eastAsia="Arial" w:hAnsi="Arial"/>
          <w:sz w:val="25"/>
          <w:szCs w:val="25"/>
          <w:color w:val="auto"/>
          <w:vertAlign w:val="subscript"/>
        </w:rPr>
      </w:pPr>
      <w:r>
        <w:rPr>
          <w:rFonts w:ascii="Arial" w:cs="Arial" w:eastAsia="Arial" w:hAnsi="Arial"/>
          <w:sz w:val="14"/>
          <w:szCs w:val="14"/>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40" w:type="dxa"/>
            <w:vAlign w:val="bottom"/>
            <w:tcBorders>
              <w:top w:val="single" w:sz="8" w:color="auto"/>
            </w:tcBorders>
          </w:tcPr>
          <w:p>
            <w:pPr>
              <w:spacing w:after="0"/>
              <w:rPr>
                <w:sz w:val="18"/>
                <w:szCs w:val="18"/>
                <w:color w:val="auto"/>
              </w:rPr>
            </w:pPr>
          </w:p>
        </w:tc>
        <w:tc>
          <w:tcPr>
            <w:tcW w:w="95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r>
      <w:tr>
        <w:trPr>
          <w:trHeight w:val="216"/>
        </w:trPr>
        <w:tc>
          <w:tcPr>
            <w:tcW w:w="174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5.</w:t>
            </w:r>
          </w:p>
        </w:tc>
      </w:tr>
      <w:tr>
        <w:trPr>
          <w:trHeight w:val="237"/>
        </w:trPr>
        <w:tc>
          <w:tcPr>
            <w:tcW w:w="1740" w:type="dxa"/>
            <w:vAlign w:val="bottom"/>
          </w:tcPr>
          <w:p>
            <w:pPr>
              <w:spacing w:after="0"/>
              <w:rPr>
                <w:sz w:val="20"/>
                <w:szCs w:val="20"/>
                <w:color w:val="auto"/>
              </w:rPr>
            </w:pPr>
          </w:p>
        </w:tc>
        <w:tc>
          <w:tcPr>
            <w:tcW w:w="95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r>
      <w:tr>
        <w:trPr>
          <w:trHeight w:val="202"/>
        </w:trPr>
        <w:tc>
          <w:tcPr>
            <w:tcW w:w="17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6"/>
              </w:rPr>
              <w:t>NUMBER OF</w:t>
            </w:r>
          </w:p>
        </w:tc>
        <w:tc>
          <w:tcPr>
            <w:tcW w:w="9500" w:type="dxa"/>
            <w:vAlign w:val="bottom"/>
          </w:tcPr>
          <w:p>
            <w:pPr>
              <w:ind w:left="460"/>
              <w:spacing w:after="0" w:line="201" w:lineRule="exact"/>
              <w:rPr>
                <w:sz w:val="20"/>
                <w:szCs w:val="20"/>
                <w:color w:val="auto"/>
              </w:rPr>
            </w:pPr>
            <w:r>
              <w:rPr>
                <w:rFonts w:ascii="Arial" w:cs="Arial" w:eastAsia="Arial" w:hAnsi="Arial"/>
                <w:sz w:val="18"/>
                <w:szCs w:val="18"/>
                <w:color w:val="auto"/>
              </w:rPr>
              <w:t>SHARED VOTING POWER</w:t>
            </w:r>
          </w:p>
        </w:tc>
      </w:tr>
      <w:tr>
        <w:trPr>
          <w:trHeight w:val="216"/>
        </w:trPr>
        <w:tc>
          <w:tcPr>
            <w:tcW w:w="17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9500" w:type="dxa"/>
            <w:vAlign w:val="bottom"/>
          </w:tcPr>
          <w:p>
            <w:pPr>
              <w:ind w:left="200"/>
              <w:spacing w:after="0"/>
              <w:rPr>
                <w:sz w:val="20"/>
                <w:szCs w:val="20"/>
                <w:color w:val="auto"/>
              </w:rPr>
            </w:pPr>
            <w:r>
              <w:rPr>
                <w:rFonts w:ascii="Arial" w:cs="Arial" w:eastAsia="Arial" w:hAnsi="Arial"/>
                <w:sz w:val="18"/>
                <w:szCs w:val="18"/>
                <w:color w:val="auto"/>
              </w:rPr>
              <w:t>6.</w:t>
            </w:r>
          </w:p>
        </w:tc>
      </w:tr>
      <w:tr>
        <w:trPr>
          <w:trHeight w:val="237"/>
        </w:trPr>
        <w:tc>
          <w:tcPr>
            <w:tcW w:w="1740" w:type="dxa"/>
            <w:vAlign w:val="bottom"/>
          </w:tcPr>
          <w:p>
            <w:pPr>
              <w:jc w:val="center"/>
              <w:ind w:right="10"/>
              <w:spacing w:after="0"/>
              <w:rPr>
                <w:sz w:val="20"/>
                <w:szCs w:val="20"/>
                <w:color w:val="auto"/>
              </w:rPr>
            </w:pPr>
            <w:r>
              <w:rPr>
                <w:rFonts w:ascii="Arial" w:cs="Arial" w:eastAsia="Arial" w:hAnsi="Arial"/>
                <w:sz w:val="18"/>
                <w:szCs w:val="18"/>
                <w:color w:val="auto"/>
              </w:rPr>
              <w:t>BENEFICIALLY</w:t>
            </w:r>
          </w:p>
        </w:tc>
        <w:tc>
          <w:tcPr>
            <w:tcW w:w="95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720,202*</w:t>
            </w:r>
          </w:p>
        </w:tc>
      </w:tr>
      <w:tr>
        <w:trPr>
          <w:trHeight w:val="188"/>
        </w:trPr>
        <w:tc>
          <w:tcPr>
            <w:tcW w:w="17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7"/>
              </w:rPr>
              <w:t>OWNED BY EACH</w:t>
            </w:r>
          </w:p>
        </w:tc>
        <w:tc>
          <w:tcPr>
            <w:tcW w:w="9500" w:type="dxa"/>
            <w:vAlign w:val="bottom"/>
          </w:tcPr>
          <w:p>
            <w:pPr>
              <w:ind w:left="460"/>
              <w:spacing w:after="0" w:line="189" w:lineRule="exact"/>
              <w:rPr>
                <w:sz w:val="20"/>
                <w:szCs w:val="20"/>
                <w:color w:val="auto"/>
              </w:rPr>
            </w:pPr>
            <w:r>
              <w:rPr>
                <w:rFonts w:ascii="Arial" w:cs="Arial" w:eastAsia="Arial" w:hAnsi="Arial"/>
                <w:sz w:val="18"/>
                <w:szCs w:val="18"/>
                <w:color w:val="auto"/>
              </w:rPr>
              <w:t>SOLE DISPOSITIVE POWER</w:t>
            </w:r>
          </w:p>
        </w:tc>
      </w:tr>
      <w:tr>
        <w:trPr>
          <w:trHeight w:val="216"/>
        </w:trPr>
        <w:tc>
          <w:tcPr>
            <w:tcW w:w="17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9500" w:type="dxa"/>
            <w:vAlign w:val="bottom"/>
          </w:tcPr>
          <w:p>
            <w:pPr>
              <w:ind w:left="200"/>
              <w:spacing w:after="0"/>
              <w:rPr>
                <w:sz w:val="20"/>
                <w:szCs w:val="20"/>
                <w:color w:val="auto"/>
              </w:rPr>
            </w:pPr>
            <w:r>
              <w:rPr>
                <w:rFonts w:ascii="Arial" w:cs="Arial" w:eastAsia="Arial" w:hAnsi="Arial"/>
                <w:sz w:val="18"/>
                <w:szCs w:val="18"/>
                <w:color w:val="auto"/>
              </w:rPr>
              <w:t>7.</w:t>
            </w:r>
          </w:p>
        </w:tc>
      </w:tr>
      <w:tr>
        <w:trPr>
          <w:trHeight w:val="251"/>
        </w:trPr>
        <w:tc>
          <w:tcPr>
            <w:tcW w:w="1740" w:type="dxa"/>
            <w:vAlign w:val="bottom"/>
          </w:tcPr>
          <w:p>
            <w:pPr>
              <w:jc w:val="center"/>
              <w:ind w:right="10"/>
              <w:spacing w:after="0"/>
              <w:rPr>
                <w:sz w:val="20"/>
                <w:szCs w:val="20"/>
                <w:color w:val="auto"/>
              </w:rPr>
            </w:pPr>
            <w:r>
              <w:rPr>
                <w:rFonts w:ascii="Arial" w:cs="Arial" w:eastAsia="Arial" w:hAnsi="Arial"/>
                <w:sz w:val="18"/>
                <w:szCs w:val="18"/>
                <w:color w:val="auto"/>
                <w:w w:val="94"/>
              </w:rPr>
              <w:t>PERSON WITH</w:t>
            </w:r>
          </w:p>
        </w:tc>
        <w:tc>
          <w:tcPr>
            <w:tcW w:w="95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r>
      <w:tr>
        <w:trPr>
          <w:trHeight w:val="202"/>
        </w:trPr>
        <w:tc>
          <w:tcPr>
            <w:tcW w:w="1740" w:type="dxa"/>
            <w:vAlign w:val="bottom"/>
          </w:tcPr>
          <w:p>
            <w:pPr>
              <w:spacing w:after="0"/>
              <w:rPr>
                <w:sz w:val="17"/>
                <w:szCs w:val="17"/>
                <w:color w:val="auto"/>
              </w:rPr>
            </w:pPr>
          </w:p>
        </w:tc>
        <w:tc>
          <w:tcPr>
            <w:tcW w:w="9500" w:type="dxa"/>
            <w:vAlign w:val="bottom"/>
          </w:tcPr>
          <w:p>
            <w:pPr>
              <w:ind w:left="460"/>
              <w:spacing w:after="0" w:line="201" w:lineRule="exact"/>
              <w:rPr>
                <w:sz w:val="20"/>
                <w:szCs w:val="20"/>
                <w:color w:val="auto"/>
              </w:rPr>
            </w:pPr>
            <w:r>
              <w:rPr>
                <w:rFonts w:ascii="Arial" w:cs="Arial" w:eastAsia="Arial" w:hAnsi="Arial"/>
                <w:sz w:val="18"/>
                <w:szCs w:val="18"/>
                <w:color w:val="auto"/>
              </w:rPr>
              <w:t>SHARED DISPOSITIVE POWER</w:t>
            </w:r>
          </w:p>
        </w:tc>
      </w:tr>
      <w:tr>
        <w:trPr>
          <w:trHeight w:val="216"/>
        </w:trPr>
        <w:tc>
          <w:tcPr>
            <w:tcW w:w="174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8.</w:t>
            </w:r>
          </w:p>
        </w:tc>
      </w:tr>
      <w:tr>
        <w:trPr>
          <w:trHeight w:val="230"/>
        </w:trPr>
        <w:tc>
          <w:tcPr>
            <w:tcW w:w="1740" w:type="dxa"/>
            <w:vAlign w:val="bottom"/>
          </w:tcPr>
          <w:p>
            <w:pPr>
              <w:spacing w:after="0"/>
              <w:rPr>
                <w:sz w:val="20"/>
                <w:szCs w:val="20"/>
                <w:color w:val="auto"/>
              </w:rPr>
            </w:pPr>
          </w:p>
        </w:tc>
        <w:tc>
          <w:tcPr>
            <w:tcW w:w="9500" w:type="dxa"/>
            <w:vAlign w:val="bottom"/>
          </w:tcPr>
          <w:p>
            <w:pPr>
              <w:ind w:left="460"/>
              <w:spacing w:after="0"/>
              <w:rPr>
                <w:sz w:val="20"/>
                <w:szCs w:val="20"/>
                <w:color w:val="auto"/>
              </w:rPr>
            </w:pPr>
            <w:r>
              <w:rPr>
                <w:rFonts w:ascii="Arial" w:cs="Arial" w:eastAsia="Arial" w:hAnsi="Arial"/>
                <w:sz w:val="18"/>
                <w:szCs w:val="18"/>
                <w:color w:val="auto"/>
              </w:rPr>
              <w:t>720,202*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Borders>
              <w:bottom w:val="single" w:sz="8" w:color="auto"/>
            </w:tcBorders>
          </w:tcPr>
          <w:p>
            <w:pPr>
              <w:spacing w:after="0"/>
              <w:rPr>
                <w:sz w:val="19"/>
                <w:szCs w:val="19"/>
                <w:color w:val="auto"/>
              </w:rPr>
            </w:pPr>
          </w:p>
        </w:tc>
        <w:tc>
          <w:tcPr>
            <w:tcW w:w="10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720,202*</w:t>
            </w:r>
          </w:p>
        </w:tc>
        <w:tc>
          <w:tcPr>
            <w:tcW w:w="0" w:type="dxa"/>
            <w:vAlign w:val="bottom"/>
          </w:tcPr>
          <w:p>
            <w:pPr>
              <w:spacing w:after="0"/>
              <w:rPr>
                <w:sz w:val="1"/>
                <w:szCs w:val="1"/>
                <w:color w:val="auto"/>
              </w:rPr>
            </w:pPr>
          </w:p>
        </w:tc>
      </w:tr>
      <w:tr>
        <w:trPr>
          <w:trHeight w:val="169"/>
        </w:trPr>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10740" w:type="dxa"/>
            <w:vAlign w:val="bottom"/>
          </w:tcPr>
          <w:p>
            <w:pPr>
              <w:ind w:left="160"/>
              <w:spacing w:after="0" w:line="169" w:lineRule="exact"/>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155"/>
        </w:trPr>
        <w:tc>
          <w:tcPr>
            <w:tcW w:w="500" w:type="dxa"/>
            <w:vAlign w:val="bottom"/>
            <w:vMerge w:val="continue"/>
          </w:tcPr>
          <w:p>
            <w:pPr>
              <w:spacing w:after="0"/>
              <w:rPr>
                <w:sz w:val="13"/>
                <w:szCs w:val="13"/>
                <w:color w:val="auto"/>
              </w:rPr>
            </w:pPr>
          </w:p>
        </w:tc>
        <w:tc>
          <w:tcPr>
            <w:tcW w:w="10740" w:type="dxa"/>
            <w:vAlign w:val="bottom"/>
            <w:vMerge w:val="restart"/>
          </w:tcPr>
          <w:p>
            <w:pPr>
              <w:ind w:left="160"/>
              <w:spacing w:after="0" w:line="207" w:lineRule="exact"/>
              <w:rPr>
                <w:sz w:val="20"/>
                <w:szCs w:val="20"/>
                <w:color w:val="auto"/>
              </w:rPr>
            </w:pPr>
            <w:r>
              <w:rPr>
                <w:rFonts w:ascii="Arial" w:cs="Arial" w:eastAsia="Arial" w:hAnsi="Arial"/>
                <w:sz w:val="18"/>
                <w:szCs w:val="18"/>
                <w:color w:val="auto"/>
              </w:rPr>
              <w:t xml:space="preserve">(see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10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11.</w:t>
            </w:r>
          </w:p>
        </w:tc>
        <w:tc>
          <w:tcPr>
            <w:tcW w:w="10740" w:type="dxa"/>
            <w:vAlign w:val="bottom"/>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10740" w:type="dxa"/>
            <w:vAlign w:val="bottom"/>
            <w:vMerge w:val="restart"/>
          </w:tcPr>
          <w:p>
            <w:pPr>
              <w:ind w:left="1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500" w:type="dxa"/>
            <w:vAlign w:val="bottom"/>
            <w:tcBorders>
              <w:bottom w:val="single" w:sz="8" w:color="auto"/>
            </w:tcBorders>
          </w:tcPr>
          <w:p>
            <w:pPr>
              <w:spacing w:after="0"/>
              <w:rPr>
                <w:sz w:val="19"/>
                <w:szCs w:val="19"/>
                <w:color w:val="auto"/>
              </w:rPr>
            </w:pPr>
          </w:p>
        </w:tc>
        <w:tc>
          <w:tcPr>
            <w:tcW w:w="10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12.</w:t>
            </w:r>
          </w:p>
        </w:tc>
        <w:tc>
          <w:tcPr>
            <w:tcW w:w="10740" w:type="dxa"/>
            <w:vAlign w:val="bottom"/>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10740" w:type="dxa"/>
            <w:vAlign w:val="bottom"/>
            <w:vMerge w:val="restart"/>
          </w:tcPr>
          <w:p>
            <w:pPr>
              <w:ind w:left="16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23"/>
        </w:trPr>
        <w:tc>
          <w:tcPr>
            <w:tcW w:w="500" w:type="dxa"/>
            <w:vAlign w:val="bottom"/>
            <w:tcBorders>
              <w:bottom w:val="single" w:sz="8" w:color="auto"/>
            </w:tcBorders>
          </w:tcPr>
          <w:p>
            <w:pPr>
              <w:spacing w:after="0"/>
              <w:rPr>
                <w:sz w:val="19"/>
                <w:szCs w:val="19"/>
                <w:color w:val="auto"/>
              </w:rPr>
            </w:pPr>
          </w:p>
        </w:tc>
        <w:tc>
          <w:tcPr>
            <w:tcW w:w="10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00" w:type="dxa"/>
            <w:vAlign w:val="bottom"/>
            <w:tcBorders>
              <w:bottom w:val="single" w:sz="8" w:color="auto"/>
            </w:tcBorders>
          </w:tcPr>
          <w:p>
            <w:pPr>
              <w:spacing w:after="0"/>
              <w:rPr>
                <w:sz w:val="24"/>
                <w:szCs w:val="24"/>
                <w:color w:val="auto"/>
              </w:rPr>
            </w:pPr>
          </w:p>
        </w:tc>
        <w:tc>
          <w:tcPr>
            <w:tcW w:w="10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NAMES OF REPORTING PERSONS</w:t>
      </w:r>
    </w:p>
    <w:p>
      <w:pPr>
        <w:ind w:left="660" w:hanging="652"/>
        <w:spacing w:after="0" w:line="185" w:lineRule="auto"/>
        <w:tabs>
          <w:tab w:leader="none" w:pos="660" w:val="left"/>
        </w:tabs>
        <w:numPr>
          <w:ilvl w:val="0"/>
          <w:numId w:val="4"/>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660"/>
        <w:spacing w:after="0"/>
        <w:rPr>
          <w:rFonts w:ascii="Arial" w:cs="Arial" w:eastAsia="Arial" w:hAnsi="Arial"/>
          <w:sz w:val="27"/>
          <w:szCs w:val="27"/>
          <w:color w:val="auto"/>
          <w:vertAlign w:val="subscript"/>
        </w:rPr>
      </w:pPr>
      <w:r>
        <w:rPr>
          <w:rFonts w:ascii="Arial" w:cs="Arial" w:eastAsia="Arial" w:hAnsi="Arial"/>
          <w:sz w:val="18"/>
          <w:szCs w:val="18"/>
          <w:color w:val="auto"/>
        </w:rPr>
        <w:t>Boothbay Fund Management, LLC</w:t>
      </w:r>
    </w:p>
    <w:p>
      <w:pPr>
        <w:spacing w:after="0" w:line="36" w:lineRule="exact"/>
        <w:rPr>
          <w:rFonts w:ascii="Arial" w:cs="Arial" w:eastAsia="Arial" w:hAnsi="Arial"/>
          <w:sz w:val="27"/>
          <w:szCs w:val="27"/>
          <w:color w:val="auto"/>
          <w:vertAlign w:val="subscript"/>
        </w:rPr>
      </w:pPr>
    </w:p>
    <w:p>
      <w:pPr>
        <w:ind w:left="660" w:right="5620"/>
        <w:spacing w:after="0" w:line="197" w:lineRule="auto"/>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 (see instructions)</w:t>
      </w:r>
    </w:p>
    <w:p>
      <w:pPr>
        <w:ind w:left="660" w:hanging="652"/>
        <w:spacing w:after="0" w:line="323" w:lineRule="exact"/>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 w:lineRule="exact"/>
        <w:rPr>
          <w:rFonts w:ascii="Arial" w:cs="Arial" w:eastAsia="Arial" w:hAnsi="Arial"/>
          <w:sz w:val="36"/>
          <w:szCs w:val="36"/>
          <w:color w:val="auto"/>
          <w:vertAlign w:val="superscript"/>
        </w:rPr>
      </w:pPr>
    </w:p>
    <w:p>
      <w:pPr>
        <w:ind w:left="660"/>
        <w:spacing w:after="0" w:line="207" w:lineRule="exact"/>
        <w:rPr>
          <w:rFonts w:ascii="Arial" w:cs="Arial" w:eastAsia="Arial" w:hAnsi="Arial"/>
          <w:sz w:val="36"/>
          <w:szCs w:val="36"/>
          <w:color w:val="auto"/>
          <w:vertAlign w:val="superscript"/>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 w:lineRule="exact"/>
        <w:rPr>
          <w:rFonts w:ascii="Arial" w:cs="Arial" w:eastAsia="Arial" w:hAnsi="Arial"/>
          <w:sz w:val="36"/>
          <w:szCs w:val="36"/>
          <w:color w:val="auto"/>
          <w:vertAlign w:val="superscript"/>
        </w:rPr>
      </w:pPr>
    </w:p>
    <w:p>
      <w:pPr>
        <w:ind w:left="660" w:hanging="652"/>
        <w:spacing w:after="0" w:line="186" w:lineRule="auto"/>
        <w:tabs>
          <w:tab w:leader="none" w:pos="660" w:val="left"/>
        </w:tabs>
        <w:numPr>
          <w:ilvl w:val="0"/>
          <w:numId w:val="4"/>
        </w:numPr>
        <w:rPr>
          <w:rFonts w:ascii="Arial" w:cs="Arial" w:eastAsia="Arial" w:hAnsi="Arial"/>
          <w:sz w:val="25"/>
          <w:szCs w:val="25"/>
          <w:color w:val="auto"/>
          <w:vertAlign w:val="subscript"/>
        </w:rPr>
      </w:pPr>
      <w:r>
        <w:rPr>
          <w:rFonts w:ascii="Arial" w:cs="Arial" w:eastAsia="Arial" w:hAnsi="Arial"/>
          <w:sz w:val="14"/>
          <w:szCs w:val="14"/>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5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r>
      <w:tr>
        <w:trPr>
          <w:trHeight w:val="216"/>
        </w:trPr>
        <w:tc>
          <w:tcPr>
            <w:tcW w:w="1620" w:type="dxa"/>
            <w:vAlign w:val="bottom"/>
          </w:tcPr>
          <w:p>
            <w:pPr>
              <w:spacing w:after="0"/>
              <w:rPr>
                <w:sz w:val="18"/>
                <w:szCs w:val="18"/>
                <w:color w:val="auto"/>
              </w:rPr>
            </w:pPr>
          </w:p>
        </w:tc>
        <w:tc>
          <w:tcPr>
            <w:tcW w:w="9620" w:type="dxa"/>
            <w:vAlign w:val="bottom"/>
            <w:gridSpan w:val="2"/>
          </w:tcPr>
          <w:p>
            <w:pPr>
              <w:jc w:val="right"/>
              <w:ind w:right="9270"/>
              <w:spacing w:after="0"/>
              <w:rPr>
                <w:sz w:val="20"/>
                <w:szCs w:val="20"/>
                <w:color w:val="auto"/>
              </w:rPr>
            </w:pPr>
            <w:r>
              <w:rPr>
                <w:rFonts w:ascii="Arial" w:cs="Arial" w:eastAsia="Arial" w:hAnsi="Arial"/>
                <w:sz w:val="18"/>
                <w:szCs w:val="18"/>
                <w:color w:val="auto"/>
              </w:rPr>
              <w:t>5.</w:t>
            </w:r>
          </w:p>
        </w:tc>
      </w:tr>
      <w:tr>
        <w:trPr>
          <w:trHeight w:val="237"/>
        </w:trPr>
        <w:tc>
          <w:tcPr>
            <w:tcW w:w="1620" w:type="dxa"/>
            <w:vAlign w:val="bottom"/>
          </w:tcPr>
          <w:p>
            <w:pPr>
              <w:spacing w:after="0"/>
              <w:rPr>
                <w:sz w:val="20"/>
                <w:szCs w:val="20"/>
                <w:color w:val="auto"/>
              </w:rPr>
            </w:pPr>
          </w:p>
        </w:tc>
        <w:tc>
          <w:tcPr>
            <w:tcW w:w="9620" w:type="dxa"/>
            <w:vAlign w:val="bottom"/>
            <w:gridSpan w:val="2"/>
          </w:tcPr>
          <w:p>
            <w:pPr>
              <w:ind w:left="580"/>
              <w:spacing w:after="0"/>
              <w:rPr>
                <w:sz w:val="20"/>
                <w:szCs w:val="20"/>
                <w:color w:val="auto"/>
              </w:rPr>
            </w:pPr>
            <w:r>
              <w:rPr>
                <w:rFonts w:ascii="Arial" w:cs="Arial" w:eastAsia="Arial" w:hAnsi="Arial"/>
                <w:sz w:val="18"/>
                <w:szCs w:val="18"/>
                <w:color w:val="auto"/>
              </w:rPr>
              <w:t>0</w:t>
            </w: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7"/>
                <w:szCs w:val="17"/>
                <w:color w:val="auto"/>
              </w:rPr>
            </w:pPr>
          </w:p>
        </w:tc>
        <w:tc>
          <w:tcPr>
            <w:tcW w:w="9500" w:type="dxa"/>
            <w:vAlign w:val="bottom"/>
            <w:tcBorders>
              <w:top w:val="single" w:sz="8" w:color="auto"/>
            </w:tcBorders>
          </w:tcPr>
          <w:p>
            <w:pPr>
              <w:ind w:left="460"/>
              <w:spacing w:after="0" w:line="201" w:lineRule="exact"/>
              <w:rPr>
                <w:sz w:val="20"/>
                <w:szCs w:val="20"/>
                <w:color w:val="auto"/>
              </w:rPr>
            </w:pPr>
            <w:r>
              <w:rPr>
                <w:rFonts w:ascii="Arial" w:cs="Arial" w:eastAsia="Arial" w:hAnsi="Arial"/>
                <w:sz w:val="18"/>
                <w:szCs w:val="18"/>
                <w:color w:val="auto"/>
              </w:rPr>
              <w:t>SHARED VOTING POWER</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SHARES</w:t>
            </w:r>
          </w:p>
        </w:tc>
        <w:tc>
          <w:tcPr>
            <w:tcW w:w="9620" w:type="dxa"/>
            <w:vAlign w:val="bottom"/>
            <w:gridSpan w:val="2"/>
          </w:tcPr>
          <w:p>
            <w:pPr>
              <w:jc w:val="right"/>
              <w:ind w:right="9270"/>
              <w:spacing w:after="0"/>
              <w:rPr>
                <w:sz w:val="20"/>
                <w:szCs w:val="20"/>
                <w:color w:val="auto"/>
              </w:rPr>
            </w:pPr>
            <w:r>
              <w:rPr>
                <w:rFonts w:ascii="Arial" w:cs="Arial" w:eastAsia="Arial" w:hAnsi="Arial"/>
                <w:sz w:val="18"/>
                <w:szCs w:val="18"/>
                <w:color w:val="auto"/>
              </w:rPr>
              <w:t>6.</w:t>
            </w: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BENEFICIALLY</w:t>
            </w:r>
          </w:p>
        </w:tc>
        <w:tc>
          <w:tcPr>
            <w:tcW w:w="9620" w:type="dxa"/>
            <w:vAlign w:val="bottom"/>
            <w:gridSpan w:val="2"/>
          </w:tcPr>
          <w:p>
            <w:pPr>
              <w:ind w:left="580"/>
              <w:spacing w:after="0"/>
              <w:rPr>
                <w:sz w:val="20"/>
                <w:szCs w:val="20"/>
                <w:color w:val="auto"/>
              </w:rPr>
            </w:pPr>
            <w:r>
              <w:rPr>
                <w:rFonts w:ascii="Arial" w:cs="Arial" w:eastAsia="Arial" w:hAnsi="Arial"/>
                <w:sz w:val="18"/>
                <w:szCs w:val="18"/>
                <w:color w:val="auto"/>
              </w:rPr>
              <w:t>1,071,728*</w:t>
            </w:r>
          </w:p>
        </w:tc>
      </w:tr>
      <w:tr>
        <w:trPr>
          <w:trHeight w:val="188"/>
        </w:trPr>
        <w:tc>
          <w:tcPr>
            <w:tcW w:w="1620" w:type="dxa"/>
            <w:vAlign w:val="bottom"/>
          </w:tcPr>
          <w:p>
            <w:pPr>
              <w:spacing w:after="0" w:line="189" w:lineRule="exact"/>
              <w:rPr>
                <w:sz w:val="20"/>
                <w:szCs w:val="20"/>
                <w:color w:val="auto"/>
              </w:rPr>
            </w:pPr>
            <w:r>
              <w:rPr>
                <w:rFonts w:ascii="Arial" w:cs="Arial" w:eastAsia="Arial" w:hAnsi="Arial"/>
                <w:sz w:val="18"/>
                <w:szCs w:val="18"/>
                <w:color w:val="auto"/>
              </w:rPr>
              <w:t>OWNED BY EACH</w:t>
            </w:r>
          </w:p>
        </w:tc>
        <w:tc>
          <w:tcPr>
            <w:tcW w:w="120" w:type="dxa"/>
            <w:vAlign w:val="bottom"/>
          </w:tcPr>
          <w:p>
            <w:pPr>
              <w:spacing w:after="0"/>
              <w:rPr>
                <w:sz w:val="16"/>
                <w:szCs w:val="16"/>
                <w:color w:val="auto"/>
              </w:rPr>
            </w:pPr>
          </w:p>
        </w:tc>
        <w:tc>
          <w:tcPr>
            <w:tcW w:w="9500" w:type="dxa"/>
            <w:vAlign w:val="bottom"/>
            <w:tcBorders>
              <w:top w:val="single" w:sz="8" w:color="auto"/>
            </w:tcBorders>
          </w:tcPr>
          <w:p>
            <w:pPr>
              <w:ind w:left="460"/>
              <w:spacing w:after="0" w:line="189" w:lineRule="exact"/>
              <w:rPr>
                <w:sz w:val="20"/>
                <w:szCs w:val="20"/>
                <w:color w:val="auto"/>
              </w:rPr>
            </w:pPr>
            <w:r>
              <w:rPr>
                <w:rFonts w:ascii="Arial" w:cs="Arial" w:eastAsia="Arial" w:hAnsi="Arial"/>
                <w:sz w:val="18"/>
                <w:szCs w:val="18"/>
                <w:color w:val="auto"/>
              </w:rPr>
              <w:t>SOLE DISPOSITIVE POWER</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REPORTING</w:t>
            </w:r>
          </w:p>
        </w:tc>
        <w:tc>
          <w:tcPr>
            <w:tcW w:w="9620" w:type="dxa"/>
            <w:vAlign w:val="bottom"/>
            <w:gridSpan w:val="2"/>
          </w:tcPr>
          <w:p>
            <w:pPr>
              <w:jc w:val="right"/>
              <w:ind w:right="9270"/>
              <w:spacing w:after="0"/>
              <w:rPr>
                <w:sz w:val="20"/>
                <w:szCs w:val="20"/>
                <w:color w:val="auto"/>
              </w:rPr>
            </w:pPr>
            <w:r>
              <w:rPr>
                <w:rFonts w:ascii="Arial" w:cs="Arial" w:eastAsia="Arial" w:hAnsi="Arial"/>
                <w:sz w:val="18"/>
                <w:szCs w:val="18"/>
                <w:color w:val="auto"/>
              </w:rPr>
              <w:t>7.</w:t>
            </w:r>
          </w:p>
        </w:tc>
      </w:tr>
      <w:tr>
        <w:trPr>
          <w:trHeight w:val="251"/>
        </w:trPr>
        <w:tc>
          <w:tcPr>
            <w:tcW w:w="1620" w:type="dxa"/>
            <w:vAlign w:val="bottom"/>
          </w:tcPr>
          <w:p>
            <w:pPr>
              <w:spacing w:after="0"/>
              <w:rPr>
                <w:sz w:val="20"/>
                <w:szCs w:val="20"/>
                <w:color w:val="auto"/>
              </w:rPr>
            </w:pPr>
            <w:r>
              <w:rPr>
                <w:rFonts w:ascii="Arial" w:cs="Arial" w:eastAsia="Arial" w:hAnsi="Arial"/>
                <w:sz w:val="18"/>
                <w:szCs w:val="18"/>
                <w:color w:val="auto"/>
              </w:rPr>
              <w:t>PERSON WITH</w:t>
            </w:r>
          </w:p>
        </w:tc>
        <w:tc>
          <w:tcPr>
            <w:tcW w:w="9620" w:type="dxa"/>
            <w:vAlign w:val="bottom"/>
            <w:gridSpan w:val="2"/>
          </w:tcPr>
          <w:p>
            <w:pPr>
              <w:ind w:left="580"/>
              <w:spacing w:after="0"/>
              <w:rPr>
                <w:sz w:val="20"/>
                <w:szCs w:val="20"/>
                <w:color w:val="auto"/>
              </w:rPr>
            </w:pPr>
            <w:r>
              <w:rPr>
                <w:rFonts w:ascii="Arial" w:cs="Arial" w:eastAsia="Arial" w:hAnsi="Arial"/>
                <w:sz w:val="18"/>
                <w:szCs w:val="18"/>
                <w:color w:val="auto"/>
              </w:rPr>
              <w:t>0</w:t>
            </w: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top w:val="single" w:sz="8" w:color="auto"/>
            </w:tcBorders>
          </w:tcPr>
          <w:p>
            <w:pPr>
              <w:ind w:left="460"/>
              <w:spacing w:after="0" w:line="201" w:lineRule="exact"/>
              <w:rPr>
                <w:sz w:val="20"/>
                <w:szCs w:val="20"/>
                <w:color w:val="auto"/>
              </w:rPr>
            </w:pPr>
            <w:r>
              <w:rPr>
                <w:rFonts w:ascii="Arial" w:cs="Arial" w:eastAsia="Arial" w:hAnsi="Arial"/>
                <w:sz w:val="18"/>
                <w:szCs w:val="18"/>
                <w:color w:val="auto"/>
              </w:rPr>
              <w:t>SHARED DISPOSITIVE POWER</w:t>
            </w:r>
          </w:p>
        </w:tc>
      </w:tr>
      <w:tr>
        <w:trPr>
          <w:trHeight w:val="216"/>
        </w:trPr>
        <w:tc>
          <w:tcPr>
            <w:tcW w:w="1620" w:type="dxa"/>
            <w:vAlign w:val="bottom"/>
          </w:tcPr>
          <w:p>
            <w:pPr>
              <w:spacing w:after="0"/>
              <w:rPr>
                <w:sz w:val="18"/>
                <w:szCs w:val="18"/>
                <w:color w:val="auto"/>
              </w:rPr>
            </w:pPr>
          </w:p>
        </w:tc>
        <w:tc>
          <w:tcPr>
            <w:tcW w:w="9620" w:type="dxa"/>
            <w:vAlign w:val="bottom"/>
            <w:gridSpan w:val="2"/>
          </w:tcPr>
          <w:p>
            <w:pPr>
              <w:jc w:val="right"/>
              <w:ind w:right="9270"/>
              <w:spacing w:after="0"/>
              <w:rPr>
                <w:sz w:val="20"/>
                <w:szCs w:val="20"/>
                <w:color w:val="auto"/>
              </w:rPr>
            </w:pPr>
            <w:r>
              <w:rPr>
                <w:rFonts w:ascii="Arial" w:cs="Arial" w:eastAsia="Arial" w:hAnsi="Arial"/>
                <w:sz w:val="18"/>
                <w:szCs w:val="18"/>
                <w:color w:val="auto"/>
              </w:rPr>
              <w:t>8.</w:t>
            </w:r>
          </w:p>
        </w:tc>
      </w:tr>
      <w:tr>
        <w:trPr>
          <w:trHeight w:val="230"/>
        </w:trPr>
        <w:tc>
          <w:tcPr>
            <w:tcW w:w="1620" w:type="dxa"/>
            <w:vAlign w:val="bottom"/>
          </w:tcPr>
          <w:p>
            <w:pPr>
              <w:spacing w:after="0"/>
              <w:rPr>
                <w:sz w:val="20"/>
                <w:szCs w:val="20"/>
                <w:color w:val="auto"/>
              </w:rPr>
            </w:pPr>
          </w:p>
        </w:tc>
        <w:tc>
          <w:tcPr>
            <w:tcW w:w="9620" w:type="dxa"/>
            <w:vAlign w:val="bottom"/>
            <w:gridSpan w:val="2"/>
          </w:tcPr>
          <w:p>
            <w:pPr>
              <w:ind w:left="580"/>
              <w:spacing w:after="0"/>
              <w:rPr>
                <w:sz w:val="20"/>
                <w:szCs w:val="20"/>
                <w:color w:val="auto"/>
              </w:rPr>
            </w:pPr>
            <w:r>
              <w:rPr>
                <w:rFonts w:ascii="Arial" w:cs="Arial" w:eastAsia="Arial" w:hAnsi="Arial"/>
                <w:sz w:val="18"/>
                <w:szCs w:val="18"/>
                <w:color w:val="auto"/>
              </w:rPr>
              <w:t>1,071,728*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 w:type="dxa"/>
            <w:vAlign w:val="bottom"/>
            <w:tcBorders>
              <w:bottom w:val="single" w:sz="8" w:color="auto"/>
            </w:tcBorders>
          </w:tcPr>
          <w:p>
            <w:pPr>
              <w:spacing w:after="0"/>
              <w:rPr>
                <w:sz w:val="19"/>
                <w:szCs w:val="19"/>
                <w:color w:val="auto"/>
              </w:rPr>
            </w:pPr>
          </w:p>
        </w:tc>
        <w:tc>
          <w:tcPr>
            <w:tcW w:w="10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1,071,728*</w:t>
            </w:r>
          </w:p>
        </w:tc>
        <w:tc>
          <w:tcPr>
            <w:tcW w:w="0" w:type="dxa"/>
            <w:vAlign w:val="bottom"/>
          </w:tcPr>
          <w:p>
            <w:pPr>
              <w:spacing w:after="0"/>
              <w:rPr>
                <w:sz w:val="1"/>
                <w:szCs w:val="1"/>
                <w:color w:val="auto"/>
              </w:rPr>
            </w:pPr>
          </w:p>
        </w:tc>
      </w:tr>
      <w:tr>
        <w:trPr>
          <w:trHeight w:val="169"/>
        </w:trPr>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10.</w:t>
            </w:r>
          </w:p>
        </w:tc>
        <w:tc>
          <w:tcPr>
            <w:tcW w:w="10800" w:type="dxa"/>
            <w:vAlign w:val="bottom"/>
          </w:tcPr>
          <w:p>
            <w:pPr>
              <w:ind w:left="220"/>
              <w:spacing w:after="0" w:line="169" w:lineRule="exact"/>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155"/>
        </w:trPr>
        <w:tc>
          <w:tcPr>
            <w:tcW w:w="440" w:type="dxa"/>
            <w:vAlign w:val="bottom"/>
            <w:vMerge w:val="continue"/>
          </w:tcPr>
          <w:p>
            <w:pPr>
              <w:spacing w:after="0"/>
              <w:rPr>
                <w:sz w:val="13"/>
                <w:szCs w:val="13"/>
                <w:color w:val="auto"/>
              </w:rPr>
            </w:pPr>
          </w:p>
        </w:tc>
        <w:tc>
          <w:tcPr>
            <w:tcW w:w="10800" w:type="dxa"/>
            <w:vAlign w:val="bottom"/>
            <w:vMerge w:val="restart"/>
          </w:tcPr>
          <w:p>
            <w:pPr>
              <w:ind w:left="220"/>
              <w:spacing w:after="0" w:line="207" w:lineRule="exact"/>
              <w:rPr>
                <w:sz w:val="20"/>
                <w:szCs w:val="20"/>
                <w:color w:val="auto"/>
              </w:rPr>
            </w:pPr>
            <w:r>
              <w:rPr>
                <w:rFonts w:ascii="Arial" w:cs="Arial" w:eastAsia="Arial" w:hAnsi="Arial"/>
                <w:sz w:val="18"/>
                <w:szCs w:val="18"/>
                <w:color w:val="auto"/>
              </w:rPr>
              <w:t xml:space="preserve">(see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10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11.</w:t>
            </w:r>
          </w:p>
        </w:tc>
        <w:tc>
          <w:tcPr>
            <w:tcW w:w="10800" w:type="dxa"/>
            <w:vAlign w:val="bottom"/>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02"/>
        </w:trPr>
        <w:tc>
          <w:tcPr>
            <w:tcW w:w="440" w:type="dxa"/>
            <w:vAlign w:val="bottom"/>
            <w:vMerge w:val="continue"/>
          </w:tcPr>
          <w:p>
            <w:pPr>
              <w:spacing w:after="0"/>
              <w:rPr>
                <w:sz w:val="17"/>
                <w:szCs w:val="17"/>
                <w:color w:val="auto"/>
              </w:rPr>
            </w:pPr>
          </w:p>
        </w:tc>
        <w:tc>
          <w:tcPr>
            <w:tcW w:w="10800" w:type="dxa"/>
            <w:vAlign w:val="bottom"/>
            <w:vMerge w:val="restart"/>
          </w:tcPr>
          <w:p>
            <w:pPr>
              <w:ind w:left="2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0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12.</w:t>
            </w:r>
          </w:p>
        </w:tc>
        <w:tc>
          <w:tcPr>
            <w:tcW w:w="10800" w:type="dxa"/>
            <w:vAlign w:val="bottom"/>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02"/>
        </w:trPr>
        <w:tc>
          <w:tcPr>
            <w:tcW w:w="440" w:type="dxa"/>
            <w:vAlign w:val="bottom"/>
            <w:vMerge w:val="continue"/>
          </w:tcPr>
          <w:p>
            <w:pPr>
              <w:spacing w:after="0"/>
              <w:rPr>
                <w:sz w:val="17"/>
                <w:szCs w:val="17"/>
                <w:color w:val="auto"/>
              </w:rPr>
            </w:pPr>
          </w:p>
        </w:tc>
        <w:tc>
          <w:tcPr>
            <w:tcW w:w="10800" w:type="dxa"/>
            <w:vAlign w:val="bottom"/>
            <w:vMerge w:val="restart"/>
          </w:tcPr>
          <w:p>
            <w:pPr>
              <w:ind w:left="220"/>
              <w:spacing w:after="0"/>
              <w:rPr>
                <w:sz w:val="20"/>
                <w:szCs w:val="20"/>
                <w:color w:val="auto"/>
              </w:rPr>
            </w:pPr>
            <w:r>
              <w:rPr>
                <w:rFonts w:ascii="Arial" w:cs="Arial" w:eastAsia="Arial" w:hAnsi="Arial"/>
                <w:sz w:val="18"/>
                <w:szCs w:val="18"/>
                <w:color w:val="auto"/>
              </w:rPr>
              <w:t>IA, OO</w:t>
            </w: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0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4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NAMES OF REPORTING PERSONS</w:t>
      </w:r>
    </w:p>
    <w:p>
      <w:pPr>
        <w:ind w:left="660" w:hanging="463"/>
        <w:spacing w:after="0" w:line="185" w:lineRule="auto"/>
        <w:tabs>
          <w:tab w:leader="none" w:pos="660" w:val="left"/>
        </w:tabs>
        <w:numPr>
          <w:ilvl w:val="0"/>
          <w:numId w:val="5"/>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660"/>
        <w:spacing w:after="0"/>
        <w:rPr>
          <w:rFonts w:ascii="Arial" w:cs="Arial" w:eastAsia="Arial" w:hAnsi="Arial"/>
          <w:sz w:val="27"/>
          <w:szCs w:val="27"/>
          <w:color w:val="auto"/>
          <w:vertAlign w:val="subscript"/>
        </w:rPr>
      </w:pPr>
      <w:r>
        <w:rPr>
          <w:rFonts w:ascii="Arial" w:cs="Arial" w:eastAsia="Arial" w:hAnsi="Arial"/>
          <w:sz w:val="18"/>
          <w:szCs w:val="18"/>
          <w:color w:val="auto"/>
        </w:rPr>
        <w:t>Ari Glass</w:t>
      </w:r>
    </w:p>
    <w:p>
      <w:pPr>
        <w:spacing w:after="0" w:line="36" w:lineRule="exact"/>
        <w:rPr>
          <w:rFonts w:ascii="Arial" w:cs="Arial" w:eastAsia="Arial" w:hAnsi="Arial"/>
          <w:sz w:val="27"/>
          <w:szCs w:val="27"/>
          <w:color w:val="auto"/>
          <w:vertAlign w:val="subscript"/>
        </w:rPr>
      </w:pPr>
    </w:p>
    <w:p>
      <w:pPr>
        <w:ind w:left="660" w:right="5620"/>
        <w:spacing w:after="0" w:line="197" w:lineRule="auto"/>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 (see instructions)</w:t>
      </w:r>
    </w:p>
    <w:p>
      <w:pPr>
        <w:ind w:left="660" w:hanging="463"/>
        <w:spacing w:after="0" w:line="323" w:lineRule="exact"/>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 w:lineRule="exact"/>
        <w:rPr>
          <w:rFonts w:ascii="Arial" w:cs="Arial" w:eastAsia="Arial" w:hAnsi="Arial"/>
          <w:sz w:val="36"/>
          <w:szCs w:val="36"/>
          <w:color w:val="auto"/>
          <w:vertAlign w:val="superscript"/>
        </w:rPr>
      </w:pPr>
    </w:p>
    <w:p>
      <w:pPr>
        <w:ind w:left="660"/>
        <w:spacing w:after="0" w:line="207" w:lineRule="exact"/>
        <w:rPr>
          <w:rFonts w:ascii="Arial" w:cs="Arial" w:eastAsia="Arial" w:hAnsi="Arial"/>
          <w:sz w:val="36"/>
          <w:szCs w:val="36"/>
          <w:color w:val="auto"/>
          <w:vertAlign w:val="superscript"/>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 w:lineRule="exact"/>
        <w:rPr>
          <w:rFonts w:ascii="Arial" w:cs="Arial" w:eastAsia="Arial" w:hAnsi="Arial"/>
          <w:sz w:val="36"/>
          <w:szCs w:val="36"/>
          <w:color w:val="auto"/>
          <w:vertAlign w:val="superscript"/>
        </w:rPr>
      </w:pPr>
    </w:p>
    <w:p>
      <w:pPr>
        <w:ind w:left="660" w:hanging="463"/>
        <w:spacing w:after="0" w:line="186" w:lineRule="auto"/>
        <w:tabs>
          <w:tab w:leader="none" w:pos="660" w:val="left"/>
        </w:tabs>
        <w:numPr>
          <w:ilvl w:val="0"/>
          <w:numId w:val="5"/>
        </w:numPr>
        <w:rPr>
          <w:rFonts w:ascii="Arial" w:cs="Arial" w:eastAsia="Arial" w:hAnsi="Arial"/>
          <w:sz w:val="25"/>
          <w:szCs w:val="25"/>
          <w:color w:val="auto"/>
          <w:vertAlign w:val="subscript"/>
        </w:rPr>
      </w:pPr>
      <w:r>
        <w:rPr>
          <w:rFonts w:ascii="Arial" w:cs="Arial" w:eastAsia="Arial" w:hAnsi="Arial"/>
          <w:sz w:val="14"/>
          <w:szCs w:val="14"/>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40" w:type="dxa"/>
            <w:vAlign w:val="bottom"/>
            <w:tcBorders>
              <w:top w:val="single" w:sz="8" w:color="auto"/>
            </w:tcBorders>
          </w:tcPr>
          <w:p>
            <w:pPr>
              <w:spacing w:after="0"/>
              <w:rPr>
                <w:sz w:val="18"/>
                <w:szCs w:val="18"/>
                <w:color w:val="auto"/>
              </w:rPr>
            </w:pPr>
          </w:p>
        </w:tc>
        <w:tc>
          <w:tcPr>
            <w:tcW w:w="95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r>
      <w:tr>
        <w:trPr>
          <w:trHeight w:val="216"/>
        </w:trPr>
        <w:tc>
          <w:tcPr>
            <w:tcW w:w="174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5.</w:t>
            </w:r>
          </w:p>
        </w:tc>
      </w:tr>
      <w:tr>
        <w:trPr>
          <w:trHeight w:val="237"/>
        </w:trPr>
        <w:tc>
          <w:tcPr>
            <w:tcW w:w="1740" w:type="dxa"/>
            <w:vAlign w:val="bottom"/>
          </w:tcPr>
          <w:p>
            <w:pPr>
              <w:spacing w:after="0"/>
              <w:rPr>
                <w:sz w:val="20"/>
                <w:szCs w:val="20"/>
                <w:color w:val="auto"/>
              </w:rPr>
            </w:pPr>
          </w:p>
        </w:tc>
        <w:tc>
          <w:tcPr>
            <w:tcW w:w="95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r>
      <w:tr>
        <w:trPr>
          <w:trHeight w:val="202"/>
        </w:trPr>
        <w:tc>
          <w:tcPr>
            <w:tcW w:w="17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6"/>
              </w:rPr>
              <w:t>NUMBER OF</w:t>
            </w:r>
          </w:p>
        </w:tc>
        <w:tc>
          <w:tcPr>
            <w:tcW w:w="9500" w:type="dxa"/>
            <w:vAlign w:val="bottom"/>
          </w:tcPr>
          <w:p>
            <w:pPr>
              <w:ind w:left="460"/>
              <w:spacing w:after="0" w:line="201" w:lineRule="exact"/>
              <w:rPr>
                <w:sz w:val="20"/>
                <w:szCs w:val="20"/>
                <w:color w:val="auto"/>
              </w:rPr>
            </w:pPr>
            <w:r>
              <w:rPr>
                <w:rFonts w:ascii="Arial" w:cs="Arial" w:eastAsia="Arial" w:hAnsi="Arial"/>
                <w:sz w:val="18"/>
                <w:szCs w:val="18"/>
                <w:color w:val="auto"/>
              </w:rPr>
              <w:t>SHARED VOTING POWER</w:t>
            </w:r>
          </w:p>
        </w:tc>
      </w:tr>
      <w:tr>
        <w:trPr>
          <w:trHeight w:val="216"/>
        </w:trPr>
        <w:tc>
          <w:tcPr>
            <w:tcW w:w="17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9500" w:type="dxa"/>
            <w:vAlign w:val="bottom"/>
          </w:tcPr>
          <w:p>
            <w:pPr>
              <w:ind w:left="200"/>
              <w:spacing w:after="0"/>
              <w:rPr>
                <w:sz w:val="20"/>
                <w:szCs w:val="20"/>
                <w:color w:val="auto"/>
              </w:rPr>
            </w:pPr>
            <w:r>
              <w:rPr>
                <w:rFonts w:ascii="Arial" w:cs="Arial" w:eastAsia="Arial" w:hAnsi="Arial"/>
                <w:sz w:val="18"/>
                <w:szCs w:val="18"/>
                <w:color w:val="auto"/>
              </w:rPr>
              <w:t>6.</w:t>
            </w:r>
          </w:p>
        </w:tc>
      </w:tr>
      <w:tr>
        <w:trPr>
          <w:trHeight w:val="237"/>
        </w:trPr>
        <w:tc>
          <w:tcPr>
            <w:tcW w:w="1740" w:type="dxa"/>
            <w:vAlign w:val="bottom"/>
          </w:tcPr>
          <w:p>
            <w:pPr>
              <w:jc w:val="center"/>
              <w:ind w:right="10"/>
              <w:spacing w:after="0"/>
              <w:rPr>
                <w:sz w:val="20"/>
                <w:szCs w:val="20"/>
                <w:color w:val="auto"/>
              </w:rPr>
            </w:pPr>
            <w:r>
              <w:rPr>
                <w:rFonts w:ascii="Arial" w:cs="Arial" w:eastAsia="Arial" w:hAnsi="Arial"/>
                <w:sz w:val="18"/>
                <w:szCs w:val="18"/>
                <w:color w:val="auto"/>
              </w:rPr>
              <w:t>BENEFICIALLY</w:t>
            </w:r>
          </w:p>
        </w:tc>
        <w:tc>
          <w:tcPr>
            <w:tcW w:w="95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1,071,728*</w:t>
            </w:r>
          </w:p>
        </w:tc>
      </w:tr>
      <w:tr>
        <w:trPr>
          <w:trHeight w:val="188"/>
        </w:trPr>
        <w:tc>
          <w:tcPr>
            <w:tcW w:w="17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7"/>
              </w:rPr>
              <w:t>OWNED BY EACH</w:t>
            </w:r>
          </w:p>
        </w:tc>
        <w:tc>
          <w:tcPr>
            <w:tcW w:w="9500" w:type="dxa"/>
            <w:vAlign w:val="bottom"/>
          </w:tcPr>
          <w:p>
            <w:pPr>
              <w:ind w:left="460"/>
              <w:spacing w:after="0" w:line="189" w:lineRule="exact"/>
              <w:rPr>
                <w:sz w:val="20"/>
                <w:szCs w:val="20"/>
                <w:color w:val="auto"/>
              </w:rPr>
            </w:pPr>
            <w:r>
              <w:rPr>
                <w:rFonts w:ascii="Arial" w:cs="Arial" w:eastAsia="Arial" w:hAnsi="Arial"/>
                <w:sz w:val="18"/>
                <w:szCs w:val="18"/>
                <w:color w:val="auto"/>
              </w:rPr>
              <w:t>SOLE DISPOSITIVE POWER</w:t>
            </w:r>
          </w:p>
        </w:tc>
      </w:tr>
      <w:tr>
        <w:trPr>
          <w:trHeight w:val="216"/>
        </w:trPr>
        <w:tc>
          <w:tcPr>
            <w:tcW w:w="17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9500" w:type="dxa"/>
            <w:vAlign w:val="bottom"/>
          </w:tcPr>
          <w:p>
            <w:pPr>
              <w:ind w:left="200"/>
              <w:spacing w:after="0"/>
              <w:rPr>
                <w:sz w:val="20"/>
                <w:szCs w:val="20"/>
                <w:color w:val="auto"/>
              </w:rPr>
            </w:pPr>
            <w:r>
              <w:rPr>
                <w:rFonts w:ascii="Arial" w:cs="Arial" w:eastAsia="Arial" w:hAnsi="Arial"/>
                <w:sz w:val="18"/>
                <w:szCs w:val="18"/>
                <w:color w:val="auto"/>
              </w:rPr>
              <w:t>7.</w:t>
            </w:r>
          </w:p>
        </w:tc>
      </w:tr>
      <w:tr>
        <w:trPr>
          <w:trHeight w:val="251"/>
        </w:trPr>
        <w:tc>
          <w:tcPr>
            <w:tcW w:w="1740" w:type="dxa"/>
            <w:vAlign w:val="bottom"/>
          </w:tcPr>
          <w:p>
            <w:pPr>
              <w:jc w:val="center"/>
              <w:ind w:right="10"/>
              <w:spacing w:after="0"/>
              <w:rPr>
                <w:sz w:val="20"/>
                <w:szCs w:val="20"/>
                <w:color w:val="auto"/>
              </w:rPr>
            </w:pPr>
            <w:r>
              <w:rPr>
                <w:rFonts w:ascii="Arial" w:cs="Arial" w:eastAsia="Arial" w:hAnsi="Arial"/>
                <w:sz w:val="18"/>
                <w:szCs w:val="18"/>
                <w:color w:val="auto"/>
                <w:w w:val="94"/>
              </w:rPr>
              <w:t>PERSON WITH</w:t>
            </w:r>
          </w:p>
        </w:tc>
        <w:tc>
          <w:tcPr>
            <w:tcW w:w="95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r>
      <w:tr>
        <w:trPr>
          <w:trHeight w:val="202"/>
        </w:trPr>
        <w:tc>
          <w:tcPr>
            <w:tcW w:w="1740" w:type="dxa"/>
            <w:vAlign w:val="bottom"/>
          </w:tcPr>
          <w:p>
            <w:pPr>
              <w:spacing w:after="0"/>
              <w:rPr>
                <w:sz w:val="17"/>
                <w:szCs w:val="17"/>
                <w:color w:val="auto"/>
              </w:rPr>
            </w:pPr>
          </w:p>
        </w:tc>
        <w:tc>
          <w:tcPr>
            <w:tcW w:w="9500" w:type="dxa"/>
            <w:vAlign w:val="bottom"/>
          </w:tcPr>
          <w:p>
            <w:pPr>
              <w:ind w:left="460"/>
              <w:spacing w:after="0" w:line="201" w:lineRule="exact"/>
              <w:rPr>
                <w:sz w:val="20"/>
                <w:szCs w:val="20"/>
                <w:color w:val="auto"/>
              </w:rPr>
            </w:pPr>
            <w:r>
              <w:rPr>
                <w:rFonts w:ascii="Arial" w:cs="Arial" w:eastAsia="Arial" w:hAnsi="Arial"/>
                <w:sz w:val="18"/>
                <w:szCs w:val="18"/>
                <w:color w:val="auto"/>
              </w:rPr>
              <w:t>SHARED DISPOSITIVE POWER</w:t>
            </w:r>
          </w:p>
        </w:tc>
      </w:tr>
      <w:tr>
        <w:trPr>
          <w:trHeight w:val="216"/>
        </w:trPr>
        <w:tc>
          <w:tcPr>
            <w:tcW w:w="174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8.</w:t>
            </w:r>
          </w:p>
        </w:tc>
      </w:tr>
      <w:tr>
        <w:trPr>
          <w:trHeight w:val="230"/>
        </w:trPr>
        <w:tc>
          <w:tcPr>
            <w:tcW w:w="1740" w:type="dxa"/>
            <w:vAlign w:val="bottom"/>
          </w:tcPr>
          <w:p>
            <w:pPr>
              <w:spacing w:after="0"/>
              <w:rPr>
                <w:sz w:val="20"/>
                <w:szCs w:val="20"/>
                <w:color w:val="auto"/>
              </w:rPr>
            </w:pPr>
          </w:p>
        </w:tc>
        <w:tc>
          <w:tcPr>
            <w:tcW w:w="9500" w:type="dxa"/>
            <w:vAlign w:val="bottom"/>
          </w:tcPr>
          <w:p>
            <w:pPr>
              <w:ind w:left="460"/>
              <w:spacing w:after="0"/>
              <w:rPr>
                <w:sz w:val="20"/>
                <w:szCs w:val="20"/>
                <w:color w:val="auto"/>
              </w:rPr>
            </w:pPr>
            <w:r>
              <w:rPr>
                <w:rFonts w:ascii="Arial" w:cs="Arial" w:eastAsia="Arial" w:hAnsi="Arial"/>
                <w:sz w:val="18"/>
                <w:szCs w:val="18"/>
                <w:color w:val="auto"/>
              </w:rPr>
              <w:t>1,071,728*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Borders>
              <w:bottom w:val="single" w:sz="8" w:color="auto"/>
            </w:tcBorders>
          </w:tcPr>
          <w:p>
            <w:pPr>
              <w:spacing w:after="0"/>
              <w:rPr>
                <w:sz w:val="19"/>
                <w:szCs w:val="19"/>
                <w:color w:val="auto"/>
              </w:rPr>
            </w:pPr>
          </w:p>
        </w:tc>
        <w:tc>
          <w:tcPr>
            <w:tcW w:w="10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1,071,728*</w:t>
            </w:r>
          </w:p>
        </w:tc>
        <w:tc>
          <w:tcPr>
            <w:tcW w:w="0" w:type="dxa"/>
            <w:vAlign w:val="bottom"/>
          </w:tcPr>
          <w:p>
            <w:pPr>
              <w:spacing w:after="0"/>
              <w:rPr>
                <w:sz w:val="1"/>
                <w:szCs w:val="1"/>
                <w:color w:val="auto"/>
              </w:rPr>
            </w:pPr>
          </w:p>
        </w:tc>
      </w:tr>
      <w:tr>
        <w:trPr>
          <w:trHeight w:val="169"/>
        </w:trPr>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10740" w:type="dxa"/>
            <w:vAlign w:val="bottom"/>
          </w:tcPr>
          <w:p>
            <w:pPr>
              <w:ind w:left="160"/>
              <w:spacing w:after="0" w:line="169" w:lineRule="exact"/>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155"/>
        </w:trPr>
        <w:tc>
          <w:tcPr>
            <w:tcW w:w="500" w:type="dxa"/>
            <w:vAlign w:val="bottom"/>
            <w:vMerge w:val="continue"/>
          </w:tcPr>
          <w:p>
            <w:pPr>
              <w:spacing w:after="0"/>
              <w:rPr>
                <w:sz w:val="13"/>
                <w:szCs w:val="13"/>
                <w:color w:val="auto"/>
              </w:rPr>
            </w:pPr>
          </w:p>
        </w:tc>
        <w:tc>
          <w:tcPr>
            <w:tcW w:w="10740" w:type="dxa"/>
            <w:vAlign w:val="bottom"/>
            <w:vMerge w:val="restart"/>
          </w:tcPr>
          <w:p>
            <w:pPr>
              <w:ind w:left="160"/>
              <w:spacing w:after="0" w:line="207" w:lineRule="exact"/>
              <w:rPr>
                <w:sz w:val="20"/>
                <w:szCs w:val="20"/>
                <w:color w:val="auto"/>
              </w:rPr>
            </w:pPr>
            <w:r>
              <w:rPr>
                <w:rFonts w:ascii="Arial" w:cs="Arial" w:eastAsia="Arial" w:hAnsi="Arial"/>
                <w:sz w:val="18"/>
                <w:szCs w:val="18"/>
                <w:color w:val="auto"/>
              </w:rPr>
              <w:t xml:space="preserve">(see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10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11.</w:t>
            </w:r>
          </w:p>
        </w:tc>
        <w:tc>
          <w:tcPr>
            <w:tcW w:w="10740" w:type="dxa"/>
            <w:vAlign w:val="bottom"/>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10740" w:type="dxa"/>
            <w:vAlign w:val="bottom"/>
            <w:vMerge w:val="restart"/>
          </w:tcPr>
          <w:p>
            <w:pPr>
              <w:ind w:left="1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3"/>
        </w:trPr>
        <w:tc>
          <w:tcPr>
            <w:tcW w:w="500" w:type="dxa"/>
            <w:vAlign w:val="bottom"/>
            <w:tcBorders>
              <w:bottom w:val="single" w:sz="8" w:color="auto"/>
            </w:tcBorders>
          </w:tcPr>
          <w:p>
            <w:pPr>
              <w:spacing w:after="0"/>
              <w:rPr>
                <w:sz w:val="19"/>
                <w:szCs w:val="19"/>
                <w:color w:val="auto"/>
              </w:rPr>
            </w:pPr>
          </w:p>
        </w:tc>
        <w:tc>
          <w:tcPr>
            <w:tcW w:w="10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12.</w:t>
            </w:r>
          </w:p>
        </w:tc>
        <w:tc>
          <w:tcPr>
            <w:tcW w:w="10740" w:type="dxa"/>
            <w:vAlign w:val="bottom"/>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10740" w:type="dxa"/>
            <w:vAlign w:val="bottom"/>
            <w:vMerge w:val="restart"/>
          </w:tcPr>
          <w:p>
            <w:pPr>
              <w:ind w:left="160"/>
              <w:spacing w:after="0"/>
              <w:rPr>
                <w:sz w:val="20"/>
                <w:szCs w:val="20"/>
                <w:color w:val="auto"/>
              </w:rPr>
            </w:pPr>
            <w:r>
              <w:rPr>
                <w:rFonts w:ascii="Arial" w:cs="Arial" w:eastAsia="Arial" w:hAnsi="Arial"/>
                <w:sz w:val="18"/>
                <w:szCs w:val="18"/>
                <w:color w:val="auto"/>
              </w:rPr>
              <w:t>IN, HC</w:t>
            </w:r>
          </w:p>
        </w:tc>
        <w:tc>
          <w:tcPr>
            <w:tcW w:w="0" w:type="dxa"/>
            <w:vAlign w:val="bottom"/>
          </w:tcPr>
          <w:p>
            <w:pPr>
              <w:spacing w:after="0"/>
              <w:rPr>
                <w:sz w:val="1"/>
                <w:szCs w:val="1"/>
                <w:color w:val="auto"/>
              </w:rPr>
            </w:pPr>
          </w:p>
        </w:tc>
      </w:tr>
      <w:tr>
        <w:trPr>
          <w:trHeight w:val="223"/>
        </w:trPr>
        <w:tc>
          <w:tcPr>
            <w:tcW w:w="500" w:type="dxa"/>
            <w:vAlign w:val="bottom"/>
            <w:tcBorders>
              <w:bottom w:val="single" w:sz="8" w:color="auto"/>
            </w:tcBorders>
          </w:tcPr>
          <w:p>
            <w:pPr>
              <w:spacing w:after="0"/>
              <w:rPr>
                <w:sz w:val="19"/>
                <w:szCs w:val="19"/>
                <w:color w:val="auto"/>
              </w:rPr>
            </w:pPr>
          </w:p>
        </w:tc>
        <w:tc>
          <w:tcPr>
            <w:tcW w:w="10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00" w:type="dxa"/>
            <w:vAlign w:val="bottom"/>
            <w:tcBorders>
              <w:bottom w:val="single" w:sz="8" w:color="auto"/>
            </w:tcBorders>
          </w:tcPr>
          <w:p>
            <w:pPr>
              <w:spacing w:after="0"/>
              <w:rPr>
                <w:sz w:val="24"/>
                <w:szCs w:val="24"/>
                <w:color w:val="auto"/>
              </w:rPr>
            </w:pPr>
          </w:p>
        </w:tc>
        <w:tc>
          <w:tcPr>
            <w:tcW w:w="10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4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36"/>
          <w:szCs w:val="36"/>
          <w:color w:val="auto"/>
          <w:vertAlign w:val="subscript"/>
        </w:rPr>
      </w:pPr>
      <w:r>
        <w:rPr>
          <w:rFonts w:ascii="Arial" w:cs="Arial" w:eastAsia="Arial" w:hAnsi="Arial"/>
          <w:sz w:val="18"/>
          <w:szCs w:val="18"/>
          <w:color w:val="auto"/>
        </w:rPr>
        <w:t>Name of Issuer</w:t>
      </w:r>
    </w:p>
    <w:p>
      <w:pPr>
        <w:spacing w:after="0" w:line="1" w:lineRule="exact"/>
        <w:rPr>
          <w:rFonts w:ascii="Arial" w:cs="Arial" w:eastAsia="Arial" w:hAnsi="Arial"/>
          <w:sz w:val="36"/>
          <w:szCs w:val="36"/>
          <w:color w:val="auto"/>
          <w:vertAlign w:val="subscript"/>
        </w:rPr>
      </w:pPr>
    </w:p>
    <w:p>
      <w:pPr>
        <w:jc w:val="both"/>
        <w:ind w:left="660" w:right="6059"/>
        <w:spacing w:after="0" w:line="421" w:lineRule="auto"/>
        <w:rPr>
          <w:rFonts w:ascii="Arial" w:cs="Arial" w:eastAsia="Arial" w:hAnsi="Arial"/>
          <w:sz w:val="36"/>
          <w:szCs w:val="36"/>
          <w:color w:val="auto"/>
          <w:vertAlign w:val="subscript"/>
        </w:rPr>
      </w:pPr>
      <w:r>
        <w:rPr>
          <w:rFonts w:ascii="Arial" w:cs="Arial" w:eastAsia="Arial" w:hAnsi="Arial"/>
          <w:sz w:val="16"/>
          <w:szCs w:val="16"/>
          <w:color w:val="auto"/>
        </w:rPr>
        <w:t>Ventoux CCM Acquisition Corp. (the “Issuer”) Address of Issuer’s Principal Executive Offices</w:t>
      </w:r>
    </w:p>
    <w:p>
      <w:pPr>
        <w:ind w:left="660" w:right="7199"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1 East Putnam Avenue, Floor 4, Greenwich, CT, 06830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ind w:left="660" w:right="6419" w:hanging="328"/>
        <w:spacing w:after="0" w:line="180" w:lineRule="auto"/>
        <w:tabs>
          <w:tab w:leader="none" w:pos="660" w:val="left"/>
        </w:tabs>
        <w:numPr>
          <w:ilvl w:val="0"/>
          <w:numId w:val="7"/>
        </w:numPr>
        <w:rPr>
          <w:rFonts w:ascii="Arial" w:cs="Arial" w:eastAsia="Arial" w:hAnsi="Arial"/>
          <w:sz w:val="33"/>
          <w:szCs w:val="33"/>
          <w:color w:val="auto"/>
          <w:vertAlign w:val="subscript"/>
        </w:rPr>
      </w:pPr>
      <w:r>
        <w:rPr>
          <w:rFonts w:ascii="Arial" w:cs="Arial" w:eastAsia="Arial" w:hAnsi="Arial"/>
          <w:sz w:val="17"/>
          <w:szCs w:val="17"/>
          <w:color w:val="auto"/>
        </w:rPr>
        <w:t>Boothbay Absolute Return Strategies, LP* Boothbay Fund Management, LLC*</w:t>
      </w:r>
    </w:p>
    <w:p>
      <w:pPr>
        <w:ind w:left="660"/>
        <w:spacing w:after="0"/>
        <w:rPr>
          <w:rFonts w:ascii="Arial" w:cs="Arial" w:eastAsia="Arial" w:hAnsi="Arial"/>
          <w:sz w:val="33"/>
          <w:szCs w:val="33"/>
          <w:color w:val="auto"/>
          <w:vertAlign w:val="subscript"/>
        </w:rPr>
      </w:pPr>
      <w:r>
        <w:rPr>
          <w:rFonts w:ascii="Arial" w:cs="Arial" w:eastAsia="Arial" w:hAnsi="Arial"/>
          <w:sz w:val="18"/>
          <w:szCs w:val="18"/>
          <w:color w:val="auto"/>
        </w:rPr>
        <w:t>Ari Glass*</w:t>
      </w:r>
    </w:p>
    <w:p>
      <w:pPr>
        <w:spacing w:after="0" w:line="210" w:lineRule="exact"/>
        <w:rPr>
          <w:rFonts w:ascii="Arial" w:cs="Arial" w:eastAsia="Arial" w:hAnsi="Arial"/>
          <w:sz w:val="33"/>
          <w:szCs w:val="33"/>
          <w:color w:val="auto"/>
          <w:vertAlign w:val="subscript"/>
        </w:rPr>
      </w:pPr>
    </w:p>
    <w:p>
      <w:pPr>
        <w:ind w:left="660"/>
        <w:spacing w:after="0"/>
        <w:rPr>
          <w:rFonts w:ascii="Arial" w:cs="Arial" w:eastAsia="Arial" w:hAnsi="Arial"/>
          <w:sz w:val="33"/>
          <w:szCs w:val="33"/>
          <w:color w:val="auto"/>
          <w:vertAlign w:val="subscript"/>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33"/>
          <w:szCs w:val="33"/>
          <w:color w:val="auto"/>
          <w:vertAlign w:val="subscript"/>
        </w:rPr>
      </w:pPr>
    </w:p>
    <w:p>
      <w:pPr>
        <w:ind w:left="660" w:right="7239" w:hanging="328"/>
        <w:spacing w:after="0" w:line="20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140 East 45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10017</w:t>
      </w:r>
    </w:p>
    <w:p>
      <w:pPr>
        <w:spacing w:after="0" w:line="2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660" w:right="5639" w:hanging="328"/>
        <w:spacing w:after="0" w:line="187" w:lineRule="auto"/>
        <w:tabs>
          <w:tab w:leader="none" w:pos="660" w:val="left"/>
        </w:tabs>
        <w:numPr>
          <w:ilvl w:val="0"/>
          <w:numId w:val="7"/>
        </w:numPr>
        <w:rPr>
          <w:rFonts w:ascii="Arial" w:cs="Arial" w:eastAsia="Arial" w:hAnsi="Arial"/>
          <w:sz w:val="32"/>
          <w:szCs w:val="32"/>
          <w:color w:val="auto"/>
          <w:vertAlign w:val="subscript"/>
        </w:rPr>
      </w:pPr>
      <w:r>
        <w:rPr>
          <w:rFonts w:ascii="Arial" w:cs="Arial" w:eastAsia="Arial" w:hAnsi="Arial"/>
          <w:sz w:val="16"/>
          <w:szCs w:val="16"/>
          <w:color w:val="auto"/>
        </w:rPr>
        <w:t>Boothbay Absolute Return Strategies, LP – Delaware Boothbay Fund Management, LLC – Delaware</w:t>
      </w:r>
    </w:p>
    <w:p>
      <w:pPr>
        <w:spacing w:after="0" w:line="1" w:lineRule="exact"/>
        <w:rPr>
          <w:rFonts w:ascii="Arial" w:cs="Arial" w:eastAsia="Arial" w:hAnsi="Arial"/>
          <w:sz w:val="32"/>
          <w:szCs w:val="32"/>
          <w:color w:val="auto"/>
          <w:vertAlign w:val="subscript"/>
        </w:rPr>
      </w:pPr>
    </w:p>
    <w:p>
      <w:pPr>
        <w:ind w:left="660"/>
        <w:spacing w:after="0"/>
        <w:rPr>
          <w:rFonts w:ascii="Arial" w:cs="Arial" w:eastAsia="Arial" w:hAnsi="Arial"/>
          <w:sz w:val="32"/>
          <w:szCs w:val="32"/>
          <w:color w:val="auto"/>
          <w:vertAlign w:val="subscript"/>
        </w:rPr>
      </w:pPr>
      <w:r>
        <w:rPr>
          <w:rFonts w:ascii="Arial" w:cs="Arial" w:eastAsia="Arial" w:hAnsi="Arial"/>
          <w:sz w:val="18"/>
          <w:szCs w:val="18"/>
          <w:color w:val="auto"/>
        </w:rPr>
        <w:t>Ari Glass – United States</w:t>
      </w:r>
    </w:p>
    <w:p>
      <w:pPr>
        <w:spacing w:after="0" w:line="210" w:lineRule="exact"/>
        <w:rPr>
          <w:rFonts w:ascii="Arial" w:cs="Arial" w:eastAsia="Arial" w:hAnsi="Arial"/>
          <w:sz w:val="32"/>
          <w:szCs w:val="32"/>
          <w:color w:val="auto"/>
          <w:vertAlign w:val="subscript"/>
        </w:rPr>
      </w:pPr>
    </w:p>
    <w:p>
      <w:pPr>
        <w:ind w:left="660" w:right="6979" w:hanging="328"/>
        <w:spacing w:after="0" w:line="194" w:lineRule="auto"/>
        <w:tabs>
          <w:tab w:leader="none" w:pos="660" w:val="left"/>
        </w:tabs>
        <w:numPr>
          <w:ilvl w:val="0"/>
          <w:numId w:val="7"/>
        </w:numPr>
        <w:rPr>
          <w:rFonts w:ascii="Arial" w:cs="Arial" w:eastAsia="Arial" w:hAnsi="Arial"/>
          <w:sz w:val="32"/>
          <w:szCs w:val="32"/>
          <w:color w:val="auto"/>
          <w:vertAlign w:val="subscript"/>
        </w:rPr>
      </w:pPr>
      <w:r>
        <w:rPr>
          <w:rFonts w:ascii="Arial" w:cs="Arial" w:eastAsia="Arial" w:hAnsi="Arial"/>
          <w:sz w:val="16"/>
          <w:szCs w:val="16"/>
          <w:color w:val="auto"/>
        </w:rPr>
        <w:t>Title of Class of Securities Common Stock, par value $0.0001</w:t>
      </w:r>
    </w:p>
    <w:p>
      <w:pPr>
        <w:spacing w:after="0" w:line="201" w:lineRule="exact"/>
        <w:rPr>
          <w:rFonts w:ascii="Arial" w:cs="Arial" w:eastAsia="Arial" w:hAnsi="Arial"/>
          <w:sz w:val="32"/>
          <w:szCs w:val="32"/>
          <w:color w:val="auto"/>
          <w:vertAlign w:val="subscript"/>
        </w:rPr>
      </w:pPr>
    </w:p>
    <w:p>
      <w:pPr>
        <w:ind w:left="660" w:right="8339" w:hanging="328"/>
        <w:spacing w:after="0" w:line="194" w:lineRule="auto"/>
        <w:tabs>
          <w:tab w:leader="none" w:pos="660" w:val="left"/>
        </w:tabs>
        <w:numPr>
          <w:ilvl w:val="0"/>
          <w:numId w:val="7"/>
        </w:numPr>
        <w:rPr>
          <w:rFonts w:ascii="Arial" w:cs="Arial" w:eastAsia="Arial" w:hAnsi="Arial"/>
          <w:sz w:val="32"/>
          <w:szCs w:val="32"/>
          <w:color w:val="auto"/>
          <w:vertAlign w:val="subscript"/>
        </w:rPr>
      </w:pPr>
      <w:r>
        <w:rPr>
          <w:rFonts w:ascii="Arial" w:cs="Arial" w:eastAsia="Arial" w:hAnsi="Arial"/>
          <w:sz w:val="16"/>
          <w:szCs w:val="16"/>
          <w:color w:val="auto"/>
        </w:rPr>
        <w:t>CUSIP Number 92280L200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If this statement is filed pursuant to §§240.13d-1(b) or 240.13d-2(b) or (c), check whether the person filing is a: </w:t>
      </w:r>
      <w:r>
        <w:rPr>
          <w:rFonts w:ascii="Arial" w:cs="Arial" w:eastAsia="Arial" w:hAnsi="Arial"/>
          <w:sz w:val="17"/>
          <w:szCs w:val="17"/>
          <w:color w:val="auto"/>
        </w:rPr>
        <w:t>N/A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980" w:right="5319" w:hanging="648"/>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Boothbay Absolute Return Strategies, LP – 720,202* Boothbay Fund Management, LLC – 1,071,728* Ari Glass – 1,071,728*</w:t>
      </w:r>
    </w:p>
    <w:p>
      <w:pPr>
        <w:spacing w:after="0" w:line="18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80" w:right="5439" w:hanging="648"/>
        <w:spacing w:after="0" w:line="29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Boothbay Absolute Return Strategies, LP – 3.34%* Boothbay Fund Management, LLC – 4.97%*</w:t>
      </w:r>
    </w:p>
    <w:p>
      <w:pPr>
        <w:ind w:left="980"/>
        <w:spacing w:after="0"/>
        <w:rPr>
          <w:rFonts w:ascii="Arial" w:cs="Arial" w:eastAsia="Arial" w:hAnsi="Arial"/>
          <w:sz w:val="16"/>
          <w:szCs w:val="16"/>
          <w:color w:val="auto"/>
        </w:rPr>
      </w:pPr>
      <w:r>
        <w:rPr>
          <w:rFonts w:ascii="Arial" w:cs="Arial" w:eastAsia="Arial" w:hAnsi="Arial"/>
          <w:sz w:val="18"/>
          <w:szCs w:val="18"/>
          <w:color w:val="auto"/>
        </w:rPr>
        <w:t>Ari Glass – 4.97%*</w:t>
      </w:r>
    </w:p>
    <w:p>
      <w:pPr>
        <w:spacing w:after="0" w:line="210" w:lineRule="exact"/>
        <w:rPr>
          <w:rFonts w:ascii="Arial" w:cs="Arial" w:eastAsia="Arial" w:hAnsi="Arial"/>
          <w:sz w:val="16"/>
          <w:szCs w:val="16"/>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5" w:name="page6"/>
    <w:bookmarkEnd w:id="5"/>
    <w:p>
      <w:pPr>
        <w:ind w:left="1300"/>
        <w:spacing w:after="0"/>
        <w:rPr>
          <w:sz w:val="20"/>
          <w:szCs w:val="20"/>
          <w:color w:val="auto"/>
        </w:rPr>
      </w:pPr>
      <w:r>
        <w:rPr>
          <w:rFonts w:ascii="Arial" w:cs="Arial" w:eastAsia="Arial" w:hAnsi="Arial"/>
          <w:sz w:val="18"/>
          <w:szCs w:val="18"/>
          <w:color w:val="auto"/>
        </w:rPr>
        <w:t>Sole power to vote or to direct the vote</w:t>
      </w:r>
    </w:p>
    <w:p>
      <w:pPr>
        <w:spacing w:after="0" w:line="23" w:lineRule="exact"/>
        <w:rPr>
          <w:sz w:val="20"/>
          <w:szCs w:val="20"/>
          <w:color w:val="auto"/>
        </w:rPr>
      </w:pPr>
    </w:p>
    <w:p>
      <w:pPr>
        <w:ind w:left="1300" w:right="6680" w:hanging="320"/>
        <w:spacing w:after="0" w:line="180" w:lineRule="auto"/>
        <w:tabs>
          <w:tab w:leader="none" w:pos="1300" w:val="left"/>
        </w:tabs>
        <w:numPr>
          <w:ilvl w:val="0"/>
          <w:numId w:val="9"/>
        </w:numPr>
        <w:rPr>
          <w:rFonts w:ascii="Arial" w:cs="Arial" w:eastAsia="Arial" w:hAnsi="Arial"/>
          <w:sz w:val="33"/>
          <w:szCs w:val="33"/>
          <w:color w:val="auto"/>
          <w:vertAlign w:val="subscript"/>
        </w:rPr>
      </w:pPr>
      <w:r>
        <w:rPr>
          <w:rFonts w:ascii="Arial" w:cs="Arial" w:eastAsia="Arial" w:hAnsi="Arial"/>
          <w:sz w:val="17"/>
          <w:szCs w:val="17"/>
          <w:color w:val="auto"/>
        </w:rPr>
        <w:t>Boothbay Absolute Return Strategies, LP – 0 Boothbay Fund Management, LLC – 0</w:t>
      </w:r>
    </w:p>
    <w:p>
      <w:pPr>
        <w:ind w:left="1300"/>
        <w:spacing w:after="0"/>
        <w:rPr>
          <w:rFonts w:ascii="Arial" w:cs="Arial" w:eastAsia="Arial" w:hAnsi="Arial"/>
          <w:sz w:val="33"/>
          <w:szCs w:val="33"/>
          <w:color w:val="auto"/>
          <w:vertAlign w:val="subscript"/>
        </w:rPr>
      </w:pPr>
      <w:r>
        <w:rPr>
          <w:rFonts w:ascii="Arial" w:cs="Arial" w:eastAsia="Arial" w:hAnsi="Arial"/>
          <w:sz w:val="18"/>
          <w:szCs w:val="18"/>
          <w:color w:val="auto"/>
        </w:rPr>
        <w:t>Ari Glass – 0</w:t>
      </w:r>
    </w:p>
    <w:p>
      <w:pPr>
        <w:spacing w:after="0" w:line="210" w:lineRule="exact"/>
        <w:rPr>
          <w:rFonts w:ascii="Arial" w:cs="Arial" w:eastAsia="Arial" w:hAnsi="Arial"/>
          <w:sz w:val="33"/>
          <w:szCs w:val="33"/>
          <w:color w:val="auto"/>
          <w:vertAlign w:val="subscript"/>
        </w:rPr>
      </w:pPr>
    </w:p>
    <w:p>
      <w:pPr>
        <w:ind w:left="1300"/>
        <w:spacing w:after="0"/>
        <w:rPr>
          <w:rFonts w:ascii="Arial" w:cs="Arial" w:eastAsia="Arial" w:hAnsi="Arial"/>
          <w:sz w:val="33"/>
          <w:szCs w:val="33"/>
          <w:color w:val="auto"/>
          <w:vertAlign w:val="subscript"/>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33"/>
          <w:szCs w:val="33"/>
          <w:color w:val="auto"/>
          <w:vertAlign w:val="subscript"/>
        </w:rPr>
      </w:pPr>
    </w:p>
    <w:p>
      <w:pPr>
        <w:ind w:left="1300" w:right="6100" w:hanging="320"/>
        <w:spacing w:after="0" w:line="187" w:lineRule="auto"/>
        <w:tabs>
          <w:tab w:leader="none" w:pos="130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720,202* Boothbay Fund Management, LLC – 1,071,728* Ari Glass – 1,071,728*</w:t>
      </w:r>
    </w:p>
    <w:p>
      <w:pPr>
        <w:spacing w:after="0" w:line="204" w:lineRule="exact"/>
        <w:rPr>
          <w:rFonts w:ascii="Arial" w:cs="Arial" w:eastAsia="Arial" w:hAnsi="Arial"/>
          <w:sz w:val="36"/>
          <w:szCs w:val="36"/>
          <w:color w:val="auto"/>
          <w:vertAlign w:val="subscript"/>
        </w:rPr>
      </w:pPr>
    </w:p>
    <w:p>
      <w:pPr>
        <w:ind w:left="1300"/>
        <w:spacing w:after="0"/>
        <w:rPr>
          <w:rFonts w:ascii="Arial" w:cs="Arial" w:eastAsia="Arial" w:hAnsi="Arial"/>
          <w:sz w:val="36"/>
          <w:szCs w:val="36"/>
          <w:color w:val="auto"/>
          <w:vertAlign w:val="subscript"/>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36"/>
          <w:szCs w:val="36"/>
          <w:color w:val="auto"/>
          <w:vertAlign w:val="subscript"/>
        </w:rPr>
      </w:pPr>
    </w:p>
    <w:p>
      <w:pPr>
        <w:ind w:left="1300" w:right="6720" w:hanging="320"/>
        <w:spacing w:after="0" w:line="187" w:lineRule="auto"/>
        <w:tabs>
          <w:tab w:leader="none" w:pos="130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Boothbay Absolute Return Strategies LP – 0 Boothbay Fund Management, LLC – 0 Ari Glass – 0</w:t>
      </w:r>
    </w:p>
    <w:p>
      <w:pPr>
        <w:spacing w:after="0" w:line="204" w:lineRule="exact"/>
        <w:rPr>
          <w:rFonts w:ascii="Arial" w:cs="Arial" w:eastAsia="Arial" w:hAnsi="Arial"/>
          <w:sz w:val="36"/>
          <w:szCs w:val="36"/>
          <w:color w:val="auto"/>
          <w:vertAlign w:val="subscript"/>
        </w:rPr>
      </w:pPr>
    </w:p>
    <w:p>
      <w:pPr>
        <w:ind w:left="1300"/>
        <w:spacing w:after="0"/>
        <w:rPr>
          <w:rFonts w:ascii="Arial" w:cs="Arial" w:eastAsia="Arial" w:hAnsi="Arial"/>
          <w:sz w:val="36"/>
          <w:szCs w:val="36"/>
          <w:color w:val="auto"/>
          <w:vertAlign w:val="subscript"/>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36"/>
          <w:szCs w:val="36"/>
          <w:color w:val="auto"/>
          <w:vertAlign w:val="subscript"/>
        </w:rPr>
      </w:pPr>
    </w:p>
    <w:p>
      <w:pPr>
        <w:ind w:left="1300" w:right="6100" w:hanging="320"/>
        <w:spacing w:after="0" w:line="198" w:lineRule="auto"/>
        <w:tabs>
          <w:tab w:leader="none" w:pos="1300" w:val="left"/>
        </w:tabs>
        <w:numPr>
          <w:ilvl w:val="0"/>
          <w:numId w:val="9"/>
        </w:numPr>
        <w:rPr>
          <w:rFonts w:ascii="Arial" w:cs="Arial" w:eastAsia="Arial" w:hAnsi="Arial"/>
          <w:sz w:val="34"/>
          <w:szCs w:val="34"/>
          <w:color w:val="auto"/>
          <w:vertAlign w:val="subscript"/>
        </w:rPr>
      </w:pPr>
      <w:r>
        <w:rPr>
          <w:rFonts w:ascii="Arial" w:cs="Arial" w:eastAsia="Arial" w:hAnsi="Arial"/>
          <w:sz w:val="17"/>
          <w:szCs w:val="17"/>
          <w:color w:val="auto"/>
        </w:rPr>
        <w:t>Boothbay Absolute Return Strategies, LP – 720,202* Boothbay Fund Management, LLC – 1,071,728* Ari Glass – 1,071,728*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Common Stock, par value $0.0001 (the “Shares”) of Ventoux CCM Acquisition Corp., a blank check company incorporated under the laws of the State of Delaware (the “Issuer”), reported herein are held in the form of units (the “Units”). Each Unit consists of one Share, one right and one warrant. Each warrant entitles the holder thereof to purchase one-half of one Share upon the consummation of an initial business combination (“Initial Business Combination”), as described in more detail in the Issuer’s Prospectus filed with the SEC on December 28, 2020 (the “Prospectus”). Each right entitles the holder thereof to receive one-twentieth of one share of common stock upon the consummation of an Initial Business Combination. The Issuer will not issue fractional shares. As a result, each holder thereof must have twenty rights to receive a Share at the closing of the Initial Business Combination and two warrants to receive a Share when exercising warrants. Each warrant will become exercisable on the later of one year after the effective date of the Prospectus or the consummation of an Initial Business Combination and will expire five years after the completion of an Initial Business Combination, or earlier upon redemption. In accordance with Rule 13d-3(d)(1) regarding securities which represent a right to acquire an underlying security, each Unit has been reported herein as representing the beneficial ownership of one (1) Share.</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Units are held by Boothbay Absolute Return Strategies, LP, a Delaware limited partnership, and one or more other private funds (the “Fund”), which is managed by Boothbay Fund Management, LLC, a Delaware limited liability company (the “Adviser”). The Adviser, in its capacity as the investment manager of the Fund, has the power to vote and the power to direct the disposition of all Units held by the Fund. Ari Glass is the Managing Member of the Adviser. Accordingly, for the purposes of Reg. Section 240.13d-3, the reporting persons herein may be deemed to beneficially own an aggregate of 1,071,728 Shares, or 4.97% of the 21,562,500 Shares outstanding as disclosed in the Issuer’s 10-Q filed on December 6, 2021.</w:t>
      </w:r>
    </w:p>
    <w:p>
      <w:pPr>
        <w:spacing w:after="0" w:line="16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report shall not be deemed an admission that the Adviser, the Fund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Boothbay Absolute Return Strategies,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Boothbay Fund Management, LLC, its investment manager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Ari Glass,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Ari Glass,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undersigned hereby consent and agree to the joint filing of Schedule 13G under the Securities Exchange Act of 1934, as amended, with respect to the Shares of Ventoux CCM Acquisition Corp. together with any or all amendments thereto, when and if required. The parties hereto further consent and agree to file this Joint Filing Statement pursuant to Rule13d-1(k)(1)(iii) as an exhibit to Schedule 13G, thereby incorporating the same into such Schedule13G.</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Boothbay Absolute Return Strategies,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Boothbay Fund Management, LLC, its investment manager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Ari Glass,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Ari Glass,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2022-02-11T23:47:14Z</dcterms:created>
  <dcterms:modified xsi:type="dcterms:W3CDTF">2022-02-11T23:47:14Z</dcterms:modified>
</cp:coreProperties>
</file>