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Mbugua Stanley</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985 INDUSTRIAL ROAD, SUITE 205</w:t>
            </w: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SAN CARLOS</w:t>
            </w:r>
          </w:p>
        </w:tc>
        <w:tc>
          <w:tcPr>
            <w:tcW w:w="900" w:type="dxa"/>
            <w:vAlign w:val="bottom"/>
          </w:tcPr>
          <w:p>
            <w:pPr>
              <w:ind w:left="8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94070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Presto Automation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PRST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6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40" w:type="dxa"/>
            <w:vAlign w:val="bottom"/>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440" w:type="dxa"/>
            <w:vAlign w:val="bottom"/>
          </w:tcPr>
          <w:p>
            <w:pPr>
              <w:ind w:left="18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060" w:type="dxa"/>
            <w:vAlign w:val="bottom"/>
            <w:gridSpan w:val="3"/>
          </w:tcPr>
          <w:p>
            <w:pPr>
              <w:ind w:left="80"/>
              <w:spacing w:after="0"/>
              <w:rPr>
                <w:sz w:val="20"/>
                <w:szCs w:val="20"/>
                <w:color w:val="auto"/>
              </w:rPr>
            </w:pPr>
            <w:r>
              <w:rPr>
                <w:rFonts w:ascii="Arial" w:cs="Arial" w:eastAsia="Arial" w:hAnsi="Arial"/>
                <w:sz w:val="17"/>
                <w:szCs w:val="17"/>
                <w:color w:val="0000FF"/>
              </w:rPr>
              <w:t>09/13/2023</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80" w:type="dxa"/>
            <w:vAlign w:val="bottom"/>
            <w:gridSpan w:val="2"/>
            <w:vMerge w:val="restart"/>
          </w:tcPr>
          <w:p>
            <w:pPr>
              <w:ind w:left="2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09/13/2023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50,000</w:t>
            </w:r>
            <w:r>
              <w:rPr>
                <w:rFonts w:ascii="Arial" w:cs="Arial" w:eastAsia="Arial" w:hAnsi="Arial"/>
                <w:sz w:val="22"/>
                <w:szCs w:val="22"/>
                <w:color w:val="008000"/>
                <w:w w:val="88"/>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300,000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common stock, par value $0.0001 per share ("Common Stock"), underlying restricted stock units ("RSUs") granted to the reporting person on September 13, 2023 (the "Grant Date") pursuant to the Issuer's 2022 Incentive Award Plan. The RSUs will vest in equal installments on the annual anniversary of the grant date for a period of four years, subject to the reporting person's continued employment. Each RSU represents the right to receive one share of Common Stock upon vesting.</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Stanley Mbugua</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10/24/2023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5441"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2023-10-24T16:54:03Z</dcterms:created>
  <dcterms:modified xsi:type="dcterms:W3CDTF">2023-10-24T16:54:03Z</dcterms:modified>
</cp:coreProperties>
</file>