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3820" w:right="940" w:hanging="2872"/>
        <w:spacing w:after="0" w:line="476" w:lineRule="auto"/>
        <w:tabs>
          <w:tab w:leader="none" w:pos="116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7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001-39830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VENTOUX CCM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center"/>
              <w:ind w:right="1410"/>
              <w:spacing w:after="0"/>
              <w:rPr>
                <w:sz w:val="20"/>
                <w:szCs w:val="20"/>
                <w:color w:val="auto"/>
              </w:rPr>
            </w:pPr>
            <w:r>
              <w:rPr>
                <w:rFonts w:ascii="Arial" w:cs="Arial" w:eastAsia="Arial" w:hAnsi="Arial"/>
                <w:sz w:val="18"/>
                <w:szCs w:val="18"/>
                <w:b w:val="1"/>
                <w:bCs w:val="1"/>
                <w:color w:val="auto"/>
                <w:w w:val="89"/>
              </w:rPr>
              <w:t>84-2968594</w:t>
            </w:r>
          </w:p>
        </w:tc>
      </w:tr>
      <w:tr>
        <w:trPr>
          <w:trHeight w:val="202"/>
        </w:trPr>
        <w:tc>
          <w:tcPr>
            <w:tcW w:w="4180" w:type="dxa"/>
            <w:vAlign w:val="bottom"/>
          </w:tcPr>
          <w:p>
            <w:pPr>
              <w:jc w:val="center"/>
              <w:ind w:left="125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0" w:type="dxa"/>
            <w:vAlign w:val="bottom"/>
          </w:tcPr>
          <w:p>
            <w:pPr>
              <w:jc w:val="center"/>
              <w:ind w:right="141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80" w:type="dxa"/>
            <w:vAlign w:val="bottom"/>
          </w:tcPr>
          <w:p>
            <w:pPr>
              <w:jc w:val="center"/>
              <w:ind w:left="1250"/>
              <w:spacing w:after="0"/>
              <w:rPr>
                <w:sz w:val="20"/>
                <w:szCs w:val="20"/>
                <w:color w:val="auto"/>
              </w:rPr>
            </w:pPr>
            <w:r>
              <w:rPr>
                <w:rFonts w:ascii="Arial" w:cs="Arial" w:eastAsia="Arial" w:hAnsi="Arial"/>
                <w:sz w:val="18"/>
                <w:szCs w:val="18"/>
                <w:color w:val="auto"/>
                <w:w w:val="92"/>
              </w:rPr>
              <w:t>incorporation or organization)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tcPr>
          <w:p>
            <w:pPr>
              <w:jc w:val="center"/>
              <w:ind w:right="14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1 East Putnam Avenue, Floor 4</w:t>
            </w:r>
          </w:p>
        </w:tc>
        <w:tc>
          <w:tcPr>
            <w:tcW w:w="4000" w:type="dxa"/>
            <w:vAlign w:val="bottom"/>
          </w:tcPr>
          <w:p>
            <w:pPr>
              <w:spacing w:after="0"/>
              <w:rPr>
                <w:sz w:val="24"/>
                <w:szCs w:val="24"/>
                <w:color w:val="auto"/>
              </w:rPr>
            </w:pPr>
          </w:p>
        </w:tc>
      </w:tr>
      <w:tr>
        <w:trPr>
          <w:trHeight w:val="220"/>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3"/>
              </w:rPr>
              <w:t>Greenwich, CT</w:t>
            </w:r>
          </w:p>
        </w:tc>
        <w:tc>
          <w:tcPr>
            <w:tcW w:w="400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p>
        </w:tc>
        <w:tc>
          <w:tcPr>
            <w:tcW w:w="3060" w:type="dxa"/>
            <w:vAlign w:val="bottom"/>
            <w:gridSpan w:val="7"/>
          </w:tcPr>
          <w:p>
            <w:pPr>
              <w:jc w:val="center"/>
              <w:ind w:right="16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spacing w:after="0"/>
              <w:rPr>
                <w:sz w:val="20"/>
                <w:szCs w:val="20"/>
                <w:color w:val="auto"/>
              </w:rPr>
            </w:pPr>
          </w:p>
        </w:tc>
      </w:tr>
      <w:tr>
        <w:trPr>
          <w:trHeight w:val="418"/>
        </w:trPr>
        <w:tc>
          <w:tcPr>
            <w:tcW w:w="4180" w:type="dxa"/>
            <w:vAlign w:val="bottom"/>
          </w:tcPr>
          <w:p>
            <w:pPr>
              <w:spacing w:after="0"/>
              <w:rPr>
                <w:sz w:val="24"/>
                <w:szCs w:val="24"/>
                <w:color w:val="auto"/>
              </w:rPr>
            </w:pPr>
          </w:p>
        </w:tc>
        <w:tc>
          <w:tcPr>
            <w:tcW w:w="258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90"/>
              </w:rPr>
              <w:t>(646) 465-9000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30"/>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6"/>
          </w:tcPr>
          <w:p>
            <w:pPr>
              <w:jc w:val="center"/>
              <w:ind w:right="280"/>
              <w:spacing w:after="0"/>
              <w:rPr>
                <w:sz w:val="20"/>
                <w:szCs w:val="20"/>
                <w:color w:val="auto"/>
              </w:rPr>
            </w:pPr>
            <w:r>
              <w:rPr>
                <w:rFonts w:ascii="Arial" w:cs="Arial" w:eastAsia="Arial" w:hAnsi="Arial"/>
                <w:sz w:val="18"/>
                <w:szCs w:val="18"/>
                <w:color w:val="auto"/>
                <w:w w:val="90"/>
              </w:rPr>
              <w:t>(Registrant’s telephone number)</w:t>
            </w:r>
          </w:p>
        </w:tc>
        <w:tc>
          <w:tcPr>
            <w:tcW w:w="4000" w:type="dxa"/>
            <w:vAlign w:val="bottom"/>
          </w:tcPr>
          <w:p>
            <w:pPr>
              <w:spacing w:after="0"/>
              <w:rPr>
                <w:sz w:val="20"/>
                <w:szCs w:val="20"/>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439"/>
        </w:trPr>
        <w:tc>
          <w:tcPr>
            <w:tcW w:w="418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1"/>
              </w:rPr>
              <w:t>Trading Symbol(s)</w:t>
            </w:r>
          </w:p>
        </w:tc>
        <w:tc>
          <w:tcPr>
            <w:tcW w:w="400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18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2"/>
              </w:rPr>
              <w:t>Common Stock</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7"/>
              </w:rPr>
              <w:t>VTAQ</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0" w:type="dxa"/>
            <w:vAlign w:val="bottom"/>
            <w:tcBorders>
              <w:top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180" w:type="dxa"/>
            <w:vAlign w:val="bottom"/>
          </w:tcPr>
          <w:p>
            <w:pPr>
              <w:jc w:val="center"/>
              <w:ind w:left="30"/>
              <w:spacing w:after="0"/>
              <w:rPr>
                <w:sz w:val="20"/>
                <w:szCs w:val="20"/>
                <w:color w:val="auto"/>
              </w:rPr>
            </w:pPr>
            <w:r>
              <w:rPr>
                <w:rFonts w:ascii="Arial" w:cs="Arial" w:eastAsia="Arial" w:hAnsi="Arial"/>
                <w:sz w:val="18"/>
                <w:szCs w:val="18"/>
                <w:color w:val="auto"/>
                <w:w w:val="90"/>
              </w:rPr>
              <w:t>Warrants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jc w:val="center"/>
              <w:ind w:right="480"/>
              <w:spacing w:after="0"/>
              <w:rPr>
                <w:sz w:val="20"/>
                <w:szCs w:val="20"/>
                <w:color w:val="auto"/>
              </w:rPr>
            </w:pPr>
            <w:r>
              <w:rPr>
                <w:rFonts w:ascii="Arial" w:cs="Arial" w:eastAsia="Arial" w:hAnsi="Arial"/>
                <w:sz w:val="18"/>
                <w:szCs w:val="18"/>
                <w:color w:val="auto"/>
                <w:w w:val="96"/>
              </w:rPr>
              <w:t>VTAQW</w:t>
            </w:r>
          </w:p>
        </w:tc>
        <w:tc>
          <w:tcPr>
            <w:tcW w:w="4000" w:type="dxa"/>
            <w:vAlign w:val="bottom"/>
          </w:tcPr>
          <w:p>
            <w:pPr>
              <w:jc w:val="center"/>
              <w:ind w:right="170"/>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18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Rights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jc w:val="center"/>
              <w:ind w:right="480"/>
              <w:spacing w:after="0"/>
              <w:rPr>
                <w:sz w:val="20"/>
                <w:szCs w:val="20"/>
                <w:color w:val="auto"/>
              </w:rPr>
            </w:pPr>
            <w:r>
              <w:rPr>
                <w:rFonts w:ascii="Arial" w:cs="Arial" w:eastAsia="Arial" w:hAnsi="Arial"/>
                <w:sz w:val="18"/>
                <w:szCs w:val="18"/>
                <w:color w:val="auto"/>
                <w:w w:val="96"/>
              </w:rPr>
              <w:t>VTAQR</w:t>
            </w:r>
          </w:p>
        </w:tc>
        <w:tc>
          <w:tcPr>
            <w:tcW w:w="40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180" w:type="dxa"/>
            <w:vAlign w:val="bottom"/>
          </w:tcPr>
          <w:p>
            <w:pPr>
              <w:jc w:val="center"/>
              <w:ind w:left="30"/>
              <w:spacing w:after="0"/>
              <w:rPr>
                <w:sz w:val="20"/>
                <w:szCs w:val="20"/>
                <w:color w:val="auto"/>
              </w:rPr>
            </w:pPr>
            <w:r>
              <w:rPr>
                <w:rFonts w:ascii="Arial" w:cs="Arial" w:eastAsia="Arial" w:hAnsi="Arial"/>
                <w:sz w:val="18"/>
                <w:szCs w:val="18"/>
                <w:color w:val="auto"/>
                <w:w w:val="92"/>
              </w:rPr>
              <w:t>Units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gridSpan w:val="5"/>
          </w:tcPr>
          <w:p>
            <w:pPr>
              <w:jc w:val="center"/>
              <w:ind w:right="480"/>
              <w:spacing w:after="0"/>
              <w:rPr>
                <w:sz w:val="20"/>
                <w:szCs w:val="20"/>
                <w:color w:val="auto"/>
              </w:rPr>
            </w:pPr>
            <w:r>
              <w:rPr>
                <w:rFonts w:ascii="Arial" w:cs="Arial" w:eastAsia="Arial" w:hAnsi="Arial"/>
                <w:sz w:val="18"/>
                <w:szCs w:val="18"/>
                <w:color w:val="auto"/>
                <w:w w:val="96"/>
              </w:rPr>
              <w:t>VTAQU</w:t>
            </w:r>
          </w:p>
        </w:tc>
        <w:tc>
          <w:tcPr>
            <w:tcW w:w="4000" w:type="dxa"/>
            <w:vAlign w:val="bottom"/>
          </w:tcPr>
          <w:p>
            <w:pPr>
              <w:jc w:val="center"/>
              <w:ind w:right="17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5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5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40" w:type="dxa"/>
            <w:vAlign w:val="bottom"/>
          </w:tcPr>
          <w:p>
            <w:pPr>
              <w:ind w:left="15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June 22, 2021, there were 21,562,500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0" w:type="dxa"/>
            <w:vAlign w:val="bottom"/>
            <w:gridSpan w:val="9"/>
          </w:tcPr>
          <w:p>
            <w:pPr>
              <w:jc w:val="center"/>
              <w:ind w:right="2040"/>
              <w:spacing w:after="0"/>
              <w:rPr>
                <w:sz w:val="20"/>
                <w:szCs w:val="20"/>
                <w:color w:val="auto"/>
              </w:rPr>
            </w:pPr>
            <w:r>
              <w:rPr>
                <w:rFonts w:ascii="Arial" w:cs="Arial" w:eastAsia="Arial" w:hAnsi="Arial"/>
                <w:sz w:val="18"/>
                <w:szCs w:val="18"/>
                <w:b w:val="1"/>
                <w:bCs w:val="1"/>
                <w:color w:val="auto"/>
              </w:rPr>
              <w:t>VENTOUX CCM ACQUISITION CORP.</w:t>
            </w:r>
          </w:p>
        </w:tc>
        <w:tc>
          <w:tcPr>
            <w:tcW w:w="10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0" w:type="dxa"/>
            <w:vAlign w:val="bottom"/>
            <w:gridSpan w:val="9"/>
          </w:tcPr>
          <w:p>
            <w:pPr>
              <w:jc w:val="center"/>
              <w:ind w:right="2020"/>
              <w:spacing w:after="0"/>
              <w:rPr>
                <w:sz w:val="20"/>
                <w:szCs w:val="20"/>
                <w:color w:val="auto"/>
              </w:rPr>
            </w:pPr>
            <w:r>
              <w:rPr>
                <w:rFonts w:ascii="Arial" w:cs="Arial" w:eastAsia="Arial" w:hAnsi="Arial"/>
                <w:sz w:val="18"/>
                <w:szCs w:val="18"/>
                <w:b w:val="1"/>
                <w:bCs w:val="1"/>
                <w:color w:val="auto"/>
                <w:w w:val="98"/>
              </w:rPr>
              <w:t>FORM 10-Q FOR THE QUARTER ENDED MARCH 31, 2021</w:t>
            </w:r>
          </w:p>
        </w:tc>
        <w:tc>
          <w:tcPr>
            <w:tcW w:w="10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62"/>
        </w:trPr>
        <w:tc>
          <w:tcPr>
            <w:tcW w:w="10240" w:type="dxa"/>
            <w:vAlign w:val="bottom"/>
            <w:gridSpan w:val="20"/>
            <w:shd w:val="clear" w:color="auto" w:fill="CCEEFF"/>
          </w:tcPr>
          <w:p>
            <w:pPr>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000" w:type="dxa"/>
            <w:vAlign w:val="bottom"/>
            <w:shd w:val="clear" w:color="auto" w:fill="CCEEFF"/>
          </w:tcPr>
          <w:p>
            <w:pPr>
              <w:spacing w:after="0"/>
              <w:rPr>
                <w:sz w:val="14"/>
                <w:szCs w:val="14"/>
                <w:color w:val="auto"/>
              </w:rPr>
            </w:pPr>
          </w:p>
        </w:tc>
      </w:tr>
      <w:tr>
        <w:trPr>
          <w:trHeight w:val="34"/>
        </w:trPr>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Interim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0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Statements of Operations for the three months ended March 31, 2021 (Unaudited)</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3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Changes in Stockholders’ Equity for the three months ended March 31, 2021 (Unaudited)</w:t>
              </w:r>
            </w:hyperlink>
          </w:p>
        </w:tc>
        <w:tc>
          <w:tcPr>
            <w:tcW w:w="15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Statements of Cash Flows for the three months ended March 31, 2021 (Unaudited)</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900" w:type="dxa"/>
            <w:vAlign w:val="bottom"/>
            <w:gridSpan w:val="18"/>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Regarding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175"/>
        </w:trPr>
        <w:tc>
          <w:tcPr>
            <w:tcW w:w="160" w:type="dxa"/>
            <w:vAlign w:val="bottom"/>
            <w:tcBorders>
              <w:top w:val="single" w:sz="8" w:color="CCEEFF"/>
            </w:tcBorders>
          </w:tcPr>
          <w:p>
            <w:pPr>
              <w:spacing w:after="0"/>
              <w:rPr>
                <w:sz w:val="15"/>
                <w:szCs w:val="15"/>
                <w:color w:val="auto"/>
              </w:rPr>
            </w:pPr>
          </w:p>
        </w:tc>
        <w:tc>
          <w:tcPr>
            <w:tcW w:w="5220" w:type="dxa"/>
            <w:vAlign w:val="bottom"/>
            <w:tcBorders>
              <w:top w:val="single" w:sz="8" w:color="0000EE"/>
            </w:tcBorders>
            <w:gridSpan w:val="13"/>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4860" w:type="dxa"/>
            <w:vAlign w:val="bottom"/>
            <w:tcBorders>
              <w:top w:val="single" w:sz="8" w:color="CCEEFF"/>
            </w:tcBorders>
            <w:gridSpan w:val="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6"/>
        </w:trPr>
        <w:tc>
          <w:tcPr>
            <w:tcW w:w="10240" w:type="dxa"/>
            <w:vAlign w:val="bottom"/>
            <w:gridSpan w:val="20"/>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Part II. Other Information</w:t>
              </w:r>
            </w:hyperlink>
          </w:p>
        </w:tc>
        <w:tc>
          <w:tcPr>
            <w:tcW w:w="1000" w:type="dxa"/>
            <w:vAlign w:val="bottom"/>
          </w:tcPr>
          <w:p>
            <w:pPr>
              <w:spacing w:after="0"/>
              <w:rPr>
                <w:sz w:val="15"/>
                <w:szCs w:val="15"/>
                <w:color w:val="auto"/>
              </w:rPr>
            </w:pP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7"/>
            <w:shd w:val="clear" w:color="auto" w:fill="CCEEFF"/>
          </w:tcPr>
          <w:p>
            <w:pPr>
              <w:ind w:left="20"/>
              <w:spacing w:after="0" w:line="17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Item 1. Legal Proceedings</w:t>
              </w:r>
            </w:hyperlink>
          </w:p>
        </w:tc>
        <w:tc>
          <w:tcPr>
            <w:tcW w:w="8180" w:type="dxa"/>
            <w:vAlign w:val="bottom"/>
            <w:tcBorders>
              <w:bottom w:val="single" w:sz="8" w:color="CCEEFF"/>
            </w:tcBorders>
            <w:gridSpan w:val="1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 Risk Factors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4920" w:type="dxa"/>
            <w:vAlign w:val="bottom"/>
            <w:tcBorders>
              <w:bottom w:val="single" w:sz="8" w:color="0000EE"/>
            </w:tcBorders>
            <w:gridSpan w:val="12"/>
            <w:shd w:val="clear" w:color="auto" w:fill="CCEEFF"/>
          </w:tcPr>
          <w:p>
            <w:pPr>
              <w:ind w:left="2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Item 2. Unregistered Sales of Equity Securities and Use of Proceeds</w:t>
              </w:r>
            </w:hyperlink>
          </w:p>
        </w:tc>
        <w:tc>
          <w:tcPr>
            <w:tcW w:w="516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5"/>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 Defaults Upon Senior Securities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8"/>
            <w:shd w:val="clear" w:color="auto" w:fill="CCEEFF"/>
          </w:tcPr>
          <w:p>
            <w:pPr>
              <w:ind w:left="20"/>
              <w:spacing w:after="0" w:line="17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 Mine Safety Disclosures</w:t>
              </w:r>
            </w:hyperlink>
          </w:p>
        </w:tc>
        <w:tc>
          <w:tcPr>
            <w:tcW w:w="774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176"/>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 Other Information</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r>
      <w:tr>
        <w:trPr>
          <w:trHeight w:val="216"/>
        </w:trPr>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III. Signatures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547"/>
        </w:trPr>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CCEEFF"/>
              <w:bottom w:val="single" w:sz="8" w:color="auto"/>
            </w:tcBorders>
            <w:gridSpan w:val="6"/>
          </w:tcPr>
          <w:p>
            <w:pPr>
              <w:jc w:val="center"/>
              <w:ind w:right="4380"/>
              <w:spacing w:after="0"/>
              <w:rPr>
                <w:sz w:val="20"/>
                <w:szCs w:val="20"/>
                <w:color w:val="auto"/>
              </w:rPr>
            </w:pPr>
            <w:r>
              <w:rPr>
                <w:rFonts w:ascii="Arial" w:cs="Arial" w:eastAsia="Arial" w:hAnsi="Arial"/>
                <w:sz w:val="18"/>
                <w:szCs w:val="18"/>
                <w:color w:val="auto"/>
                <w:w w:val="98"/>
              </w:rPr>
              <w:t>i</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Interim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VENTOUX CCM ACQUISITION CORP.</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606,741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1,071,253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231,642</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838,383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174,251,175</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151,500,000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175,089,558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93,034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Advance from related party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120,005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4,338,750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7,320,000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4,436,126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7,458,128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subject to possible redemption 16,401,329 and 13,875,477 shares at $10.10 per share redemption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at March 31, 2021 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165,653,423</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140,142,318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 $0.0001 par value; 50,000,000 shares authorized; 5,161,171 and 5,437,023 shares issued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outstanding (excluding 16,401,329 and 13,875,477 shares subject to possible redemption) at March 31, 2021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2,902,897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6,363,974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2,096,596</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(1,364,511)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5,000,007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175,089,558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152,600,453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Operating and formation costs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Loss from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Other income:</w:t>
      </w:r>
    </w:p>
    <w:p>
      <w:pPr>
        <w:spacing w:after="0" w:line="23" w:lineRule="exact"/>
        <w:rPr>
          <w:sz w:val="20"/>
          <w:szCs w:val="20"/>
          <w:color w:val="auto"/>
        </w:rPr>
      </w:pPr>
    </w:p>
    <w:p>
      <w:pPr>
        <w:ind w:left="180"/>
        <w:spacing w:after="0" w:line="293" w:lineRule="auto"/>
        <w:rPr>
          <w:sz w:val="20"/>
          <w:szCs w:val="20"/>
          <w:color w:val="auto"/>
        </w:rPr>
      </w:pPr>
      <w:r>
        <w:rPr>
          <w:rFonts w:ascii="Arial" w:cs="Arial" w:eastAsia="Arial" w:hAnsi="Arial"/>
          <w:sz w:val="16"/>
          <w:szCs w:val="16"/>
          <w:color w:val="auto"/>
        </w:rPr>
        <w:t>Change in fair value of warrant liabilities Loss on issuance of private warrants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right="3660"/>
        <w:spacing w:after="0"/>
        <w:rPr>
          <w:sz w:val="20"/>
          <w:szCs w:val="20"/>
          <w:color w:val="auto"/>
        </w:rPr>
      </w:pPr>
      <w:r>
        <w:rPr>
          <w:rFonts w:ascii="Arial" w:cs="Arial" w:eastAsia="Arial" w:hAnsi="Arial"/>
          <w:sz w:val="17"/>
          <w:szCs w:val="17"/>
          <w:b w:val="1"/>
          <w:bCs w:val="1"/>
          <w:color w:val="auto"/>
        </w:rPr>
        <w:t>CONDENSED STATEMENTS OF OPERATIONS</w:t>
      </w:r>
    </w:p>
    <w:p>
      <w:pPr>
        <w:spacing w:after="0" w:line="21" w:lineRule="exact"/>
        <w:rPr>
          <w:sz w:val="20"/>
          <w:szCs w:val="20"/>
          <w:color w:val="auto"/>
        </w:rPr>
      </w:pPr>
    </w:p>
    <w:p>
      <w:pPr>
        <w:jc w:val="center"/>
        <w:ind w:right="3660"/>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ind w:right="366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ind w:left="6340"/>
        <w:spacing w:after="0"/>
        <w:tabs>
          <w:tab w:leader="none" w:pos="6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216,976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-130175</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(216,976)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17145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3,818,250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(162,000)</w:t>
      </w:r>
    </w:p>
    <w:p>
      <w:pPr>
        <w:spacing w:after="0" w:line="27" w:lineRule="exact"/>
        <w:rPr>
          <w:sz w:val="20"/>
          <w:szCs w:val="20"/>
          <w:color w:val="auto"/>
        </w:rPr>
      </w:pPr>
    </w:p>
    <w:p>
      <w:pPr>
        <w:sectPr>
          <w:pgSz w:w="11900" w:h="16838" w:orient="portrait"/>
          <w:cols w:equalWidth="0" w:num="2">
            <w:col w:w="3140" w:space="540"/>
            <w:col w:w="7560"/>
          </w:cols>
          <w:pgMar w:left="320" w:top="796"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03"/>
        </w:trPr>
        <w:tc>
          <w:tcPr>
            <w:tcW w:w="100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3,465,449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(4,342)</w:t>
            </w:r>
          </w:p>
        </w:tc>
        <w:tc>
          <w:tcPr>
            <w:tcW w:w="0" w:type="dxa"/>
            <w:vAlign w:val="bottom"/>
          </w:tcPr>
          <w:p>
            <w:pPr>
              <w:spacing w:after="0"/>
              <w:rPr>
                <w:sz w:val="1"/>
                <w:szCs w:val="1"/>
                <w:color w:val="auto"/>
              </w:rPr>
            </w:pPr>
          </w:p>
        </w:tc>
      </w:tr>
      <w:tr>
        <w:trPr>
          <w:trHeight w:val="278"/>
        </w:trPr>
        <w:tc>
          <w:tcPr>
            <w:tcW w:w="100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3,461,107</w:t>
            </w:r>
          </w:p>
        </w:tc>
        <w:tc>
          <w:tcPr>
            <w:tcW w:w="10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Pr>
          <w:p>
            <w:pPr>
              <w:spacing w:after="0"/>
              <w:rPr>
                <w:sz w:val="20"/>
                <w:szCs w:val="20"/>
                <w:color w:val="auto"/>
              </w:rPr>
            </w:pPr>
            <w:r>
              <w:rPr>
                <w:rFonts w:ascii="Arial" w:cs="Arial" w:eastAsia="Arial" w:hAnsi="Arial"/>
                <w:sz w:val="18"/>
                <w:szCs w:val="18"/>
                <w:color w:val="auto"/>
              </w:rPr>
              <w:t>Weighted average shares outstanding of redeemable common stock</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17,125,000</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redeemable common stock</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0020" w:type="dxa"/>
            <w:vAlign w:val="bottom"/>
          </w:tcPr>
          <w:p>
            <w:pPr>
              <w:spacing w:after="0"/>
              <w:rPr>
                <w:sz w:val="20"/>
                <w:szCs w:val="20"/>
                <w:color w:val="auto"/>
              </w:rPr>
            </w:pPr>
            <w:r>
              <w:rPr>
                <w:rFonts w:ascii="Arial" w:cs="Arial" w:eastAsia="Arial" w:hAnsi="Arial"/>
                <w:sz w:val="18"/>
                <w:szCs w:val="18"/>
                <w:color w:val="auto"/>
              </w:rPr>
              <w:t>Weighted average shares outstanding of non-redeemable common stock</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4,312,500</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of non-redeemable common stock</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0.80</w:t>
            </w:r>
          </w:p>
        </w:tc>
        <w:tc>
          <w:tcPr>
            <w:tcW w:w="0" w:type="dxa"/>
            <w:vAlign w:val="bottom"/>
          </w:tcPr>
          <w:p>
            <w:pPr>
              <w:spacing w:after="0"/>
              <w:rPr>
                <w:sz w:val="1"/>
                <w:szCs w:val="1"/>
                <w:color w:val="auto"/>
              </w:rPr>
            </w:pPr>
          </w:p>
        </w:tc>
      </w:tr>
      <w:tr>
        <w:trPr>
          <w:trHeight w:val="21"/>
        </w:trPr>
        <w:tc>
          <w:tcPr>
            <w:tcW w:w="10020" w:type="dxa"/>
            <w:vAlign w:val="bottom"/>
            <w:vMerge w:val="restart"/>
          </w:tcPr>
          <w:p>
            <w:pPr>
              <w:ind w:left="2260"/>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type w:val="continuous"/>
        </w:sectPr>
      </w:pPr>
    </w:p>
    <w:bookmarkStart w:id="4" w:name="page5"/>
    <w:bookmarkEnd w:id="4"/>
    <w:p>
      <w:pPr>
        <w:jc w:val="center"/>
        <w:ind w:left="340" w:right="2500"/>
        <w:spacing w:after="0" w:line="263" w:lineRule="auto"/>
        <w:rPr>
          <w:sz w:val="20"/>
          <w:szCs w:val="20"/>
          <w:color w:val="auto"/>
        </w:rPr>
      </w:pPr>
      <w:r>
        <w:rPr>
          <w:rFonts w:ascii="Arial" w:cs="Arial" w:eastAsia="Arial" w:hAnsi="Arial"/>
          <w:sz w:val="18"/>
          <w:szCs w:val="18"/>
          <w:b w:val="1"/>
          <w:bCs w:val="1"/>
          <w:color w:val="auto"/>
        </w:rPr>
        <w:t>VENTOUX CCM ACQUISITION CORP. CONDENSED STATEMENTS OF CHANGES IN STOCKHOLDERS’ EQUITY THREE MONTHS ENDED MARCH 31, 2021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Deficit)</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Paid</w:t>
            </w:r>
          </w:p>
        </w:tc>
        <w:tc>
          <w:tcPr>
            <w:tcW w:w="140" w:type="dxa"/>
            <w:vAlign w:val="bottom"/>
          </w:tcPr>
          <w:p>
            <w:pPr>
              <w:spacing w:after="0"/>
              <w:rPr>
                <w:sz w:val="22"/>
                <w:szCs w:val="22"/>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Retained</w:t>
            </w:r>
          </w:p>
        </w:tc>
        <w:tc>
          <w:tcPr>
            <w:tcW w:w="12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in Capital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5,437,023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6,363,974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(1,364,511)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Sale of 2,250,000 Units, net of underwriting discounts and</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expenses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22,049,775</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22,050,000</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common stock subject to redemption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(2,525,852)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(25,510,852)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(25,511,105)</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3,461,107</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3,461,107</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5,161,171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2,902,897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2,096,596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194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left="1940"/>
        <w:spacing w:after="0"/>
        <w:rPr>
          <w:sz w:val="20"/>
          <w:szCs w:val="20"/>
          <w:color w:val="auto"/>
        </w:rPr>
      </w:pPr>
      <w:r>
        <w:rPr>
          <w:rFonts w:ascii="Arial" w:cs="Arial" w:eastAsia="Arial" w:hAnsi="Arial"/>
          <w:sz w:val="17"/>
          <w:szCs w:val="17"/>
          <w:b w:val="1"/>
          <w:bCs w:val="1"/>
          <w:color w:val="auto"/>
        </w:rPr>
        <w:t>CONDENSED STATEMENTS OF CASH FLOWS</w:t>
      </w:r>
    </w:p>
    <w:p>
      <w:pPr>
        <w:spacing w:after="0" w:line="21"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ind w:left="19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 in fair value of warrant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initial issuance of 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Income taxes payable</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Investment of cash in Trust Account</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 of Units, net of underwriting discounts paid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sale of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Advances from related parties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 of advances from related parties</w:t>
      </w:r>
    </w:p>
    <w:p>
      <w:pPr>
        <w:spacing w:after="0" w:line="1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0" w:hanging="395"/>
        <w:spacing w:after="0"/>
        <w:tabs>
          <w:tab w:leader="none" w:pos="40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3,461,107</w:t>
      </w:r>
    </w:p>
    <w:p>
      <w:pPr>
        <w:spacing w:after="0" w:line="237"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(3,818,250)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162,000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(26,175)</w:t>
      </w:r>
    </w:p>
    <w:p>
      <w:pPr>
        <w:spacing w:after="0" w:line="21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(202,442)</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74,911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4,342</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(344,507)</w:t>
      </w:r>
    </w:p>
    <w:p>
      <w:pPr>
        <w:spacing w:after="0" w:line="200" w:lineRule="exact"/>
        <w:rPr>
          <w:sz w:val="20"/>
          <w:szCs w:val="20"/>
          <w:color w:val="auto"/>
        </w:rPr>
      </w:pPr>
    </w:p>
    <w:p>
      <w:pPr>
        <w:spacing w:after="0" w:line="28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(22,725,000)</w:t>
      </w:r>
    </w:p>
    <w:p>
      <w:pPr>
        <w:spacing w:after="0" w:line="3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(22,725,000)</w:t>
      </w:r>
    </w:p>
    <w:p>
      <w:pPr>
        <w:spacing w:after="0" w:line="200" w:lineRule="exact"/>
        <w:rPr>
          <w:sz w:val="20"/>
          <w:szCs w:val="20"/>
          <w:color w:val="auto"/>
        </w:rPr>
      </w:pPr>
    </w:p>
    <w:p>
      <w:pPr>
        <w:spacing w:after="0" w:line="28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22,050,000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675,000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525,000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(645,005)</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22,604,995</w:t>
      </w:r>
    </w:p>
    <w:p>
      <w:pPr>
        <w:spacing w:after="0" w:line="264"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(464,512)</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1,071,253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0294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4" w:lineRule="exact"/>
        <w:rPr>
          <w:sz w:val="20"/>
          <w:szCs w:val="20"/>
          <w:color w:val="auto"/>
        </w:rPr>
      </w:pPr>
    </w:p>
    <w:p>
      <w:pPr>
        <w:ind w:left="520" w:hanging="515"/>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606,741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796" w:right="339" w:bottom="1440"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04"/>
        </w:trPr>
        <w:tc>
          <w:tcPr>
            <w:tcW w:w="10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Initial classification of common stock subject to possible redemption from over-allotment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22,219,813</w:t>
            </w:r>
          </w:p>
        </w:tc>
        <w:tc>
          <w:tcPr>
            <w:tcW w:w="100" w:type="dxa"/>
            <w:vAlign w:val="bottom"/>
            <w:tcBorders>
              <w:bottom w:val="single" w:sz="8" w:color="CCEEFF"/>
            </w:tcBorders>
          </w:tcPr>
          <w:p>
            <w:pPr>
              <w:spacing w:after="0"/>
              <w:rPr>
                <w:sz w:val="24"/>
                <w:szCs w:val="24"/>
                <w:color w:val="auto"/>
              </w:rPr>
            </w:pPr>
          </w:p>
        </w:tc>
      </w:tr>
      <w:tr>
        <w:trPr>
          <w:trHeight w:val="223"/>
        </w:trPr>
        <w:tc>
          <w:tcPr>
            <w:tcW w:w="1002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Change in value of common stock subject to possible redemption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3,291,292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
        </w:trPr>
        <w:tc>
          <w:tcPr>
            <w:tcW w:w="10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Ventoux CCM Acquisition Corp. (formerly known as Chardan Global Acquisition Corp.) (the “Company”) was incorporated in Delaware on July 10, 2019. The Company was formed for the purpose of entering into a merger, share exchange, asset acquisition, stock purchase, recapitalization, reorganization or other similar business transaction with one or more businesses or entities that the Company has not yet identified (a “Business Combination”).</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2021 the Company had not commenced any operations. All activity through March 31, 2021 relates to the Company’s formation, the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registration statement for the Company’s Initial Public Offering was declared effective on December 23, 2020. On December 30, 2020, the Company consummated the Initial Public Offering of 15,000,000 Units (the “Units” and, with respect to the shares of common stock included in the Units sold, the “Public Shares”), at $10.00 per Unit, generating gross proceeds of $150,000,000, which is described in Note 3.</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Simultaneously with the closing of the Initial Public Offering, the Company consummated the sale of 6,000,000 warrants (the “Private Warrants”) at a price of $1.00 per Private Warrant in a private placement to Ventoux Acquisition Holdings LLC (“Ventoux Acquisition”), the co-sponsor and an affiliate of certain of the Company’s officers and directors, and Chardan International Investments, LLC (“Chardan Investments”), the co-sponsor and an affiliate of certain of the Company’s directors and Chardan Capital Markets, LLC, generating gross proceeds of $6,000,000, which is described in Note 4.</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closing of the Initial Public Offering on December 30, 2020, an amount of $151,500,000 ($10.10 per Unit) from the net proceeds of the sale of the Units in the Initial Public Offering and the sale of the Private Warrants was placed in a trust account (the “Trust Account”), to be invested in U.S. government securities, within the meaning set forth in Section 2(a)(16) of the Investment Company Act of 1940, as amended (the “Investment Company Act”), with a maturity of 183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as described below.</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January 5, 2021, the underwriters fully exercised their over-allotment option. In connection with the underwriters’ exercise of their over-allotment option, the Company also consummated the sale of an additional 2,250,000 Units, at $10.00 per Unit, and the sale of an additional 675,000 Private Warrants, at $1.00 per Private Warrant, generating total gross proceeds of $23,175,000. A total of $22,725,000 of the net proceeds was deposited into the Trust Account, bringing the aggregate proceeds held in the Trust Account to $174,225,000. As a result of the underwriters’ election to exercise their over-allotment option in full, 562,500 Founder Shares (as defined in Note 5) are no longer subject to forfeiture.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amounted to $3,993,017, consisting of $3,450,000 ($450,000 related to the underwriters’ exercise of their over-allotment option) in underwriting fees and $543,017 of other offering costs.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Warrants, although substantially all of the net proceeds are intended to be applied generally toward consummating a Business Combination. The Company’s initial Business Combination must be with one or more target businesses that together have a fair market value equal to at least 80% of the balance in the Trust Account (net of amounts previously released to the Company to pay its tax obligations) at the time of the signing an agreement to enter into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successfully effect a Business Combination.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will provide its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Company may require stockholders to vote for or against the Business Combination to be able to redeem their shares, and stockholders who do not vote, or who abstain from voting, on the Business Combination will not be able to redeem their shares. The stockholders will be entitled to redeem their shares for a pro rata portion of the amount then on deposit in the Trust Account (initially $10.10 per share, plus any pro rata interest earned on the funds held in the Trust Account and not previously released to the Company to pay its tax obligations). There will be no redemption rights upon the completion of a Business Combination with respect to the Company’s rights or warrants.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will proceed with a Business Combination if the Company has net tangible assets of at least $5,000,001 upon such consummation of a Business Combination and, if the Company seeks stockholder approval, a majority of the outstanding shares voted are voted in favor of the Business Combination. If a stockholder vote is not required by law and the Company does not decide to hold a stockholder vote for business or other legal reasons, the Company will, pursuant to its Amended and Restated Certificate of Incorporation, conduct the redemptions pursuant to the tender offer rules of the Securities and Exchange Commission (“SEC”), and file tender offer documents with the SEC prior to completing a Business Combination. If, however, a stockholder approval of the transaction is required by law, or the Company decides to obtain stockholder approval for business or other legal reasons, the Company will offer to redeem shares in conjunction with a proxy solicitation pursuant to the proxy rules and not pursuant to the tender offer rules. If the Company seeks stockholder approval in connection with a Business Combination, Ventoux Acquisition, Chardan Investments and any other initial stockholders of the Company’s common stock prior to the Initial Public Offering (collectively, the “Initial Stockholders”) have agreed to (a) vote their Founder Shares and any Public Shares held by them in favor of a Business Combination and (b) not to convert any shares (including Founder Shares) in connection with a stockholder vote to approve a Business Combination or sell any such shares to the Company in a tender offer in connection with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the Company does not conduct redemptions pursuant to the tender offer rules, a stockholder, together with any affiliate of such stockholder or any other person with whom such stockholder is acting in concert or as a “group” (as defined in Section 13(d)(3) of the Securities Exchange Act of 1934, as amended (the “Exchange Act”)), will be restricted from redeeming their shares with respect to more than an aggregate of 20% of the Public Shares.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have until March 30, 2022 to consummate a Business Combination. However, if the Company anticipates that it may not be able to consummate a Business Combination by March 30, 2022, the Company may extend the period of time to consummate a Business Combination one time by an additional three months (until June 30, 2022) to complete a Business Combination (the “Combination Period”). In order to extend the time available for the Company to consummate a Business Combination, the Initial Stockholders or their affiliates or designees must deposit into the Trust Account $1,725,000 (due to the exercise in full of the underwriters’ over-allotment option) ($0.10 per Public Share), on or prior to the date of the applicable deadline.</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 more than five business days thereafter, redeem 100% of the outstanding Public Shares, at a per share price, payable in cash, equal to the aggregate amount then on deposit in the Trust Account, including interest earned (net of taxes payable),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remaining stockholders and the Company’s board of directors, proceed to commence a voluntary liquidation and thereby a formal dissolution of the Company, subject in each case to its obligations to provide for claims of creditors and the requirements of applicable law. The proceeds deposited in the Trust Account could, however, become subject to claims of creditors.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Initial Stockholders have agreed to (i) waive their redemption rights with respect to Founder Shares and any Public Shares they may acquire during or after the Initial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w:t>
      </w:r>
    </w:p>
    <w:p>
      <w:pPr>
        <w:spacing w:after="0" w:line="2" w:lineRule="exact"/>
        <w:rPr>
          <w:sz w:val="20"/>
          <w:szCs w:val="20"/>
          <w:color w:val="auto"/>
        </w:rPr>
      </w:pPr>
    </w:p>
    <w:p>
      <w:pPr>
        <w:jc w:val="both"/>
        <w:ind w:firstLine="8"/>
        <w:spacing w:after="0" w:line="253" w:lineRule="auto"/>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order to protect the amounts held in the Trust Account, certain of the Initial Stockholders (the “Insiders”) have agreed to be liable to the Company if and to the extent any claims by a vendor for services rendered or products sold to the Company, or a prospective target business with which the Company has discussed entering into a transaction agreement, reduce the amount of funds in the Trust Account to below $10.10 per share, except as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Insiders will not be responsible to the extent of any liability for such third-party claims. The Company will seek to reduce the possibility that the Insiders will have to indemnify the Trust Account due to claims of creditors by endeavoring to have all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Liquidity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March 31, 2021, the Company had $606,741 in its operating bank accounts, $174,251,175 in securities held in the Trust Account to be used for a Business Combination or to repurchase or redeem its common stock in connection therewith and working capital of $741,007. As of March 31, 2021, approximately $26,000 of the amount on deposit in the Trust Account represented interest income, which is available to pay the Company’s tax obligations.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Company is unable to raise additional capital, it may be required to take additional measures to conserve liquidity, which could include, but not necessarily be limited to, suspending the pursuit of a Business Combination. The Company cannot provide any assurance that new financing will be available to it on commercially acceptable terms, if at all.</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the above, in connection with the Company’s assessment of going concern considerations in accordance with Financial Accounting Standard Board’s Accounting Standards Update (“ASU”) 2014-15, “Disclosures of Uncertainties about an Entity’s Ability to Continue as a Going Concern,” management has determined that the liquidity condition and date for mandatory liquidation and dissolution raise substantial doubt about the Company’s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Company’s Annual Report on Form 10-K/A for the year ended December 31, 2020 as filed with the SEC on June 22, 2021. The interim results for the three months ended March 31, 2021 are not necessarily indicative of the results to be expected for the year ending December 31, 2021 or for any future periods.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no activity for the three months ended March 31, 2020. Accordingly, the unaudited condensed statement of operations and unaudited condensed statement of cash flows for the three months ended March 31, 2020 is not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unaudited condensed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Accordingly, the actual results could differ significantly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March 31, 2021 and December 31,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Marketable Securities Held in Trust Account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and December 31, 2020, common stock subject to possible redemption is presented as temporary equity, outside of the stockholders’ equity section of the Company’s balance sheets.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Private Warrants in accordance with the guidance contained in ASC 815-40, “</w:t>
      </w:r>
      <w:r>
        <w:rPr>
          <w:rFonts w:ascii="Arial" w:cs="Arial" w:eastAsia="Arial" w:hAnsi="Arial"/>
          <w:sz w:val="18"/>
          <w:szCs w:val="18"/>
          <w:i w:val="1"/>
          <w:iCs w:val="1"/>
          <w:color w:val="auto"/>
        </w:rPr>
        <w:t>Derivatives and Hedging — Contracts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Entity’s Own Equity,” </w:t>
      </w:r>
      <w:r>
        <w:rPr>
          <w:rFonts w:ascii="Arial" w:cs="Arial" w:eastAsia="Arial" w:hAnsi="Arial"/>
          <w:sz w:val="18"/>
          <w:szCs w:val="18"/>
          <w:color w:val="auto"/>
        </w:rPr>
        <w:t>under which the Private Warrants do not meet the criteria for equity treatment and must be recorded as liabilities. Accordingly,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classifies the Private Warrants as liabilities at their fair value and adjusts the Private Warrants to fair value at each reporting period. This liability is subject to re-measurement at each balance sheet date until exercised, and any change in fair value is recognized in our statement of operations. The Private Warrants are valued using a Modified Black-Scholes Model.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As of March 31, 2021, the Company had deferred tax assets of approximately $43,500, which had a full valuation allowance recorded against it. The Company’s deferred tax assets were deemed to be de minimis as of December 31, 2020.</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current taxable income primarily consists of interest earned on the Trust Account. The Company’s general and administrative costs are generally considered start-up costs and are not currently deductible. During the three months ended March 31, 2021, the Company recorded income tax expense of $4,342. The Company’s effective tax rate for three months ended March 31, 2021 differs from the expected income tax rate due to change in fair value of warrants and the full valuation allowance on the Company’s deferred tax assets.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As of March 31,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may be subject to potential examination by federal, state and city taxing authorities in the areas of income taxes. These potential examinations may include questioning the timing and amount of deductions, the nexus of income among various tax jurisdictions and compliance with federal, state and city tax laws. The Company’s management does not expect that the total amount of unrecognized tax benefits will materially change over the next twelve months. The Company is subject to income tax examinations by major taxing authorities since inception.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per share is computed by dividing net income by the weighted-average number of shares of common stock outstanding during the period, excluding shares of common stock subject to forfeiture. The Company has not considered the effect of the warrants sold in the Initial Public Offering and private placement to purchase an aggregate of 15,300,000 shares in the calculation of diluted loss per share, since the exercise price of the warrants was greater than the average market price for the period.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statement of operations includes a presentation of income per share for common shares subject to possible redemption in a manner similar to the two-class method of income per share. Net income per common share, basic and diluted, for Common stock subject to possible redemption is calculated by dividing the proportionate share of income or loss on marketable securities held by the Trust Account, net of applicable franchise and income taxes, by the weighted average number of Common stock subject to possible redemption outstanding since original issuance.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per share, basic and diluted, for non-redeemable common stock is calculated by dividing the net income, adjusted for income or loss on marketable securities attributable to Common stock subject to possible redemption, by the weighted average number of non-redeemable common stock outstanding for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Non-redeemable common stock includes Founder Shares and non-redeemable shares of common stock as these shares do not have any redemption features.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Non-redeemable common stock participates in the income or loss on marketable securities based on non-redeemable shares’ proportionate interest.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w w:val="94"/>
              </w:rPr>
              <w:t>The following table reflects the calculation of basic and diluted net income per common share (in dollars, except per share amounts):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0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Three months</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41"/>
        </w:trPr>
        <w:tc>
          <w:tcPr>
            <w:tcW w:w="10020" w:type="dxa"/>
            <w:vAlign w:val="bottom"/>
            <w:vMerge w:val="restart"/>
          </w:tcPr>
          <w:p>
            <w:pPr>
              <w:spacing w:after="0"/>
              <w:rPr>
                <w:sz w:val="20"/>
                <w:szCs w:val="20"/>
                <w:color w:val="auto"/>
              </w:rPr>
            </w:pPr>
            <w:r>
              <w:rPr>
                <w:rFonts w:ascii="Arial" w:cs="Arial" w:eastAsia="Arial" w:hAnsi="Arial"/>
                <w:sz w:val="18"/>
                <w:szCs w:val="18"/>
                <w:color w:val="auto"/>
              </w:rPr>
              <w:t>Redeemable Common Stock</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Numerator: Earnings allocable to Redeemable Common Stock</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26,175</w:t>
            </w:r>
          </w:p>
        </w:tc>
        <w:tc>
          <w:tcPr>
            <w:tcW w:w="0" w:type="dxa"/>
            <w:vAlign w:val="bottom"/>
          </w:tcPr>
          <w:p>
            <w:pPr>
              <w:spacing w:after="0"/>
              <w:rPr>
                <w:sz w:val="1"/>
                <w:szCs w:val="1"/>
                <w:color w:val="auto"/>
              </w:rPr>
            </w:pPr>
          </w:p>
        </w:tc>
      </w:tr>
      <w:tr>
        <w:trPr>
          <w:trHeight w:val="237"/>
        </w:trPr>
        <w:tc>
          <w:tcPr>
            <w:tcW w:w="10020" w:type="dxa"/>
            <w:vAlign w:val="bottom"/>
          </w:tcPr>
          <w:p>
            <w:pPr>
              <w:ind w:left="340"/>
              <w:spacing w:after="0"/>
              <w:rPr>
                <w:sz w:val="20"/>
                <w:szCs w:val="20"/>
                <w:color w:val="auto"/>
              </w:rPr>
            </w:pPr>
            <w:r>
              <w:rPr>
                <w:rFonts w:ascii="Arial" w:cs="Arial" w:eastAsia="Arial" w:hAnsi="Arial"/>
                <w:sz w:val="18"/>
                <w:szCs w:val="18"/>
                <w:color w:val="auto"/>
              </w:rPr>
              <w:t>Less; Income available to pay income and franchise taxes</w:t>
            </w: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(9,842)</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Earnings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Denominator: Weighted Average Redeemable Common Stock</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0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Common Stock, Basic and Diluted</w:t>
            </w: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17,125,000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Earnings/Basic and Diluted Redeemable Common Stock</w:t>
            </w: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10020" w:type="dxa"/>
            <w:vAlign w:val="bottom"/>
            <w:tcBorders>
              <w:bottom w:val="single" w:sz="8" w:color="CCEEFF"/>
            </w:tcBorders>
            <w:vMerge w:val="continue"/>
          </w:tcPr>
          <w:p>
            <w:pPr>
              <w:spacing w:after="0"/>
              <w:rPr>
                <w:sz w:val="22"/>
                <w:szCs w:val="22"/>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Non-Redeemable 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3,461,107</w:t>
            </w:r>
          </w:p>
        </w:tc>
        <w:tc>
          <w:tcPr>
            <w:tcW w:w="0" w:type="dxa"/>
            <w:vAlign w:val="bottom"/>
          </w:tcPr>
          <w:p>
            <w:pPr>
              <w:spacing w:after="0"/>
              <w:rPr>
                <w:sz w:val="1"/>
                <w:szCs w:val="1"/>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Redeemable Net Earnings</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(16,333)</w:t>
            </w:r>
          </w:p>
        </w:tc>
        <w:tc>
          <w:tcPr>
            <w:tcW w:w="0" w:type="dxa"/>
            <w:vAlign w:val="bottom"/>
          </w:tcPr>
          <w:p>
            <w:pPr>
              <w:spacing w:after="0"/>
              <w:rPr>
                <w:sz w:val="1"/>
                <w:szCs w:val="1"/>
                <w:color w:val="auto"/>
              </w:rPr>
            </w:pPr>
          </w:p>
        </w:tc>
      </w:tr>
      <w:tr>
        <w:trPr>
          <w:trHeight w:val="277"/>
        </w:trPr>
        <w:tc>
          <w:tcPr>
            <w:tcW w:w="10020" w:type="dxa"/>
            <w:vAlign w:val="bottom"/>
            <w:tcBorders>
              <w:top w:val="single" w:sz="8" w:color="CCEEFF"/>
              <w:bottom w:val="single" w:sz="8" w:color="CCEEFF"/>
            </w:tcBorders>
          </w:tcPr>
          <w:p>
            <w:pPr>
              <w:ind w:left="500"/>
              <w:spacing w:after="0"/>
              <w:rPr>
                <w:sz w:val="20"/>
                <w:szCs w:val="20"/>
                <w:color w:val="auto"/>
              </w:rPr>
            </w:pPr>
            <w:r>
              <w:rPr>
                <w:rFonts w:ascii="Arial" w:cs="Arial" w:eastAsia="Arial" w:hAnsi="Arial"/>
                <w:sz w:val="18"/>
                <w:szCs w:val="18"/>
                <w:color w:val="auto"/>
              </w:rPr>
              <w:t>Non-Redeemable Net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3,444,774</w:t>
            </w:r>
          </w:p>
        </w:tc>
        <w:tc>
          <w:tcPr>
            <w:tcW w:w="10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Denominator: Weighted Average Non-Redeemable Common Stock</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Non-Redeemable Common Stock, Basic and Diluted</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4,312,500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Earnings/Basic and Diluted Non-Redeemable Common Stock</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basic and diluted shares are the same as there are no non-redeemable securities that are dilutive to the Company’s 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 and management believes the Company is not exposed to significant risks on such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unaudited condensed balance sheets, primarily due to their short-term nature, except for the Private Warrants (see Note 10).</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21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97"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unaudited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Initial Public Offering, the Company sold 17,250,000 Units, inclusive of 2,250,000 Units sold to the underwriters on January 5, 2021 upon the underwriters’ election to fully exercise their over-allotment option at a purchase price of $10.00 per Unit. Each Unit consists of one share of common stock, one right to receive one-twentieth (1/20) of one share of common stock upon the consummation of a Business Combination and one warrant (“Public Warrant”). Each Public Warrant entitles the holder to purchase one-half of one share of common stock at an exercise price of $11.50 per share (see Note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Simultaneously with the closing of the Initial Public Offering, Ventoux Acquisition purchased an aggregate of 4,000,000 Private Warrants and Chardan Investments purchased an aggregate of 2,000,000 Private Warrants, at $1.00 per Private Warrant resulting in combined aggregate purchase price of $6,000,000 in a private placement. On January 5, 2021, in connection with the underwriters’ election to fully exercise their over-allotment option, the Company sold an additional 450,000 and 225,000 Private Warrants to Ventoux Acquisition and Chardan Investments, respectively, at a price of $1.00 per Private Warrant, generating gross proceeds of $675,000. Each Private Warrant is exercisable to purchase one share of common stock at an exercise price of $11.50.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 There will be no redemption rights or liquidating distributions from the Trust Account with respect to the Private Warrants.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2019, Chardan Investments purchased 5,000,000 shares (the “Founder Shares”) for an aggregate price of $25,000. On July 23, 2020, Chardan Investments sold 3,250,000 Founder Shares back to the Company for an aggregate price of $16,250. On August 25, 2020, Chardan Investments transferred 256,375 Founder Shares back to the Company for nominal consideration, which shares were cancelled, resulting in Chardan Investments holding a balance of 1,493,625 Founder Shares. On July 23, 2020, Ventoux Acquisition purchased 3,250,000 Founder Shares from the Company for an aggregate price of $16,250. On August 25, 2020, Ventoux Acquisition transferred 431,125 Founder Shares back to the Company for nominal consideration, which shares were cancelled. On December 15, 2020, Ventoux Acquisition transferred 22,500 Founder Shares to Cindat USA LLC, an affiliate of one of the Company’s directors, and, on December 17, 2020, Ventoux Acquisition transferred an aggregate of 67,500 Founder Shares to three of the Company’s directors. As of the date hereof, Ventoux Acquisition holds 2,728,875 Founder Shares.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4,312,500 Founder Shares included an aggregate of up to 562,500 shares subject to forfeiture by the Initial Stockholders to the extent that the underwriters’ over-allotment were not exercised in full or in part, so that the Initial Stockholders would collectively own approximately 20% of the Company’s issued and outstanding shares after the Initial Public Offering (assuming the Initial Stockholders do not purchase any Public Shares in the Initial Public Offering). As a result of the underwriters’ election to fully exercise their over-allotment option on January 5, 2021, the Founder Shares are no longer subject to forfeiture.</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that, subject to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stock dividends, reorganizations and recapitalizations) for any 20 trading days within any 30-trading day period commencing after a Business Combination and the remaining 50% of the Founder Shares will not be transferred, assigned, sold or released from escrow until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entered into an agreement, commencing on December 23, 2020 through the earlier of the Company’s consummation of a Business Combination or its liquidation, to pay Chardan Capital Markets, LLC a total of $10,000 per month for office space, utilities and secretarial support. For the three months ended March 31, 2021, the Company incurred $30,000 in fees for these services, of which such amount is included in accrued expenses in the accompanying unaudited condensed balance sheets as of March 31, 2021. As of December 31, 2020, there were no amounts accrued under this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order to finance transaction costs in connection with a Business Combination, the Initial Stockholders, an affiliate of the Initial Stockholders, or the Company’s officers and directors may, but are not obligated to, loan the Company funds from time to time or at any time, as may be required (“Working Capital Loans”). Each Working Capital Loan would be evidenced by a promissory note. The notes may be repaid upon completion of a Business Combination, without interest, or, at the lender’s discretion, up to $500,000 of the notes may be converted upon completion of a Business Combination into warrants at a price of $1.00 per warrant. Such warrants would be identical to the Private Warrants. In the event that a Business Combination does not close, the Company may use a portion of the proceeds held outside the Trust Account to repay the Working Capital Loans, but no proceeds held in the Trust Account would be used to repay the Working Capital Loans. Working Capital Loans made by Chardan Capital Markets, LLC or any of its related persons will not be convertible into Private Warrants and Chardan Capital Markets, LLC and its related persons will have no recourse with respect to their ability to convert their Working Capital Loans into Private Warrants. As of March 31, 2021 and December 31, 2020, no Working Capital Loans were outstanding.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Extension Loans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discussed in Note 1, the Company may extend the period of time to consummate a Business Combination one time, for an additional three months (until June 30, 2022) to complete a Business Combination. In order to extend the time available for the Company to consummate a Business Combination, the Initial Stockholders or their affiliates or designees must deposit into the Trust Account $1,725,000 (due to the exercise in full of the underwriters’ over-allotment option), or $0.10 per Public Share, on or prior to the date of the applicable deadline. Any such payments would be made in the form of a loan. The terms of the promissory note to be issued in connection with any such loans have not yet been negotiated. If the Company completes a Business Combination, the Company would repay such loaned amounts out of the proceeds of the Trust Account released to the Company. If the Company does not complete a Business Combination, the Company will not repay such loans. The Initial Stockholders and their affiliates or designees are not obligated to fund the Trust Account to extend the time for the Company to complete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Advances from Related Parties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Related parties advanced the Company approximately $2,520,000 (including $525,000 during the three months ended March 31, 2021) to pay for certain offering costs in connection with the Initial Public Offering. At March 31, 2021, the full balance of advances was repaid. At December 31, 2020, $120,005 was owed to some of these related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entered into on December 23, 2020, the holders of the Founder Shares and the Private Warrants and securities that may be issued upon conversion of Working Capital Loans will be entitled to registration and stockholder rights pursuant to an agreement.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granted the underwriters a 45-day option from the date of the Initial Public Offering to purchase up to 2,250,000 additional Units to cover over-allotments, if any, at the Initial Public Offering price less the underwriting discounts and commissions. On January 5, 2021, the underwriters elected to fully exercise the over-allotment option to purchase an additional 2,250,000 Units at a price of $10.00 per Unit.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were paid cash underwriting discount of $0.20 per Unit, or $3,450,000 in the aggregate, upon the closing of the Initial Public Offering and the over-allotment option.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 Marketing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engaged Chardan Capital Markets, LLC as an advisor in connection with a Business Combination to assist the Company in holding meetings with its stockholders to discuss the potential Business Combination and the target business’s attributes, introduce the Company to potential investors that are interested in purchasing the Company’s securities in connection with the potential Business Combination, assist the Company in obtaining stockholder approval for the Business Combination and assist the Company with its press releases and public filings in connection with the Business Combination. The Company will pay Chardan Capital Markets, LLC a marketing fee for such services upon the consummation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consummates its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the Company’s Amended and Restated Certificate of Incorporation, the Company is authorized to issue up to 1,000,000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preferred stock. At March 31, 2021 and December 31, 2020, there were no shares of preferred stock issued or outstanding.</w:t>
      </w:r>
    </w:p>
    <w:p>
      <w:pPr>
        <w:spacing w:after="0" w:line="1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50,000,000 shares of common stock with a par value of $0.0001 per share. Holders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common stock are entitled to one vote for each share. At March 31, 2021 and December 31, 2020, there were 5,161,171 and 5,437,023 shares of common stock issued and outstanding, excluding 16,401,329 and 13,875,477 shares of common stock subject to possible redemption, respectively.</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Rights </w:t>
      </w:r>
      <w:r>
        <w:rPr>
          <w:rFonts w:ascii="Arial" w:cs="Arial" w:eastAsia="Arial" w:hAnsi="Arial"/>
          <w:sz w:val="16"/>
          <w:szCs w:val="16"/>
          <w:color w:val="auto"/>
        </w:rPr>
        <w:t>— Except in cases where the Company is not the surviving company in a Business Combination, each holder of a right will automatically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one-twentieth (1/20) of a share of common stock upon consummation of the Business Combination, even if the holder of a right converted all shares held by him, her or it in connection with the Business Combination or an amendment to the Company’s Certificate of Incorporation with respect to its pre-business combination activities. In the event that the Company will not be the surviving company upon completion of the Business Combination, each holder of a right will be required to affirmatively convert his, her or its rights in order to receive the one-twentieth (1/20) of a share of common stock underlying each right upon consummation of the Business Combination. No additional consideration will be required to be paid by a holder of rights in order to receive his, her or its additional share of common stock upon consummation of the Business Combination. The shares issuable upon exchange of the rights will be freely tradable (except to the extent held by affiliates of the Company). If the Company enters into a definitive agreement for a Business Combination in which the Company will not be the surviving entity, the definitive agreement will provide for the holders of rights to receive the same per share consideration the holders of shares of common stock will receive in the transaction on an as-converted into common stock basis.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will not issue fractional shares in connection with an exchange of rights, so holders must hold rights in denominations of 20 in order to receive a share of the Company’s common stock at the closing of the initial Business Combination. If the Company is unable to complete an initial Business Combination within the required time period and the Company liquidates the funds held in the Trust Account, holders of rights will not receive any of such funds with respect to their rights, nor will they receive any distribution from the Company’s assets held outside of the Trust Account with respect to such rights, and the rights will expire worthless. Additionally, in no event will the Company be required to net cash settle the rights. Accordingly, the rights may expire worthless.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The Public Warrants will become exercisable at any time commencing on the later of one year after the closing of the Initial Public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consummation of a Business Combination; provided that the Company has an effective and current registration statement covering the shares of common stock issuable upon the exercise of the Public Warrants and a current prospectus relating to such shares of common stock. Notwithstanding the foregoing, if a registration statement covering the shares of common stock issuable upon exercise of the public warrants is not effective within 120 days from the closing of a Business Combination,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The Public Warrants will expire five years after the completion of a Business Combination or earlier upon redemption or liquidation.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redeem the Public Warrants: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while the warrants are exercisable;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share of common stock equals or exceeds $16.50 per share, for any 20 trading days within a 30-trading day period ending on the third business day prior to the notice of redemption to the warrant holders; and</w:t>
      </w:r>
    </w:p>
    <w:p>
      <w:pPr>
        <w:spacing w:after="0" w:line="19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rights or warrants will not receive any of such funds with respect to their rights or warrants, nor will they receive any distribution from the Company’s assets held outside of the Trust Account with the respect to such rights or warrants. Accordingly, the rights and warrants may expire worthless.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if the Company issues additional common stock or equity-linked securities for capital raising purposes in connection with the closing of a Business Combination at an issue price or effective issue price of less than $9.20 per common stock (with such issue price or effective issue price to be determined in good faith by the Company’s board of directors and, in the case of any such issuance to the co-sponsors or their affiliates, without taking into account any Founder Shares held by the co-sponsors or such affiliates, as applicable, prior to such issuance) (the “Newly Issued Price”), the exercise price of the warrants will be adjusted (to the nearest cent) to be equal to 115% of the Newly Issued Price, and the $16.50 per share redemption trigger price will be adjusted (to the nearest cent) to be equal to 165% of the market value (the volume weighted average trading price of its common stock during the 20 trading day period starting on the trading day prior to the day on which the Company consummates its Business Combination).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Private Warrants are identical to the Public Warrants underlying the Units sold in the Initial Public Offering except that each Private Warrant is exercisable for one share of common stock at an exercise price of $11.50 per share, the Private Warrants will be exercisable for cash (even if a registration statement covering the shares of common stock issuable upon exercise of such warrants is not effective) or on a cashless basis, at the holder’s option, and will not be non-redeemable by the Company, in each case, so long as they are held by the initial purchasers or their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Public Warrants are accounted for as equity and the Private Warrants are accounted for as liabilities on the condensed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160" w:hanging="836"/>
        <w:spacing w:after="0" w:line="308" w:lineRule="auto"/>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73" w:lineRule="exact"/>
        <w:rPr>
          <w:sz w:val="20"/>
          <w:szCs w:val="20"/>
          <w:color w:val="auto"/>
        </w:rPr>
      </w:pPr>
    </w:p>
    <w:p>
      <w:pPr>
        <w:ind w:left="1160" w:right="20" w:hanging="836"/>
        <w:spacing w:after="0" w:line="277" w:lineRule="auto"/>
        <w:tabs>
          <w:tab w:leader="none" w:pos="114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197" w:lineRule="exact"/>
        <w:rPr>
          <w:sz w:val="20"/>
          <w:szCs w:val="20"/>
          <w:color w:val="auto"/>
        </w:rPr>
      </w:pPr>
    </w:p>
    <w:p>
      <w:pPr>
        <w:ind w:left="340"/>
        <w:spacing w:after="0"/>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classifies its U.S. Treasury and equivalent securities as held-to-maturity in accordance with ASC Topic 320 “Investments — Debt and Equity Securities.” Held-to-maturity securities are those securities which the Company has the ability and intent to hold until maturity. Held-to-maturity treasury securities are recorded at amortized cost on the accompanying balance sheets and adjusted for the amortization or accretion of premiums or discounts.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classifies its money market funds as trading securities. Trading securities are presented on the balance sheet at fair value at the end of each reporting period. Gains and losses resulting from the change in fair value of these securities is included in interest income in the accompanying statement of operations. The estimated fair values of investments held in the trust account are determined using available market information.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assets held in the Trust Account was comprised of $256,143 in money market funds which are invested primarily in U.S. Treasury Securities and $173,995,032 in U.S. Treasury securities. During the three months ended March 31, 2021, the Company did not withdraw any interest income from the Trust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2020, assets held in the Trust Account were comprised of $151,500,000 in cash.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March 31, 2021 and December 31, 2020 and indicates the fair value hierarchy of the valuation inputs the Company utilized to determine such fair value. The gross holding gain and fair value of held-to-maturity securities at March 31, 2021 and December 31,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Holding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820" w:type="dxa"/>
            <w:vAlign w:val="bottom"/>
          </w:tcPr>
          <w:p>
            <w:pPr>
              <w:spacing w:after="0"/>
              <w:rPr>
                <w:sz w:val="20"/>
                <w:szCs w:val="20"/>
                <w:color w:val="auto"/>
              </w:rPr>
            </w:pPr>
          </w:p>
        </w:tc>
        <w:tc>
          <w:tcPr>
            <w:tcW w:w="4280" w:type="dxa"/>
            <w:vAlign w:val="bottom"/>
            <w:gridSpan w:val="2"/>
          </w:tcPr>
          <w:p>
            <w:pPr>
              <w:ind w:left="1380"/>
              <w:spacing w:after="0"/>
              <w:rPr>
                <w:sz w:val="20"/>
                <w:szCs w:val="20"/>
                <w:color w:val="auto"/>
              </w:rPr>
            </w:pPr>
            <w:r>
              <w:rPr>
                <w:rFonts w:ascii="Arial" w:cs="Arial" w:eastAsia="Arial" w:hAnsi="Arial"/>
                <w:sz w:val="18"/>
                <w:szCs w:val="18"/>
                <w:b w:val="1"/>
                <w:bCs w:val="1"/>
                <w:color w:val="auto"/>
              </w:rPr>
              <w:t>Held-To-Maturity</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Level</w:t>
            </w: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Gain</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1820" w:type="dxa"/>
            <w:vAlign w:val="bottom"/>
          </w:tcPr>
          <w:p>
            <w:pPr>
              <w:spacing w:after="0"/>
              <w:rPr>
                <w:sz w:val="18"/>
                <w:szCs w:val="18"/>
                <w:color w:val="auto"/>
              </w:rPr>
            </w:pPr>
          </w:p>
        </w:tc>
        <w:tc>
          <w:tcPr>
            <w:tcW w:w="4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5"/>
              </w:rPr>
              <w:t>Marketable securities held in Trust Account – U.S.:</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 Money Market Fund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256,143</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March 31, 2021</w:t>
            </w:r>
          </w:p>
        </w:tc>
        <w:tc>
          <w:tcPr>
            <w:tcW w:w="4280" w:type="dxa"/>
            <w:vAlign w:val="bottom"/>
            <w:gridSpan w:val="2"/>
          </w:tcPr>
          <w:p>
            <w:pPr>
              <w:spacing w:after="0"/>
              <w:rPr>
                <w:sz w:val="20"/>
                <w:szCs w:val="20"/>
                <w:color w:val="auto"/>
              </w:rPr>
            </w:pPr>
            <w:r>
              <w:rPr>
                <w:rFonts w:ascii="Arial" w:cs="Arial" w:eastAsia="Arial" w:hAnsi="Arial"/>
                <w:sz w:val="18"/>
                <w:szCs w:val="18"/>
                <w:color w:val="auto"/>
              </w:rPr>
              <w:t>U.S. Treasury Securities (Mature on 4/15/2021)</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173,995,032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173,998,260</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 Money Market Fund</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151,500,000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the Company’s liabilities that are measured at fair value on a recurring basis at March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indicates the fair value hierarchy of the valuation inputs the Company utilized to determine such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Level</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24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7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 – Private Placement Warrants</w:t>
            </w:r>
          </w:p>
        </w:tc>
        <w:tc>
          <w:tcPr>
            <w:tcW w:w="10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4,338,750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7,320,000</w:t>
            </w: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Private Warrants were accounted for as liabilities in accordance with ASC 815-40 and are presented within warrant liabilities on the balance sheet. The warrant liabilities are measured at fair value at inception and on a recurring basis, with changes in fair value presented in the statement of operations.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Private Warrants were initially and subsequently valued using a Modified Black-Scholes model, which is considered to be a Level 3 fair value measurement. The Modified Black-Scholes model’s primary unobservable input utilized in determining the fair value of the Private Warrants is the expected volatility of the common stock. The expected volatility was derived from observable public warrant pricing on comparable ‘blank-check’ companies without an identified target. The expected volatility as of subsequent valuation dates will be implied from the Company’s own Public Warrant pricing. Inherent in a Black-Scholes model are assumptions related to expected stock-price volatility, expected life, risk-free interest rate and dividend yield. However, inherent uncertainties are involved. If factors or assumptions change, the estimated fair values could be materially different.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 of the warrant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January 5,</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(Over-</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3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allotment)</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16"/>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Stock price</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19.15%</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Term</w:t>
            </w: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Dividend yield</w:t>
            </w:r>
          </w:p>
        </w:tc>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533"/>
        </w:trPr>
        <w:tc>
          <w:tcPr>
            <w:tcW w:w="33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0" w:name="page21"/>
    <w:bookmarkEnd w:id="20"/>
    <w:p>
      <w:pPr>
        <w:jc w:val="center"/>
        <w:ind w:left="1460"/>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9"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left="146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Initial measurement on January 5, 2021 (Over allotment)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Fair value as of March 31, 2021</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in or out of Level 3 from other levels in the fair value hierarchy during the three months ended March 31,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Private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Placement</w:t>
      </w:r>
    </w:p>
    <w:p>
      <w:pPr>
        <w:spacing w:after="0" w:line="22" w:lineRule="exact"/>
        <w:rPr>
          <w:sz w:val="20"/>
          <w:szCs w:val="20"/>
          <w:color w:val="auto"/>
        </w:rPr>
      </w:pPr>
    </w:p>
    <w:p>
      <w:pPr>
        <w:ind w:left="400" w:hanging="395"/>
        <w:spacing w:after="0"/>
        <w:tabs>
          <w:tab w:leader="none" w:pos="400" w:val="left"/>
        </w:tabs>
        <w:numPr>
          <w:ilvl w:val="0"/>
          <w:numId w:val="7"/>
        </w:numPr>
        <w:rPr>
          <w:rFonts w:ascii="Arial" w:cs="Arial" w:eastAsia="Arial" w:hAnsi="Arial"/>
          <w:sz w:val="17"/>
          <w:szCs w:val="17"/>
          <w:color w:val="auto"/>
        </w:rPr>
      </w:pPr>
      <w:r>
        <w:rPr>
          <w:rFonts w:ascii="Arial" w:cs="Arial" w:eastAsia="Arial" w:hAnsi="Arial"/>
          <w:sz w:val="17"/>
          <w:szCs w:val="17"/>
          <w:color w:val="auto"/>
        </w:rPr>
        <w:t>7,320,000</w:t>
      </w:r>
    </w:p>
    <w:p>
      <w:pPr>
        <w:spacing w:after="0" w:line="3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8"/>
          <w:szCs w:val="18"/>
          <w:color w:val="auto"/>
        </w:rPr>
        <w:t>837,000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(3,818,250)</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4,338,750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7029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70294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39" w:lineRule="exact"/>
        <w:rPr>
          <w:sz w:val="20"/>
          <w:szCs w:val="20"/>
          <w:color w:val="auto"/>
        </w:rPr>
      </w:pPr>
    </w:p>
    <w:p>
      <w:pPr>
        <w:sectPr>
          <w:pgSz w:w="11900" w:h="16838" w:orient="portrait"/>
          <w:cols w:equalWidth="0" w:num="2">
            <w:col w:w="9800" w:space="220"/>
            <w:col w:w="1220"/>
          </w:cols>
          <w:pgMar w:left="320" w:top="823" w:right="339" w:bottom="1440" w:gutter="0" w:footer="0" w:header="0"/>
        </w:sectPr>
      </w:pP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financial statements were issued. Based upon this review, the Company did not identify any subsequent events that would have required adjustment or disclosure in the unaudited condensed financial statements.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References in this report (the “Quarterly Report”) to “we,” “us” or the “Company” refer to Ventoux CCM Acquisition Corp. References to our “management” or our “management team” refer to our officers and directors, and references to the “co-sponsors” refer to Ventoux Acquisition Holdings LLC (“Ventoux Acquisition”) and Chardan International Investments, LLC (“Chardan Investments”).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blank check company formed under the laws of the State of Delaware on July 10, 2019 for the purpose of effecting a merger, share exchange, asset acquisition, stock purchase, recapitalization, reorganization or other similar business transaction with one or more businesses or entities that the Company has not yet identified (a “Business Combination”).</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may pursue a Business Combination in any region or sector, we intend to focus our efforts on businesses in North America within the hospitality, leisure, travel and dining sectors with an emphasis on consumer branded businesses that have attractive growth characteristics. In addition, we intend to pursue technology companies operating in these sectors, such as business and consumer services and infrastructure. However, we do not intend to invest in businesses with large exposure to investments in physical real estate. We intend to focus on established and high-growth businesses that have an aggregate enterprise value of approximately $500 million to $2.0 billion and would benefit from access to public markets and the operational and strategic expertise of our management team and board of directors. We will seek to capitalize on the significant experience of our management team in consummating a Business Combination with the ultimate goal of pursuing attractive returns for our stockholders.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effectuate our Business Combination using cash from the proceeds of the Initial Public Offering and the sale of the Private Warrants, our capital stock, debt or a combination of cash, stock and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issuance of additional shares of our stock in a Business Combination:</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significantly reduce the equity interest of our stockholders;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2" w:name="page23"/>
    <w:bookmarkEnd w:id="22"/>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Similarly, if we issue debt securities or otherwise incur significant indebtedness, it could result in:</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additional financing, if necessary, if the debt security contains covenants restricting our ability to obtain additional financing while such security is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March 31, 2021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we had a net income of $3,461,107, which consists of change in fair value of warrant liabilities of $3,818,250 and interest earned on marketable securities held in our Trust Account of $26,175, offset by general and administrative expenses of $216,976, loss on issuance of private warrants of $162,000, and an income tax expense of $4,342.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30, 2020, we completed the Initial Public Offering of 15,000,000 Units at $10.00 per Unit, generating gross proceeds of $150,000,000. Simultaneously with the closing of the Initial Public Offering, we completed the sale of 6,000,000 Private Warrants at a price of $1.00 per Private Warrant in a private placement to the co-sponsors, generating gross proceeds of $6,000,000.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5, 2021, in connection with the underwriters’ exercise of their over-allotment option in full, we completed the sale of an additional 2,250,000 Units, at $10.00 per Unit, and the sale of an additional 675,000 Private Warrants, at $1.00 per Private Warrant, generating total gross proceeds of $23,175,000.</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Following the Initial Public Offering, the full exercise of the over-allotment option, and the sale of the Private Units, a total of $174,225,000 was placed in the Trust Account. We incurred $3,993,017 in Initial Public Offering related costs, including $3,450,000 of underwriting fees and $543,017 of other costs.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2021, cash used in operating activities was $344,507. Net income of $3,461,107 was affected by interest earned on marketable securities held in the Trust Account of $26,175, loss on initial issuance of private warrants of $162,000 and change in fair value of warrant liabilities of $3,818,250. Changes in operating assets and liabilities used $123,189 of cash for operating activities.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23" w:name="page24"/>
    <w:bookmarkEnd w:id="23"/>
    <w:p>
      <w:pPr>
        <w:jc w:val="both"/>
        <w:ind w:right="20"/>
        <w:spacing w:after="0" w:line="311" w:lineRule="auto"/>
        <w:rPr>
          <w:sz w:val="20"/>
          <w:szCs w:val="20"/>
          <w:color w:val="auto"/>
        </w:rPr>
      </w:pPr>
      <w:r>
        <w:rPr>
          <w:rFonts w:ascii="Arial" w:cs="Arial" w:eastAsia="Arial" w:hAnsi="Arial"/>
          <w:sz w:val="16"/>
          <w:szCs w:val="16"/>
          <w:color w:val="auto"/>
        </w:rPr>
        <w:t>As of March 31, 2021, we had cash and marketable securities held in the Trust Account of $174,251,175 (including approximately $26,175 of interest income and unrealized gains, net of unrealized losses) consisting of U.S. Treasury Bills with a maturity of 183 days or less. Interest income on the balance in the Trust Account may be used by us to pay taxes. Through March 31, 2021, we have not withdrawn any interest earned from the Trust Account.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(less income taxes payable), to complete our Business Combination.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cash of $606,741.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order to fund working capital deficiencies or finance transaction costs in connection with a Business Combination, the co-sponsors, or certain of our officers and directors or their affiliates may, but are not obligated to, loan us funds as may be required. If we complete a Business Combination, we would repay such loaned amounts. In the event that a Business Combination is not consummated, we may use a portion of the working capital held outside the Trust Account to repay such loaned amounts but no proceeds from our Trust Account would be used for such repayment. Up to $500,000 of such loans may be convertible into warrants at a price of $1.00 per unit, at the option of the lender. The units would be identical to the Private Warrants.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we are unable to raise additional capital, we may be required to take additional measures to conserve liquidity, which could include, but not necessarily be limited to, suspending the pursuit of a Business Combination. We cannot provide any assurance that new financing will be available to it on commercially acceptable terms, if at all.</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above, in connection with our assessment of going concern considerations in accordance with Financial Accounting Standard Board’s Accounting Standards Update (“ASU”) 2014-15, “Disclosures of Uncertainties about an Entity’s Ability to Continue as a Going Concern,” we have determined that the liquidity condition and date for mandatory liquidation and dissolution raise substantial doubt about our ability to continue as a going concern through March 30, 2022,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we be unable to continue as a going concern.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and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Chardan Capital Markets, LLC a total of $10,000 per month for office space, utilities and secretarial support. We began incurring these fees on December 23, 2020 and will continue to incur these fees monthly until the earlier of the completion of the Business Combination and our liquidation.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engaged Chardan Capital Markets, LLC as an advisor in connection with a Business Combination to assist us in holding meetings with stockholders to discuss the potential Business Combination and the target business’s attributes, introduce us to potential investors that are interested in purchasing our securities in connection with the potential Business Combination, assist us in obtaining stockholder approval for the Business Combination and assist us with press releases and public filings in connection with the Business Combination. We will pay Chardan Capital Markets, LLC a marketing fee for such services upon the completion of a Business Combination in an amount equal to, in the aggregate, 3.5% of the gross proceeds of the Initial Public Offering, including proceeds from the exercise of the underwriters’ over-allotment option. As a result, Chardan Capital Markets, LLC will not be entitled to such fee unless the Business Combination is consummated.</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unaudited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account for the Private Warrants in accordance with the guidance contained in ASC 815-40 under which the Private Warrants do not meet the criteria for equity treatment and must be recorded as liabilities. Accordingly, we classify the Private Warrants as liabilities at their fair value and adjust the Private Warrants to fair value at each reporting period. This liability is subject to re-measurement at each balance sheet date until exercised, and any change in fair value is recognized in our statement of operations. The Private Placement Warrants are valued using a Modified Black Scholes model.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common stock subject to possible redemption in accordance with the guidance in Accounting Standards Codification (“ASC”) Topic 480 “Distinguishing Liabilities from Equity.” Shares of common stock subject to mandatory redemption are classified as a liability instrument and are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are considered to be outside of the Company’s control and subject to occurrence of uncertain future events. Accordingly, at March 31, 2021, common stock subject to possible redemption is presented as temporary equity, outside of the stockholders’ equity section of the Company’s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Common Share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(loss) per common share, basic and diluted for common stock subject to possible redemption is calculated by dividing the interest income earned on the Trust Account, net of applicable taxes, if any, by the weighted average number of shares of common stock subject to possible redemption outstanding for the period. Net income (loss) per common share, basic and diluted for and non-redeemable common stock is calculated by dividing net loss less income attributable to common stock subject to possible redemption, by the weighted average number of shares of non-redeemable common stock outstanding for the period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unaudited condensed financial statements.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are currently assessing the impact, if any, that ASU 2020-06 would have on its financial position, results of operations or cash flows.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consummation of our Initial Public Offering, the proceeds held in the trust account have been invested in U.S. government treasury obligations with a maturity of 183 days or less or in certain money market funds that invest solely in U.S. treasuries. Due to the short-term nature of these investments, we believe there will be no associated material exposure to interest rate risk.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2021, as such term is defined in Rules 13a-15(e) and 15d-15(e) under the Exchange Act. Based on this evaluation, our principal executive officer and principal financial and accounting officer have concluded that, solely due to the events that led to the Company’s restatement of its financial statements to reclassify the Company’s derivative instruments as liabilities (which are described in the Company’s Amendment No. 1 to its Annual Report on Form 10-K/A filed on June 22, 2021) (the “Restatement”), during the period covered by this report, a material weakness existed and our disclosure controls and procedures were not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was no change in our internal control over financial reporting that occurred during the fiscal quarter of 2021 covered by this Quarterly Report on Form 10-Q that has materially affected, or is reasonably likely to materially affect, our internal control over financial reporting. In light of the material weakness identified and the resulting Restatement,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make disclosures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on December 23, 2020, we consummated the Initial Public Offering of 15,000,000 units (the “Units”). Each Unit consists of one share of common stock, $0.0001 par value (“Common Stock”), one right entitling the holder thereof to receive one-twentieth (1/20) of one share of Common Stock upon the consummation of a Business Combination, and one warrant entitling the holder thereof to purchase one-half (1/2) of one share of Common Stock at a price of $11.50 per whole share. The Units were sold at an offering price of $10.00 per Unit, generating gross proceeds of $150,000,000. Chardan Capital Markets, LLC acted as sole-book running manager. The securities in the offering were registered under the Securities Act on a registration statement on Form S-1 (No. 333-251048). The Securities and Exchange Commission declared the registration statement effective on December 23, 2020.</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Simultaneously with the closing of the Initial Public Offering, we consummated the private placement with initial stockholders of the Company of 6,000,000 warrants (the “Private Warrants”), generating total proceeds of $6,000,000. The Private Warrants are identical to the warrants sold as part of the public Units in the Initial Public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as further described in the Registration Statement. Such initial purchasers were granted certain demand and piggyback registration rights in connection with the purchase of the Private Warrants. The Private Warrants were issued pursuant to the exemption from registration contained in Section 4(a)(2) of the Securities Act.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5, 2021, we consummated the closing of the issuance and sale of additional Units (the “Over-Allotment Option Units”) upon exercise by the underwriters of their over-allotment option in full. The total aggregate issuance by the Company of 2,250,000 Units at a price of $10.00 per Unit resulted in total gross proceeds of $22,500,000. On January 5, 2021, simultaneously with the sale of the Over-Allotment Option Units, the Company consummated the private sale of an additional 675,000 Private Warrants, generating gross proceeds of $675,000. The Private Warrants were issued pursuant to the exemption from registration contained in Section 4(a)(2) of the Securities Act.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total of $174,225,000 of the net proceeds from the sale of the Units in the Initial Public Offering (including the Over-Allotment Option Units) and the private placements on December 30, 2020 and January 5, 2021, were deposited in a trust account established for the benefit of the Company’s public stockholders.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total of $3,993,017 in offering costs, consisting of $3,450,000 ($450,000 related to the underwriters’ exercise of their over-allotment option) in underwriting fees and $543,017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4"/>
            <w:shd w:val="clear" w:color="auto" w:fill="CCEEFF"/>
          </w:tcPr>
          <w:p>
            <w:pPr>
              <w:spacing w:after="0" w:line="17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adopted pursuant to Section 302 of the Sarbanes-Oxley Act of 2002.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020" w:type="dxa"/>
            <w:vAlign w:val="bottom"/>
            <w:tcBorders>
              <w:top w:val="single" w:sz="8" w:color="0000EE"/>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302 of the Sarbanes-Oxley Act of 2002.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4020" w:type="dxa"/>
            <w:vAlign w:val="bottom"/>
            <w:tcBorders>
              <w:top w:val="single" w:sz="8" w:color="0000EE"/>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5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712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38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340" w:right="20" w:hanging="332"/>
        <w:spacing w:after="0" w:line="255"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Section 1350, and is not being filed for purposes of Section 18 of the Exchange Act of 1934, as amended, and is not to be incorporated by reference into any filings of the Company, whether made before or after the date hereof, regardless of any general incorporation language in such filing.</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Arial" w:cs="Arial" w:eastAsia="Arial" w:hAnsi="Arial"/>
                <w:sz w:val="18"/>
                <w:szCs w:val="18"/>
                <w:b w:val="1"/>
                <w:bCs w:val="1"/>
                <w:color w:val="auto"/>
              </w:rPr>
              <w:t>VENTOUX CCM ACQUISITION CORP.</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Date: June 22, 2021</w:t>
            </w:r>
          </w:p>
        </w:tc>
        <w:tc>
          <w:tcPr>
            <w:tcW w:w="3820" w:type="dxa"/>
            <w:vAlign w:val="bottom"/>
          </w:tcPr>
          <w:p>
            <w:pPr>
              <w:ind w:left="32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Scheetz</w:t>
            </w:r>
          </w:p>
        </w:tc>
      </w:tr>
      <w:tr>
        <w:trPr>
          <w:trHeight w:val="202"/>
        </w:trPr>
        <w:tc>
          <w:tcPr>
            <w:tcW w:w="3500" w:type="dxa"/>
            <w:vAlign w:val="bottom"/>
          </w:tcPr>
          <w:p>
            <w:pPr>
              <w:spacing w:after="0"/>
              <w:rPr>
                <w:sz w:val="17"/>
                <w:szCs w:val="17"/>
                <w:color w:val="auto"/>
              </w:rPr>
            </w:pPr>
          </w:p>
        </w:tc>
        <w:tc>
          <w:tcPr>
            <w:tcW w:w="3820" w:type="dxa"/>
            <w:vAlign w:val="bottom"/>
          </w:tcPr>
          <w:p>
            <w:pPr>
              <w:ind w:left="32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Scheetz</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9"/>
        </w:trPr>
        <w:tc>
          <w:tcPr>
            <w:tcW w:w="3500" w:type="dxa"/>
            <w:vAlign w:val="bottom"/>
          </w:tcPr>
          <w:p>
            <w:pPr>
              <w:spacing w:after="0"/>
              <w:rPr>
                <w:sz w:val="20"/>
                <w:szCs w:val="20"/>
                <w:color w:val="auto"/>
              </w:rPr>
            </w:pPr>
            <w:r>
              <w:rPr>
                <w:rFonts w:ascii="Arial" w:cs="Arial" w:eastAsia="Arial" w:hAnsi="Arial"/>
                <w:sz w:val="18"/>
                <w:szCs w:val="18"/>
                <w:color w:val="auto"/>
              </w:rPr>
              <w:t>Date: June 22, 2021</w:t>
            </w:r>
          </w:p>
        </w:tc>
        <w:tc>
          <w:tcPr>
            <w:tcW w:w="3820" w:type="dxa"/>
            <w:vAlign w:val="bottom"/>
          </w:tcPr>
          <w:p>
            <w:pPr>
              <w:ind w:left="32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MacDonald</w:t>
            </w:r>
          </w:p>
        </w:tc>
      </w:tr>
      <w:tr>
        <w:trPr>
          <w:trHeight w:val="202"/>
        </w:trPr>
        <w:tc>
          <w:tcPr>
            <w:tcW w:w="3500" w:type="dxa"/>
            <w:vAlign w:val="bottom"/>
          </w:tcPr>
          <w:p>
            <w:pPr>
              <w:spacing w:after="0"/>
              <w:rPr>
                <w:sz w:val="17"/>
                <w:szCs w:val="17"/>
                <w:color w:val="auto"/>
              </w:rPr>
            </w:pPr>
          </w:p>
        </w:tc>
        <w:tc>
          <w:tcPr>
            <w:tcW w:w="3820" w:type="dxa"/>
            <w:vAlign w:val="bottom"/>
          </w:tcPr>
          <w:p>
            <w:pPr>
              <w:ind w:left="32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Matthew MacDonald</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Accounting and Financial Officer)</w:t>
            </w:r>
          </w:p>
        </w:tc>
      </w:tr>
      <w:tr>
        <w:trPr>
          <w:trHeight w:val="547"/>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27</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Edward Scheetz,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Ventoux CCM Acquisition Corp.;</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Matthew MacDonald,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Ventoux CCM Acquisition Corp.;</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Ventoux CCM Acquisition Corp. (the “Company”) on Form 10-Q for the quarterly period ended March 31, 2021, as filed with the Securities and Exchange Commission (the “Report”), I, Edward Scheetz, Chief Executive Officer of the Company, certify, pursuant to 18 U.S.C. §1350, as adopted pursuant to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Edward Scheetz</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of Ventoux CCM Acquisition Corp. (the “Company”) on Form 10-Q for the quarterly period ended March 31, 2021, as filed with the Securities and Exchange Commission (the “Report”), I, Matthew MacDonald, Chief Financial Officer of the Company, certify, pursuant to 18 U.S.C. §1350, as adopted pursuant to §906 of the Sarbanes-Oxley Act of 2002, that:</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22,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Matthew MacDonald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Accounting and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lowerRoman"/>
      <w:start w:val="3"/>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2021-06-22T16:32:02Z</dcterms:created>
  <dcterms:modified xsi:type="dcterms:W3CDTF">2021-06-22T16:32:02Z</dcterms:modified>
</cp:coreProperties>
</file>