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May 16,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54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2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87"/>
        </w:trPr>
        <w:tc>
          <w:tcPr>
            <w:tcW w:w="3240" w:type="dxa"/>
            <w:vAlign w:val="bottom"/>
            <w:tcBorders>
              <w:top w:val="single" w:sz="8" w:color="auto"/>
            </w:tcBorders>
          </w:tcPr>
          <w:p>
            <w:pPr>
              <w:jc w:val="center"/>
              <w:ind w:left="45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ind w:right="101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2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240" w:type="dxa"/>
            <w:vAlign w:val="bottom"/>
          </w:tcPr>
          <w:p>
            <w:pPr>
              <w:spacing w:after="0"/>
              <w:rPr>
                <w:sz w:val="24"/>
                <w:szCs w:val="24"/>
                <w:color w:val="auto"/>
              </w:rPr>
            </w:pPr>
          </w:p>
        </w:tc>
        <w:tc>
          <w:tcPr>
            <w:tcW w:w="540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8"/>
        </w:trPr>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2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26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86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32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232"/>
        </w:trPr>
        <w:tc>
          <w:tcPr>
            <w:tcW w:w="3240" w:type="dxa"/>
            <w:vAlign w:val="bottom"/>
          </w:tcPr>
          <w:p>
            <w:pPr>
              <w:spacing w:after="0"/>
              <w:rPr>
                <w:sz w:val="20"/>
                <w:szCs w:val="20"/>
                <w:color w:val="auto"/>
              </w:rPr>
            </w:pPr>
          </w:p>
        </w:tc>
        <w:tc>
          <w:tcPr>
            <w:tcW w:w="54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16, 2024, the Company and Presto Automation LLC (the “Borrower”), the Company’s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 Credit Agreement, subject to the following agreements and conditions (the “Forbearance”):</w:t>
      </w:r>
    </w:p>
    <w:p>
      <w:pPr>
        <w:spacing w:after="0" w:line="16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raise $3,000,000 or more of working capital in this or another registered direct offering or private placement by May 22, 2024, with at least $2,500,000 received by May 15, 2024, the Agent and the Lenders agree to extend the Forbearance termination date to June 14, 2024;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raise additional working capital of $3,000,000 or more by June 7, 2024 in a registered direct offering or private placement (the “Second Capital Raise”), the Agent and the Lenders agree to extend the Forbearance termination date to July 15, 2024.</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in Connection with Sale of the Company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will receive no value and the shares will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together with our past, present and future successors, assigns, managers, members, officers, directors, agents, employees, professionals and other representatives (in their capacities as such and not in any other capacity), and entities affiliated with Remus Capital and Presto CA LLC (an affiliate of Cleveland Avenue, LLC) together with their respective past, present and future successors and assigns released the Agent and the Lenders from any claims related to our forbearance agreement, the Credit Agreement and any Loan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16, 2024, Presto Automation Inc. (the “Company” or “we”) issued to Remus Capital Series B II, L.P, an entity controlled by Krishna Gupta, a member of our Board of Directors, a subordinated convertible note in the principal amount of $1,500,000 (the “May Note”) in consideration for a cash investment of $1,500,000 from Remus Capital.</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May Note accrues monthly by increasing principal at a rate of 7.5% per annum. The interest rate shall increase to 12%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an event of default.</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May Note is convertible into 10,714,286 shares of common stock at the option of the holder at an initial conversion price of $0.14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May Note shall convert mandatorily into common stock at the then prevailing conversion price immediately prior to (a) a Restructuring Transaction, and (b) a Change of Control transaction with a financial investor (in each case, as such terms are defined in the May Note). For these purposes: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Conversion Cap</w:t>
      </w:r>
      <w:r>
        <w:rPr>
          <w:rFonts w:ascii="Times New Roman" w:cs="Times New Roman" w:eastAsia="Times New Roman" w:hAnsi="Times New Roman"/>
          <w:sz w:val="18"/>
          <w:szCs w:val="18"/>
          <w:color w:val="auto"/>
        </w:rPr>
        <w:t>. Pursuant to Nasdaq Listing Rule 5635(d), the total number of shares of common stock that can be issued upon conversion of the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is limited to 19.99% of the outstanding shares of the Company (the “Conversion Share Cap”) at the time of the conversion of the May Note. Absent the Conversion Share Cap, the total number of shares issuable under the May Note is 10,714,286.</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May Note is subject to the terms and conditions of the indebtedness (the “Senior Indebtedness”) outstanding under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additional provisions set forth in the May Note, including, without limitation, (i) the May Note is subordinated to the prior payment in cash in full of the Senior Indebtedness, and (ii) no principal or interest may be paid in cash on the May Note prior to the repayment in cash in full of the Senior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May Note holder (the “Registration Rights Agreement”) dated May 16, 2024. Under the Registration Rights Agreement, the Company will file a registration statement (“Registration Statement”) with the SEC within 90 days following the date of the Registration Rights Agreement for purposes of registering the resale of the shares of common stock issuable upon conversion of the May Note. The Company will also use commercially reasonable efforts to cause the SEC to declare the Registration Statement effective as promptly as possible after the filing of the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Resale Registration Statement have been sold by the holders publicly or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 of Secured Promissory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21, 2024, we issued to Presto CA LLC (“Presto CA”) a secured promissory note in the principal amount of $4,000,000 (the “Note”), pursuant to which Presto CA made two loans totaling an aggregate of $4.0 million to us. The first loan was made on March 21, 2024 in the amount of $2.0 million and the second loan was made on March 30, 2024 in the amount of $2.0 million (the “Loans”). The Loans were originally to be repaid no later than May 15, 2024.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Presto CA has agreed to extend the maturity of the Note to align with the termination of Forbearance as described above in exchange for an extension of the anti-dilution period in the purchase agreement, dated October 10, 2023 between the Company and Presto CA (as amended, the "CA Purchase Agreement") from September 30, 2024 to December 31, 2024 and a change in the anti-dilution trigger price in the CA Purchase Agreement from $0.25 to $0.14.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summaries of the May Note, the Registration Rights Agreement, the Cooperation Agreement, and the Extension do not purport to be complete and are subject to, and qualified in their entirety by, the full text of the applicable agreements filed as exhibits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w:t>
      </w:r>
    </w:p>
    <w:p>
      <w:pPr>
        <w:sectPr>
          <w:pgSz w:w="11900" w:h="16894" w:orient="portrait"/>
          <w:cols w:equalWidth="0" w:num="1">
            <w:col w:w="11240"/>
          </w:cols>
          <w:pgMar w:left="320" w:top="900" w:right="339" w:bottom="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Company disclaims any duty to update any forward-looking statements, all of which are expressly qualified by the statements in this section, to reflect events or circumstances after the date of this Form 8-K.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38"/>
        </w:trPr>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Subordinated Convertible Note, dated as of May 16, 2024</w:t>
            </w:r>
          </w:p>
        </w:tc>
      </w:tr>
      <w:tr>
        <w:trPr>
          <w:trHeight w:val="20"/>
        </w:trPr>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Cooperation Agreement, dated as of May 16, 2024, by and between Metropolitan Partners Group Administration, LLC, Presto CA LLC,</w:t>
            </w:r>
          </w:p>
        </w:tc>
      </w:tr>
      <w:tr>
        <w:trPr>
          <w:trHeight w:val="196"/>
        </w:trPr>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Presto Automation Inc., and Presto Automation LLC.</w:t>
            </w:r>
          </w:p>
        </w:tc>
        <w:tc>
          <w:tcPr>
            <w:tcW w:w="624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Amendment to Senior Secured Promissory Note, dated as of May 16, 2024, by and between Presto Automation LLC, Presto Automation</w:t>
            </w:r>
          </w:p>
        </w:tc>
      </w:tr>
      <w:tr>
        <w:trPr>
          <w:trHeight w:val="196"/>
        </w:trPr>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Inc., and Presto CA, LLC</w:t>
            </w: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 dated as of May 16, 2024</w:t>
            </w:r>
          </w:p>
        </w:tc>
        <w:tc>
          <w:tcPr>
            <w:tcW w:w="5940" w:type="dxa"/>
            <w:vAlign w:val="bottom"/>
          </w:tcPr>
          <w:p>
            <w:pPr>
              <w:spacing w:after="0"/>
              <w:rPr>
                <w:sz w:val="17"/>
                <w:szCs w:val="17"/>
                <w:color w:val="auto"/>
              </w:rPr>
            </w:pPr>
          </w:p>
        </w:tc>
      </w:tr>
    </w:tbl>
    <w:p>
      <w:pPr>
        <w:spacing w:after="0" w:line="9" w:lineRule="exact"/>
        <w:rPr>
          <w:sz w:val="20"/>
          <w:szCs w:val="20"/>
          <w:color w:val="auto"/>
        </w:rPr>
      </w:pPr>
    </w:p>
    <w:p>
      <w:pPr>
        <w:ind w:left="5580" w:right="442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Susan Shinoff</w:t>
            </w:r>
          </w:p>
        </w:tc>
      </w:tr>
      <w:tr>
        <w:trPr>
          <w:trHeight w:val="191"/>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Susan Shinoff</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Corporate Secretary</w:t>
            </w:r>
          </w:p>
        </w:tc>
      </w:tr>
      <w:tr>
        <w:trPr>
          <w:trHeight w:val="648"/>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THIS INSTRUMENT AND THE RIGHTS AND OBLIGATIONS EVIDENCED HEREBY ARE SUBORDINATE TO THE INDEFEASIBLE PAYMENT IN FULL AND SATISFACTION OF THE SENIOR INDEBTEDNESS OWED TO THE LENDERS AND THE ADMINISTRATIVE AGENT PURSUANT TO THE CREDIT AGREEMENT AND LOAN DOCUMENTS (EACH AS DEFINED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 ANY TRANSFEREE OF THIS NOTE SHOULD CAREFULLY REVIEW THE TERMS OF THIS NOTE. THE PRINCIPAL AMOUNT REPRESENTED BY THIS NOTE AND, ACCORDINGLY, THE SECURITIES ISSUABLE UPON CONVERSION HEREOF MAY BE LESS THAN THE AMOUNTS SET FORTH ON THE FACE HEREOF PURSUANT TO THE TERMS OF THIS NOTE.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7880" w:val="left"/>
        </w:tabs>
        <w:rPr>
          <w:sz w:val="20"/>
          <w:szCs w:val="20"/>
          <w:color w:val="auto"/>
        </w:rPr>
      </w:pPr>
      <w:r>
        <w:rPr>
          <w:rFonts w:ascii="Times New Roman" w:cs="Times New Roman" w:eastAsia="Times New Roman" w:hAnsi="Times New Roman"/>
          <w:sz w:val="18"/>
          <w:szCs w:val="18"/>
          <w:color w:val="auto"/>
        </w:rPr>
        <w:t>Issuance Date: May 16, 2024</w:t>
      </w:r>
      <w:r>
        <w:rPr>
          <w:sz w:val="20"/>
          <w:szCs w:val="20"/>
          <w:color w:val="auto"/>
        </w:rPr>
        <w:tab/>
      </w:r>
      <w:r>
        <w:rPr>
          <w:rFonts w:ascii="Times New Roman" w:cs="Times New Roman" w:eastAsia="Times New Roman" w:hAnsi="Times New Roman"/>
          <w:sz w:val="18"/>
          <w:szCs w:val="18"/>
          <w:color w:val="auto"/>
        </w:rPr>
        <w:t>Original Principal Amount: U.S. 1,500,000.00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FOR VALUE RECEIVED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Remus Capital Series B II, L.P.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and as increased by the amount of PIK Interest (as defined below) added to the principal amount of this Subordinated Convertible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to the extent separated into more than one Note,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accordance with Section 2(a),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as provided herein until the same becomes due and payable, whether upon the Maturity Date, or upon acceleration, conversion, redemption or otherwise (in each case in accordance with the terms hereof). Certain capitalized terms used herein are defined in Section 27.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PAYMENTS OF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On the Maturity Date, the Company shall pay to the Holder an amount in cash representing all outstanding Principal, accrued and unpaid Interest and accrued and unpaid Late Charges (as defined below) on such Principal and Interest. The Company may not prepay any portion of the outstanding Principal, accrued and unpaid Interest or accrued and unpaid Late Charges on Principal and Interest, if any. Notwithstanding anything herein to the contrary, with respect to any redemption hereunder, as applicable, the Company shall repay or redeem, as applicable,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accrued and unpaid Interest hereunder and under any other Notes held by such Holder,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all accrued and unpaid Late Charges on any Principal and Interest hereunder and under any other Notes held by such Holder,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all other amounts (other than Principal) outstanding under any other Notes held by such Holder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all Principal outstanding hereunder and under any other Notes held by such Holder, in each case, allocated pro rata among this Note and such other Notes held by such Holder.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INTEREST;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PIK Interest on the Principal of this Note shall commence accruing on the Issuance Date at the PIK Interest Rate and shall be computed on the basis of a 360-day year and the actual number of days elapsed, and shall be payable in arrears on each Interest Date (with the first Interest Date being June 1, 2024) to the record holder of this Note. However, PIK Interest shall not be paid in cash on each Interest Date, but instead shall be automatically capitalized on a monthly basis as of such Interest Date and added to the unpaid and outstanding Principal of this Note.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PIK Interest on Event of Default</w:t>
      </w:r>
      <w:r>
        <w:rPr>
          <w:rFonts w:ascii="Times New Roman" w:cs="Times New Roman" w:eastAsia="Times New Roman" w:hAnsi="Times New Roman"/>
          <w:sz w:val="18"/>
          <w:szCs w:val="18"/>
          <w:color w:val="auto"/>
        </w:rPr>
        <w:t>. From and after the occurrence and during the continuance of any Event of Default, the PIK Interest Rate shall automatically be increased to 12% per annum. In the event that such Event of Default is subsequently cured, the adjustment referred to in the preceding sentence shall cease to be effective as of the calendar day immediately following the date of such cure.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CONVERSION OF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At any time after the Issuance Date, this Note shall be convertible, at any time and from time to time, at the option of the Holder, into validly issued, fully paid and non-assessable shares of Common Stock (as defined below), on the terms and conditions set forth in this Section 3.  </w:t>
      </w:r>
    </w:p>
    <w:p>
      <w:pPr>
        <w:spacing w:after="0" w:line="200"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At any time or times on or after the Issuance Date, the Holder shall be entitled, at its option,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(x) portion of the Principal to be converted, redeemed or otherwise with respect to which this determination is being made and (y) all accrued and unpaid Interest with respect to such portion of the Principal amount and accrued and unpaid Late Charges with respect to such portion of such Principal and such Interest, if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$0.14, subject to adjustment as provided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Mechanics of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Voluntary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Holder shall deliver via electronic mail, for receipt on or prior to 6:00 p.m., New York time, on such date, a copy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notice of conversion in the form attached hereto as Exhibit 1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Company. If required by Section 3(c)(iii), within two (2) Trading Days following a conversion of this Note as aforesaid, the Holder shall surrender this Note (or an indemnification undertaking with respect to this Note in the case of its loss, theft or destruction as contemplated by Section 16(b)) to a nationally recognized overnight delivery service for delivery to the Company. On or before the first (1st) Trading Day following the date of receipt of a Conversion Notice, the Company shall transmit to the Holder and the Transfer Agent by electronic mail an acknowledgment, in the form attached hereto as Exhibit 2, confirming receipt of such Conversion Notice and representing as to whether such shares of Common Stock may then be resold pursuant to Rule 144 or an effective and available registration statement, which acknowledgment shall constitute an instruction to the Transfer Agent to process such Conversion Notice in accordance with the terms herein. On or before the second (2nd)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(1) provided that the Transfer Agent is participating in the DTC Fast Automated Securities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and the shares of Common Stock to be issued are then covered by an effective, usable resale registration statement or may otherwise be resold under Rule 144 and, in each case, the Holder has confirmed that it proposes to promptly sell such shares of Common Stock,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the DTC Fast Automated Securities Transfer Program or the shares of Common Stock that are to be issued are not covered by an effective, usable resale registration statement and may not be resold under Rule 144, or the Holder has not confirmed that it proposes to promptly sell such shares of Common Stock, upon the request of the Holder, issue and deliver (via reputable overnight courier) to the address specified in the Conversion Notice, a certificate, registered in the name of the Holder or its designee, for the number of shares of Common Stock to which the Holder shall be entitled pursuant to such conversion containing a restrictive legend under the Securities Act.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16(d))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registration rights agreement, after the effective date of the Registration Statement (as defined in the applicable registration rights agreement), the Company shall cause the Transfer Agent to deliver unlegended shares of Common Stock to the Holder (or its designee) in connection with any sale of Registrable Securities (as defined in the registration rights agreement) that the Holder has confirmed that it proposes to promptly sell, and delivered a copy of the prospectus included as part of the particular Registration Statement to the extent applicable, and for which the Holder has not yet settled.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556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 The outstanding Conversion Amount shall be mandatorily converted into shares of Common Stock immediately prior to the consummation of a Change of Control that is not a Strategic Change of Control. The provisions of Section 3(c)(iv) shall apply mutatis mutandis in order to effect such conversion.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16,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3</w:t>
            </w:r>
          </w:p>
        </w:tc>
        <w:tc>
          <w:tcPr>
            <w:tcW w:w="2820" w:type="dxa"/>
            <w:vAlign w:val="bottom"/>
          </w:tcPr>
          <w:p>
            <w:pPr>
              <w:ind w:left="278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RIGHTS UPON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Event of Default.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 (ix)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            the failure of the applicable Registration Statement to be filed with the SEC on or prior to the Filing Date or the failure of the applicable Registration Statement to be declared effective by the SEC on or prior to the Effectiveness Date (as defined in the registration rights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20 consecutive Trading Days or for more than an aggregate of 40 Trading Days in any 365-day period; provided, however, that the foregoing shall not apply in the case of a suspension permitted pursuant to Section 3(j) of the registration rights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65" w:lineRule="auto"/>
        <w:rPr>
          <w:sz w:val="20"/>
          <w:szCs w:val="20"/>
          <w:color w:val="auto"/>
        </w:rPr>
      </w:pPr>
      <w:r>
        <w:rPr>
          <w:rFonts w:ascii="Times New Roman" w:cs="Times New Roman" w:eastAsia="Times New Roman" w:hAnsi="Times New Roman"/>
          <w:sz w:val="17"/>
          <w:szCs w:val="17"/>
          <w:color w:val="auto"/>
        </w:rPr>
        <w:t>(iv)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            the Holder’s Authorized Share Allocation (as defined in Section 8 below) is less than the number of shares of Common Stock that the Holder would be entitled to receive upon a conversion of the full Conversion Amount of this Note for more than ten (10) consecutive days;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(vi)            Company’s or any Subsidiary’s failure to pay to the Holder any amount of Principal, Interest, Late Charges or other amounts when and as due under this Note (including, without limitation, the Company’s or any Subsidiary’s failure to pay any redemption payments or amounts 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(viii)            the occurrence of any default (after lapse of any applicable cure periods) under, redemption of or acceleration prior to maturity of at least an aggregate of $500,000 of indebtedness of the Company or any of its Subsidiaries, but only if such failure remains uncured for the applicable grace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(ix)            (A) the Company commences any case, proceeding or other action (1) under the Bankruptcy Code or similar debtor relief laws of the United States or other applicable jurisdiction seeking to have an order for relief entered with respect to it, or seeking to adjudicate it as bankrupt or insolvent, or seeking reorganization, arrangement, adjustment, winding up, liquidation, dissolution, composition or other relief with respect to it or its debts, or (2) seeking appointment of a receiver, trustee, custodian, conservator, judicial manager or other similar official for it or for all or any substantial part of its assets, or the Company makes a general assignment for the benefit of its creditors; (B) there is, commenced against the Company, any case, proceeding or other action of a nature referred to in clause (A) above that results in the entry of an order for relief or any such adjudication or appointment or remains undismissed, undischarged or unbonded for a period of 60 days; (C) there is, commenced against the Company,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(D) the Company takes any action in furtherance of, or indicating its consent to, approval of, or acquiescence in, any of the acts set forth in clause (A), (B), or (C) above; or (E) the Company is, or is be unable to, or admits in writing its inability to, pay its debts as they become due;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4</w:t>
            </w:r>
          </w:p>
        </w:tc>
        <w:tc>
          <w:tcPr>
            <w:tcW w:w="2820" w:type="dxa"/>
            <w:vAlign w:val="bottom"/>
          </w:tcPr>
          <w:p>
            <w:pPr>
              <w:ind w:left="278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            there is entered against the Company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30 days from the entry thereof;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10 days;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(xii)            any provision of any Transaction Document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but only if such provision remains invalid or unenforceable for a period of at least 10 days.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an Event of Default; Redemption Right</w:t>
      </w:r>
      <w:r>
        <w:rPr>
          <w:rFonts w:ascii="Times New Roman" w:cs="Times New Roman" w:eastAsia="Times New Roman" w:hAnsi="Times New Roman"/>
          <w:sz w:val="18"/>
          <w:szCs w:val="18"/>
          <w:color w:val="auto"/>
        </w:rPr>
        <w:t>. Upon obtaining knowledge of the occurrence of an Event of Default with respect to this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sum of the Conversion Amount to be redeemed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9.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5</w:t>
            </w:r>
          </w:p>
        </w:tc>
        <w:tc>
          <w:tcPr>
            <w:tcW w:w="2820" w:type="dxa"/>
            <w:vAlign w:val="bottom"/>
          </w:tcPr>
          <w:p>
            <w:pPr>
              <w:ind w:left="278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all outstanding Principal, accrued and unpaid Interest, and accrued and unpaid Late Charges on such Principal and Interest, in addition to any and all other amounts due hereunder,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Subordination</w:t>
      </w:r>
      <w:r>
        <w:rPr>
          <w:rFonts w:ascii="Times New Roman" w:cs="Times New Roman" w:eastAsia="Times New Roman" w:hAnsi="Times New Roman"/>
          <w:sz w:val="18"/>
          <w:szCs w:val="18"/>
          <w:color w:val="auto"/>
        </w:rPr>
        <w:t xml:space="preserve">. Until such time as the Senior Indebtedness has been paid in full, in cash, all of the Holder’s rights under this Section 4 are and shall remain subject to the terms and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RIGHTS UPON ISSUANCE OF PURCHASE RIGHTS AND OTHER CORPORATE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6 and 16 below, if at any time (other than in connection with a Restructuring Transaction) the Company grants, issues or sells any Options, Convertible Securities or rights to purchase stock, warrants, securities or other property pro rata to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Strategic Change of Control; Other Corporate Events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            No sooner than twenty (20) Trading Days nor later than ten (10) Trading Days prior to the consummation of a Strategic Change of Control, but not prior to the public announcement of such Change of Control, the Company shall deliver written notice to the Holder. The Company shall not enter into or be party to a Strategic Change of Control unless (i) the Successor Entity assumes in writing all of the obligations of the Company under this Note and the other Transaction Documents in accordance with the provisions of this Section 5(b)(i) pursuant to written agreements in form and substance satisfactory to the Holder and approved by the Holder prior to such Strategic Change of Control,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(assuming that the Successor Entity (or its Parent Entity) is a publicly traded corporation whose common stock is quoted on or listed for trading on an Eligible Market) and having similar ranking and security to the Notes, and satisfactory to the Holder. Upon the occurrence of any Strategic Change of Control, the Successor Entity shall succeed to, and be substituted for (so that from and after the date of such Strategic Change of Control,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Strategic Change of Control, the Successor Entity shall deliver to the Holder confirmation that there shall be issued upon conversion or redemption of this Note at any time after the consummation of such Strategic Change of Control (assuming that the Successor Entity (or its Parent Entity) is a publicly traded corporation whose common stock is quoted on or listed for trading on an Eligible Market), in lieu of the shares of Common Stock (or other securities, cash, assets or other property (except such items still issuable under Sections 5 and 16, which shall continue to be receivable thereafter)) issuable upon the conversion or redemption of the Notes prior to such Strategic Change of Control, such shares of the publicly traded common stock (or their equivalent) of the Successor Entity (including its Parent Entity) which the Holder would have been entitled to receive upon the happening of such Strategic Change of Control had this Note been converted immediately prior to such Strategic Change of Control (without regard to any limitations on the conversion of this Note), as adjusted in accordance with the provisions of this Note. Notwithstanding the foregoing, the Holder may elect, at their sole option, by delivery of written notice to the Company to waive this Section 5(b)(i) to permit the Strategic Change of Control without the assumption of this Note. The provisions of this Section 5 shall apply similarly and equally to successive Strategic Changes of Control and shall be applied without regard to any limitations on the conversion of this Note.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6</w:t>
            </w:r>
          </w:p>
        </w:tc>
        <w:tc>
          <w:tcPr>
            <w:tcW w:w="2820" w:type="dxa"/>
            <w:vAlign w:val="bottom"/>
          </w:tcPr>
          <w:p>
            <w:pPr>
              <w:ind w:left="278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65" w:lineRule="auto"/>
        <w:rPr>
          <w:sz w:val="20"/>
          <w:szCs w:val="20"/>
          <w:color w:val="auto"/>
        </w:rPr>
      </w:pPr>
      <w:r>
        <w:rPr>
          <w:rFonts w:ascii="Times New Roman" w:cs="Times New Roman" w:eastAsia="Times New Roman" w:hAnsi="Times New Roman"/>
          <w:sz w:val="17"/>
          <w:szCs w:val="17"/>
          <w:color w:val="auto"/>
        </w:rPr>
        <w:t>(c)            In addition to and not in substitution for any other rights hereunder, prior to the consummation of any Strategic Change of Control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7"/>
          <w:szCs w:val="17"/>
          <w:b w:val="1"/>
          <w:bCs w:val="1"/>
          <w:color w:val="auto"/>
        </w:rPr>
        <w:t>Corporate Event</w:t>
      </w:r>
      <w:r>
        <w:rPr>
          <w:rFonts w:ascii="Times New Roman" w:cs="Times New Roman" w:eastAsia="Times New Roman" w:hAnsi="Times New Roman"/>
          <w:sz w:val="17"/>
          <w:szCs w:val="17"/>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5 shall apply similarly and equally to successive Corporate Events and shall be applied without regard to any limitations on the conversion or redemption of this Note.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            RIGHTS UPON ISSUANCE OF OTHER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of Conversion Price upon Subdivision or Combination of Common Stock</w:t>
      </w:r>
      <w:r>
        <w:rPr>
          <w:rFonts w:ascii="Times New Roman" w:cs="Times New Roman" w:eastAsia="Times New Roman" w:hAnsi="Times New Roman"/>
          <w:sz w:val="18"/>
          <w:szCs w:val="18"/>
          <w:color w:val="auto"/>
        </w:rPr>
        <w:t>. Without limiting any provision of Section 4(c), if the Company at any time on or after the date hereof subdivides (by any stock split, stock dividend, stock combination, recapitalization or other similar transaction (in each case, other than in connection with a Restructuring Transaction)) one or more classes of its outstanding shares of Common Stock into a greater number of shares, the Conversion Price in effect immediately prior to such subdivision will be proportionately reduced. Without limiting any provision of Section 5 or Section 16, if the Company at any time on or after the date hereof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6(a) shall become effective immediately after the effective date of such subdivision or combination. If any event requiring an adjustment under this Section 6(a) occurs during the period that a Conversion Price is calculated hereunder, then the calculation of such Conversion Price shall be adjusted appropriately to reflect such event.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6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The Company may at any time during the term of this Note, with the prior written consent of the Holder, reduce the then current Conversion Price of each of the Notes to any amount and for any period of time deemed appropriate by the board of directors of the Company, with the prior written consent of the Administrative Agent, in its sole discretion.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            NONCIRCUMVENTION.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w:t>
      </w:r>
    </w:p>
    <w:p>
      <w:pPr>
        <w:spacing w:after="0" w:line="200" w:lineRule="exact"/>
        <w:rPr>
          <w:sz w:val="20"/>
          <w:szCs w:val="20"/>
          <w:color w:val="auto"/>
        </w:rPr>
      </w:pPr>
    </w:p>
    <w:p>
      <w:pPr>
        <w:spacing w:after="0" w:line="204" w:lineRule="exact"/>
        <w:rPr>
          <w:sz w:val="20"/>
          <w:szCs w:val="20"/>
          <w:color w:val="auto"/>
        </w:rPr>
      </w:pPr>
    </w:p>
    <w:p>
      <w:pPr>
        <w:spacing w:after="0"/>
        <w:tabs>
          <w:tab w:leader="none" w:pos="556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RESERVATION OF AUTHORIZED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So long as any Notes remain outstanding, the Company shall at all times reserve at least 100% of the maximum number of shares of Common Stock as shall from time to time be necessary to effect the conversion, of all of the Notes then outstanding (without regard to any limitations on conversions and assuming such Notes remain outstanding until the Maturity Date) (assuming for purposes of this Section 8 (i) that (x) interest on the Notes shall accrue through the Maturity Date and (y) any such conversion shall not take into account any limitations on the conversion of the Notes set forth in the Notes)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shall be allocated pro rata among the holders of the Notes based on the original principal amount of the Notes held by each holder on the Closing Date or increase in the number of reserved shares, as the case may be (the “</w:t>
      </w:r>
      <w:r>
        <w:rPr>
          <w:rFonts w:ascii="Times New Roman" w:cs="Times New Roman" w:eastAsia="Times New Roman" w:hAnsi="Times New Roman"/>
          <w:sz w:val="18"/>
          <w:szCs w:val="18"/>
          <w:b w:val="1"/>
          <w:bCs w:val="1"/>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holder’s Authorized Share Allocation. Any shares of Common Stock reserved and allocated to any Person which ceases to hold any Notes shall be allocated to the remaining holders of Notes, pro rata based on the principal amount of the Notes then held by such holders.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EVENT OF DEFAULT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Section 11, if the Holder delivers an Event of Default Redemption Notice, the Company shall deliver the Event of Default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the Holder in cash within five (5) Business Days after the Company’s receipt of the Holder’s Event of Default Redemption Notice. If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delivered a notice to the Holder, and solely to the extent that such payment would be expressly permitted pursuant to Section 11, the Company shall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amounts due and payable hereunder and under the other Transaction Documents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Notwithstanding anything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contrary, in connection with any redemption hereunder at a time the Holder is entitled to receive a cash payment under any of the other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at the option of the Holder delivered in writing to the Company, the applicable Event of Default Redemption Price hereunder shall be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amount of such cash payment owed to the Holder under such other Transaction Document and, upon payment in full or conversion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herewith, shall satisfy the Company’s payment obligation under such other Transaction Document. In the event of a redemption of less than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Amount of this Note, the Company shall promptly cause to be issued and delivered to the Holder a new Note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16(d)) representing the outstanding Principal which has not been redeemed. In the event that the Company does not pay the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to the Holder within the time period required, at any time thereafter and until the Company pays such unpaid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in full, the Holder shall have the option, in lieu of redemption, to require the Company to promptly return to the Holder all or any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Note representing the Conversion Amount that was submitted for redemption and for which the Event of Default Redemption Price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Late Charges thereon) has not been paid. Upon the Company’s receipt of such notice, the Event of Default Redemption Notice shall be null and void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Conversion Amount. The Holder’s delivery of an Event of Default Redemption Notice and exercise of its rights following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affect the Company’s obligations to make any payments of Late Charges which have accrued prior to the date of such notice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Amount subject to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VOTING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shall have no voting rights as the holder of this Note, except as required by law (including, without limitation, the Delaware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Law) and as expressly provided in this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SUBORDINATION.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Notwithstanding anything in this Note to the contrary, the Company and the Holder (by its acceptance hereof) acknowledge and agree that this Note and the rights of the Holder hereunder are subject to, and limited by, the terms and conditions of (1) the Senior Indebtedness, and (2) this Section 11. If requested by any existing or new Lender, the Holder will enter into a subordination agreement with such Lender on terms similar to those contained in this Section 11.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Note Subordinated to Existing Debt</w:t>
      </w:r>
      <w:r>
        <w:rPr>
          <w:rFonts w:ascii="Times New Roman" w:cs="Times New Roman" w:eastAsia="Times New Roman" w:hAnsi="Times New Roman"/>
          <w:sz w:val="18"/>
          <w:szCs w:val="18"/>
          <w:color w:val="auto"/>
        </w:rPr>
        <w:t xml:space="preserve">. The principal of and interest on this Note and all other amounts payable with respect hereto are expressly subordinated to the prior payment in full, in cash of the Senior Indebtedness and the termination of all commitments to lend under the Loan Documents; provided, that notwithstanding the foregoing, the Holder will be able to receive and retain Common Stock upon a conversion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556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No Payment on Note in Certain Circumstances</w:t>
      </w:r>
      <w:r>
        <w:rPr>
          <w:rFonts w:ascii="Times New Roman" w:cs="Times New Roman" w:eastAsia="Times New Roman" w:hAnsi="Times New Roman"/>
          <w:sz w:val="18"/>
          <w:szCs w:val="18"/>
          <w:color w:val="auto"/>
        </w:rPr>
        <w:t>. Until the Senior Indebtedness has been paid in full, in cash, no payment on account of principal of, or interest on, this Note, or any other amounts payable with respect hereto, whether by acceleration, redemption, exchange, prepayment or otherwise (and whether in the form of cash, securities or otherwise), shall be made, either directly or indirectly, by the Company, and Holder shall not be entitled to receive such payment, other than the receipt of Common Stock upon a conversion in accordance with Section 3. Prior to the payment in full, in cash, of the Senior Indebtedness, the Holder shall not enforce or seek to enforce any rights and remedies in respect of this Note (other than conversion to Common Stock in accordance with Section 3), including, without limitation, by accelerating the amounts due hereunder, bringing any judicial or nonjudicial action to recover payments on this Note, seeking or requesting payment of this Note, or exercising or seeking to exercise any right of redemption hereunder.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Insolvency, Bankruptcy, Liquidation and Reorganization</w:t>
      </w:r>
      <w:r>
        <w:rPr>
          <w:rFonts w:ascii="Times New Roman" w:cs="Times New Roman" w:eastAsia="Times New Roman" w:hAnsi="Times New Roman"/>
          <w:sz w:val="18"/>
          <w:szCs w:val="18"/>
          <w:color w:val="auto"/>
        </w:rPr>
        <w:t>. In the event of any voluntary or involuntary insolvency, bankruptcy, liquidation, reorganization or other similar proceeding involving the Company (each, an “</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all Senior Indebtedness shall first be paid in full, in cash before any payment or any distribution of any kind or character is made by the Company in respect of this Note.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(A)            The Holder irrevocably authorizes and empowers (but without imposing any obligation on) the Administrative Agent and any trustee in bankruptcy, receiver or assignee for the benefit of creditors of the Company, in any Insolvency Proceeding, on the Holder’s behalf, to (1) file any claim, proof of claim or such other instrument of similar character not otherwise filed and (2) vote such Holder’s interest in any proceeding under applicable insolvency laws as such vote relates to any Subordinated Debt. In the event that the Administrative Agent votes any claim in accordance with the authority hereby, the Holder shall not be entitled to change, withdraw or challenge any such vote. This authorization and appointment is irrevocable and coupled with an interest. The Holder recognizes that, to the extent permitted by law, this authorization and appointment shall continue in full force and effect, notwithstanding any time limitations set forth in the operating agreement or organizational documents of the Holder or applicable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(B)            Holder shall not assert, without Administrative Agent’s prior written consent, any claim, motion, objection or argument in connection with any liquidation or insolvency proceeding, except for necessary responsive or defensive pleadings required to protect Holder’s interest in this Note. Holder agrees that it will consent to, and not object to or oppose any use of cash collateral consented to by Administrative Agent or any financing provided by Administrative Agent or any Lender to the Company or any of its subsidiaries or affiliates (or any financing provided by any other Person consented to by Administrative Agent) (collectively, “</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on such terms and conditions as Administrative Agent may determine in its sole discretion. Without the prior written consent of Administrative Agent, Holder agrees that it will not, and will not permit, any of its affiliates to, (i) directly or indirectly provide, participate in or otherwise support, any financing in an Insolvency Proceeding to any Obligor or (ii) seek or accept any lien on or security interest in any Collateral (or any assets which would be Collateral but for the operation of the Bankruptcy Code) that would be senior to or pari passu with any liens or security interests securing the Senior Indebtedness or any DIP Financing. Holder agrees that it will not join or seek to join any creditors’ committee or other official committee in any Insolvency Proceeding.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(C)            Holder agrees that it will consent to, and not object to or oppose, a sale or other disposition (or related sale or disposition procedures) of any property securing any of the Senior Indebtedness in any Insolvency Proceeding, if Administrative Agent has consented to such sale or other disposition (or sale or disposition procedures).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(D)            Holder agrees that it will consent to, vote in favor of, and not object to or oppose, any plan of reorganization or liquidation, or any other scheme, arrangement or proposal in any Insolvency Proceeding which is supported or consented to by the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(E)            Following payment in full of the Senior Indebtedness, should any payment upon the Senior Indebtedness be rescinded thereafter as a voidable preference, or otherwise by operation of law, upon the insolvency, bankruptcy or reorganization of the Company, all of the rights of the holders of the Senior Indebtedness previously extinguished by full payment of the Senior Indebtedness shall be automatically reinstated, and all rights and benefits hereunder shall be retroactively implemented in favor of the holders of the Senior Indebtedness, all as if the payment had never been made to or received by the holders of the Senior Indebtedness.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9</w:t>
            </w:r>
          </w:p>
        </w:tc>
        <w:tc>
          <w:tcPr>
            <w:tcW w:w="2820" w:type="dxa"/>
            <w:vAlign w:val="bottom"/>
          </w:tcPr>
          <w:p>
            <w:pPr>
              <w:ind w:left="278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Return of Certain Payments</w:t>
      </w:r>
      <w:r>
        <w:rPr>
          <w:rFonts w:ascii="Times New Roman" w:cs="Times New Roman" w:eastAsia="Times New Roman" w:hAnsi="Times New Roman"/>
          <w:sz w:val="18"/>
          <w:szCs w:val="18"/>
          <w:color w:val="auto"/>
        </w:rPr>
        <w:t>. In the event that the Holder of this Note receives any payment in respect of this Note in violation of these subordination provisions, such payment shall be held by the Holder in trust for the benefit of, and shall, forthwith upon receipt thereof, be paid over and delivered to the Administrative Agent to the extent necessary to pay the Senior Indebtedness in full in cash.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Payments in Kind</w:t>
      </w:r>
      <w:r>
        <w:rPr>
          <w:rFonts w:ascii="Times New Roman" w:cs="Times New Roman" w:eastAsia="Times New Roman" w:hAnsi="Times New Roman"/>
          <w:sz w:val="18"/>
          <w:szCs w:val="18"/>
          <w:color w:val="auto"/>
        </w:rPr>
        <w:t>. Notwithstanding anything to the contrary in the foregoing, the Company shall not be prohibited from making, and the Holder shall not be prohibited from receiving, any payments in kind to the extent set forth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Mandatory and Elective Conversion of Note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In the event of any Restructuring Transaction consented to by the Administrative Agent (and regardless of whether such Restructuring Transaction would otherwise result in a mandatory conversion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but for this Section 11(a)(vi)), the Holder shall be deemed to have consented to such Restructuring Transaction, and all of the outstanding obligations hereunder shall be mandatorily converted into Common Stock as if such conversion were a mandatory conversion of the Note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such conversion shall occur simultaneously with (but immediately prior to) the closing of the applicable Restructuring Transaction. The Holder and the Company shall promptly execute and deliver to the Administrative Agent all documents necessary or reasonably requested by the Administrative Agent to effectuate the foregoing conversion.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(B)            In furtherance of the foregoing, the Holder hereby irrevocably appoints the Administrative Agent as its attorney-in-fact, with full authority in the place and stead of the Holder and in the name of the Holder, to execute and deliver any document or instrument that the Holder may be required to deliver pursuant to this Section 11(a)(vi) in order to effectuate the foregoing conversion and cause such a conversion, such power of attorney being coupled with an interest and irrevocable until the Senior Indebtedness is paid in full, in cash.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960" w:right="20" w:firstLine="648"/>
        <w:spacing w:after="0" w:line="250" w:lineRule="auto"/>
        <w:rPr>
          <w:sz w:val="20"/>
          <w:szCs w:val="20"/>
          <w:color w:val="auto"/>
        </w:rPr>
      </w:pPr>
      <w:r>
        <w:rPr>
          <w:rFonts w:ascii="Times New Roman" w:cs="Times New Roman" w:eastAsia="Times New Roman" w:hAnsi="Times New Roman"/>
          <w:sz w:val="18"/>
          <w:szCs w:val="18"/>
          <w:color w:val="auto"/>
        </w:rPr>
        <w:t>(C)            The Company acknowledges and agrees that it shall take any and all action required to cause the mandatory conversion of this Note upon the occurrence of the conditions set forth in this Section 11(a)(vi).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The subordination provisions of this Note are for the benefit of the holders of the Senior Indebtedness and their successors and assigns and they may enforce such provisions directly against the Holder of this Note in accordance with the terms hereof. No right of any present or future holder of any Senior Indebtedness to enforce subordination as provided herein shall at any time in any way be prejudiced or impaired by any act or omission of the Company or any such holder, unless the holder has expressly waived its rights in writing. The holders of the Senior Indebtedness may, without impairing or releasing the Company or the Holder of this Note from any obligation hereunder, take any and all actions with respect to the Senior Indebtedness, including, without limitation, to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Senior Indebtedness; and (iv) exercise or refrain from exercising any rights against the Company and any other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to Effect Subordination</w:t>
      </w:r>
      <w:r>
        <w:rPr>
          <w:rFonts w:ascii="Times New Roman" w:cs="Times New Roman" w:eastAsia="Times New Roman" w:hAnsi="Times New Roman"/>
          <w:sz w:val="18"/>
          <w:szCs w:val="18"/>
          <w:color w:val="auto"/>
        </w:rPr>
        <w:t xml:space="preserve">. The Holder, by its acceptance hereof, solely in its capacity as obligee with respect to Subordinated Debt irrevocably authorizes and empowers (but without imposing any obligation on) the Administrative Agent (through its authorized representatives), on behalf of itself and the Lenders, to demand, sue for, collect and receive such Holder’s ratable share of payments or distributions with respect to Subordinated Debt and take all such other action, in the name of such Holder or otherwise, as such Administrative Agent or authorized representatives may determine to be necessary or appropriate for the enforcement of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10</w:t>
            </w:r>
          </w:p>
        </w:tc>
        <w:tc>
          <w:tcPr>
            <w:tcW w:w="2800" w:type="dxa"/>
            <w:vAlign w:val="bottom"/>
          </w:tcPr>
          <w:p>
            <w:pPr>
              <w:ind w:left="276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Amendments and Modifications to Note</w:t>
      </w:r>
      <w:r>
        <w:rPr>
          <w:rFonts w:ascii="Times New Roman" w:cs="Times New Roman" w:eastAsia="Times New Roman" w:hAnsi="Times New Roman"/>
          <w:sz w:val="18"/>
          <w:szCs w:val="18"/>
          <w:color w:val="auto"/>
        </w:rPr>
        <w:t xml:space="preserve">. Under no circumstance shall the Company or the Holder amend or modify, or permit the amendment or modification of, any provision of this Note in any way adverse to the interests of the Administrative Agent and the Lenders, including, without limitation, any amendments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hereof (or any constituent definitions), or otherwise affecting the same or similar substance of such provisions, each of which shall be deemed to be adverse to the Administrative Agent and the Lenders. The Administrative Agent and the Lenders are intended to be, and shall be, express third party beneficiaries of the terms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Note and may enforce the provisions of Section 11 of this Note directly against the Company and/or any 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Amendments and Modifications to Senior Indebtedness</w:t>
      </w:r>
      <w:r>
        <w:rPr>
          <w:rFonts w:ascii="Times New Roman" w:cs="Times New Roman" w:eastAsia="Times New Roman" w:hAnsi="Times New Roman"/>
          <w:sz w:val="18"/>
          <w:szCs w:val="18"/>
          <w:color w:val="auto"/>
        </w:rPr>
        <w:t>. The Holder agrees that the Company, the Administrative Agent and the Lenders shall have absolute power and discretion, without notice to the Holder, to deal in any manner with the Senior Indebtedness and the related collateral, including, without limitation, the power and discretion to effect any amendment, modification, supplement, restatement, refinancing, renewal, refund, extension or termination of any Senior Indebtedness.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Security for Subordinated Debt</w:t>
      </w:r>
      <w:r>
        <w:rPr>
          <w:rFonts w:ascii="Times New Roman" w:cs="Times New Roman" w:eastAsia="Times New Roman" w:hAnsi="Times New Roman"/>
          <w:sz w:val="18"/>
          <w:szCs w:val="18"/>
          <w:color w:val="auto"/>
        </w:rPr>
        <w:t xml:space="preserve">. Except with the prior written consent of the Administrative Agent and the Lenders, in no event shall the Holder take, accept or receive (and the Company shall not, nor permit any of its Subsidiaries or any other Person to grant to the Holder) any lien or security interest on any asset of Company or its Subsidiaries or any other collateral, guaranty, credit support or security for the Subordinated Debt. In the event in violation of the previous sentence the Holder is granted a security interest or lien on any asset of the Company or any of its Subsidiaries or any guaranty or credit support from the Company or any of its Subsidiaries or any other Person, the Holder does hereby expressly immediately and automatically (without further action of any Person) release such security interest, lien, guaranty or credit support, and the Holder and the Company shall immediately take all actions necessary or desirable to confirm and/or effectuate such release. The Administrative Agent may, in its sole discretion, take all steps necessary or desirable to confirm and/or effectuate the release any such lien, security interest, guaranty or credit support without any further action by or consent of any party, and the Holder and the Company expressly consent to and authorize any such action. In furtherance of the foregoing the Company and the Holder each hereby irrevocably appoint the Administrative Agent as its attorney-in-fact, with full authority in the place and stead of the Company and the Holder, as applicable, and in the name of the Company or the Holder, as applicable, to execute and deliver any document or instrument that the Company may be required to deliver pursuant to this </w:t>
      </w:r>
      <w:r>
        <w:rPr>
          <w:rFonts w:ascii="Times New Roman" w:cs="Times New Roman" w:eastAsia="Times New Roman" w:hAnsi="Times New Roman"/>
          <w:sz w:val="18"/>
          <w:szCs w:val="18"/>
          <w:u w:val="single" w:color="auto"/>
          <w:color w:val="auto"/>
        </w:rPr>
        <w:t>Section 11(f) </w:t>
      </w:r>
      <w:r>
        <w:rPr>
          <w:rFonts w:ascii="Times New Roman" w:cs="Times New Roman" w:eastAsia="Times New Roman" w:hAnsi="Times New Roman"/>
          <w:sz w:val="18"/>
          <w:szCs w:val="18"/>
          <w:color w:val="auto"/>
        </w:rPr>
        <w:t>in connection with any such release, such power of attorney being coupled with an interest and irrevocable until the Senior Indebtedness is paid in full in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(g)            The Holder agrees that this Section 11 constitutes a “subordination agreement” within the meaning of Section 510(a) of the United States Bankruptcy Code (11 U.S.C. §101, et seq.) and will continue in full force and effect during any Insolvency Proceeding, including after the filing of any petition by or against the Company under the Bankruptcy Code and all converted or succeeding cases in respect thereof. All references herein to the Company or any of its subsidiaries or affiliates shall be deemed to apply to such Person as debtor-in-possession and to any trustee for such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the Holder and the Company agree that (i) the total number of shares of Common Stock issuable upon conversion of this Note and the concurrent proposed equity financing, including any shares of Common Stock issued pursuant to anti-dilution protections triggered by the proposed equity financing, (the “</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may not cause the Company to exceed the requirements of Nasdaq Listing Rule 5635(d) (“</w:t>
      </w:r>
      <w:r>
        <w:rPr>
          <w:rFonts w:ascii="Times New Roman" w:cs="Times New Roman" w:eastAsia="Times New Roman" w:hAnsi="Times New Roman"/>
          <w:sz w:val="18"/>
          <w:szCs w:val="18"/>
          <w:b w:val="1"/>
          <w:bCs w:val="1"/>
          <w:color w:val="auto"/>
        </w:rPr>
        <w:t>Nasdaq 19.99%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issuable upon conversion of the Note and in the Equity Financing (the “</w:t>
      </w:r>
      <w:r>
        <w:rPr>
          <w:rFonts w:ascii="Times New Roman" w:cs="Times New Roman" w:eastAsia="Times New Roman" w:hAnsi="Times New Roman"/>
          <w:sz w:val="18"/>
          <w:szCs w:val="18"/>
          <w:b w:val="1"/>
          <w:bCs w:val="1"/>
          <w:color w:val="auto"/>
        </w:rPr>
        <w:t>Equity Financing Securities</w:t>
      </w:r>
      <w:r>
        <w:rPr>
          <w:rFonts w:ascii="Times New Roman" w:cs="Times New Roman" w:eastAsia="Times New Roman" w:hAnsi="Times New Roman"/>
          <w:sz w:val="18"/>
          <w:szCs w:val="18"/>
          <w:color w:val="auto"/>
        </w:rPr>
        <w:t>”), and any other securities required to be aggregated with this Note under applicable rules of the Nasdaq Stock Market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and, together with the Equity Financing Securities, the “</w:t>
      </w:r>
      <w:r>
        <w:rPr>
          <w:rFonts w:ascii="Times New Roman" w:cs="Times New Roman" w:eastAsia="Times New Roman" w:hAnsi="Times New Roman"/>
          <w:sz w:val="18"/>
          <w:szCs w:val="18"/>
          <w:b w:val="1"/>
          <w:bCs w:val="1"/>
          <w:color w:val="auto"/>
        </w:rPr>
        <w:t>Other Securities</w:t>
      </w:r>
      <w:r>
        <w:rPr>
          <w:rFonts w:ascii="Times New Roman" w:cs="Times New Roman" w:eastAsia="Times New Roman" w:hAnsi="Times New Roman"/>
          <w:sz w:val="18"/>
          <w:szCs w:val="18"/>
          <w:color w:val="auto"/>
        </w:rPr>
        <w:t>”), reaches the Nasdaq 19.99% Cap, so as not to violate the 20% limit established in Listing Rule 5635(d), the Company shall as soon as reasonably practicable take all action necessary to obtain stockholder approval for the issuance of shares of Common Stock in excess of the Nasdaq 19.99% Cap pursuant to the terms of this Note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19.99% Cap, but in no event later than 90 days after such occurrence, the Company shall use its reasonable best efforts to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11</w:t>
            </w:r>
          </w:p>
        </w:tc>
        <w:tc>
          <w:tcPr>
            <w:tcW w:w="2800" w:type="dxa"/>
            <w:vAlign w:val="bottom"/>
          </w:tcPr>
          <w:p>
            <w:pPr>
              <w:ind w:left="276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13.            DISTRIBUTION OF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any adjustments pursuant to Sections 5 and 6 above, if the Company shall declare or make any dividend or other distributions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(or rights to acquire its assets) to all holders of shares of Common Stock, by way of return of capital or otherwise (including without limitation,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cash, stock or other securities, property or options by way of a dividend, spin off, reclassification, corporate rearrangement, scheme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of Common Stock acquirable upon complete conversion of this Note (without taking into account any limitations or restrictions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convertibility of this Note and assuming for such purpose that the Note was converted at the Conversion Price as of the applicable record date)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date on which a record is taken for such Distribution or, if no such record is taken, the date as of which the record holders of Common Stock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determined for such Distributions.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AMENDING THE TERMS OF THIS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prior written consent of the Holder and the Company shall be required for any change, waiver or amendment to this Note. Any change, waiver or amendment so approved shall be binding upon all existing and future holders of this Note;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3.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may not be offered, sold, assigned or transferred by the Holder without the consent of the Company (which shall not be unreasonably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16.            REISSUANCE OF THIS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16(d)), registered as the Holder may request, representing the outstanding Principal being transferred by the Holder and, if less than the entire outstanding Principal is being transferred, a new Note (in accordance with Section 16(d))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16(d)) representing the outstanding Principal.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16(d)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16(a) or Section 16(c),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552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17.            REMEDIES, CHARACTERIZATIONS, OTHER OBLIGATIONS, BREACHES AND INJUNCTIVE RELIEF.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The remedies provided in this Note shall be cumulative and in addition to all other remedies available under this Note and any of the other Transaction Documents at law or in equity (including a decree of specific performance and/or other injunctive relief), and nothing herein (other than the provisions of Section 11)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The Company shall provide all information and documentation to the Holder that is reasonably requested by the Holder to enable the Holder to confirm the Company’s compliance with the terms and conditions of this Note (including, without limitation, compliance with Section 6).  </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18.            PAYMENT OF COLLECTION, ENFORCEMENT AND OTHER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this Note is placed in the hands of an attorney for collection or enforcement or is collected or enforced through any legal proceeding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otherwise takes action to collect amounts due under this Note or to enforce the provisions of this Note or (b) there occurs any bankruptcy,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reorganization, receivership of the Company or other proceedings affecting Company creditors’ rights and involving a claim under this Note, then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pay the costs incurred by the Holder for such collection, enforcement or action or in connection with such bankruptcy, reorganization,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receivership or other proceeding, including, without limitation, attorneys’ fees and disbursements. The Company expressly acknowledges and agrees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amounts due under this Note shall be affected, or limited, by the fact that the purchase price paid for this Note was less than the original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19.            CONSTRUCTION; HEADINGS.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deemed to be jointly drafted by the Company and the initial Holder and shall not be construed against any such Person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drafter hereof. The headings of this Note are for convenience of reference and shall not form part of, or affect the interpretation of, this Note.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clearly indicates otherwise, each pronoun herein shall be deemed to include the masculine, feminine, neuter, singular and plural forms thereof.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“including,” “includes,” “include” and words of like import shall be construed broadly as if followed by the words “without limitation.”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“hereunder,” “hereof” and words of like import refer to this entire Note instead of just the provision in which they are found. Unless expressly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 otherwise, all section references are to sections of this Note. Terms used in this Note and not otherwise defined herein, but defined in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shall have the meanings ascribed to such terms on the Closing Date in such other Transaction Documents unless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in writing by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            FAILURE OR INDULGENCE NOT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w:t>
      </w:r>
    </w:p>
    <w:p>
      <w:pPr>
        <w:spacing w:after="0" w:line="200" w:lineRule="exact"/>
        <w:rPr>
          <w:sz w:val="20"/>
          <w:szCs w:val="20"/>
          <w:color w:val="auto"/>
        </w:rPr>
      </w:pPr>
    </w:p>
    <w:p>
      <w:pPr>
        <w:spacing w:after="0" w:line="202" w:lineRule="exact"/>
        <w:rPr>
          <w:sz w:val="20"/>
          <w:szCs w:val="20"/>
          <w:color w:val="auto"/>
        </w:rPr>
      </w:pPr>
    </w:p>
    <w:p>
      <w:pPr>
        <w:spacing w:after="0"/>
        <w:tabs>
          <w:tab w:leader="none" w:pos="552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            NOTICES; CURRENCY;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five (5) Trading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Strategic Change of Control, dissolution or liquidation, provided in each case that such information shall be made known to the public prior to or in conjunction with such notice being provided to the Holder.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 and one-half percent (7.5%)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After all Principal, accrued Interest, Late Charges and other amounts at any time owed on this Note have been paid in full, this Note shall automatically be deemed canceled, shall be surrendered to the Company for cancellation and shall not be reissued.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WAIVER OF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To the extent permitted by law, the Company hereby irrevocably waives demand, notice, presentment, protest and all other demands and notices in connection with the delivery, acceptance, performance, default or enforcement of this Note.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GOVERNING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 AGREES NOT TO</w:t>
      </w:r>
    </w:p>
    <w:p>
      <w:pPr>
        <w:spacing w:after="0" w:line="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NOTE OR ANY TRANSACTION CONTEMPLATED 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25.            SEVERABILITY.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552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MAXIMUM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27.            CERTAIN 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Metropolitan Partners Group Administration, LLC, and its successors and assigns in such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a majority of the stock having ordinary voting power for the election of directors of such Person or direct or cause the direction of the management and policies of such Person whether by contract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(i) a consolidation or merger of the Company or PAL with or into any other corporation or other Person, or any other corporate reorganization, other than (x) with an Excluded Person, or (y) any such consolidation, merger or reorganization in which the shares of capital stock of the Parent or PAL immediately prior to such consolidation, merger or reorganization continue to represent a majority of the voting power of the surviving entity immediately after such consolidation, merger or reorganization; (ii) any transaction or series of related transactions to which the Parent or PAL is a party in which in excess of 20% of the Parent’s or PAL’s voting power is transferred (other than to an Excluded Person); (iii) any transaction or series of transactions in which a “person” or a “group” (as such terms are used in Sections 13(d) and 14(d) of the Exchange Act) (other than an Excluded Person) shall (A) become, or obtain rights (whether by means of common stock, warrants options or otherwise) to become, the “beneficial owner” (as defined in Rules 13(d)-3 and 13(d)-5 under the Exchange Act), directly or indirectly, of 25% or more of the ordinary voting power or economic interests of Parent or PAL (determined on a fully diluted basis) or (B) have obtained the power (whether exercised or not) to elect a majority of the members of the board of directors (or any similar governing body) of Parent or PAL, as applicable; or (iv) the sale or transfer of all or substantially all of the Parent’s or PAL’s assets, or the exclusive license of all or substantially all of the Parent’s or PAL’s material assets and/or material intellectual property, in each case, other than to an Excluded Person. A transaction (other than a Restructuring Transaction) that would otherwise be a Change of Control but for the involvement of an Excluded Person is referred to as a “</w:t>
      </w:r>
      <w:r>
        <w:rPr>
          <w:rFonts w:ascii="Times New Roman" w:cs="Times New Roman" w:eastAsia="Times New Roman" w:hAnsi="Times New Roman"/>
          <w:sz w:val="18"/>
          <w:szCs w:val="18"/>
          <w:b w:val="1"/>
          <w:bCs w:val="1"/>
          <w:color w:val="auto"/>
        </w:rPr>
        <w:t>Strategic Change of Control.</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5520" w:val="left"/>
          <w:tab w:leader="none" w:pos="1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hereof upon funding of the amounts set forth in this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that certain Credit Agreement, dated as of September 21, 2022, by and among the Company, PAL, as borrower, the Lenders, and the Administrative Agent, as amended, restated, refinanced, modified or supplemented through the date hereof and hereafter and in effect from time to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Principal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Person</w:t>
      </w:r>
      <w:r>
        <w:rPr>
          <w:rFonts w:ascii="Times New Roman" w:cs="Times New Roman" w:eastAsia="Times New Roman" w:hAnsi="Times New Roman"/>
          <w:sz w:val="18"/>
          <w:szCs w:val="18"/>
          <w:color w:val="auto"/>
        </w:rPr>
        <w:t>” means a Person other than a Financial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any shares of Common Stock, options, warrants or convertible securities issued or issuable in connection with (A) any equity compensation plan of the Company as in effect on the date hereof or (B) any Restructuring Transaction, or (ii) any other securities outstanding as of the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Financial Investor</w:t>
      </w:r>
      <w:r>
        <w:rPr>
          <w:rFonts w:ascii="Times New Roman" w:cs="Times New Roman" w:eastAsia="Times New Roman" w:hAnsi="Times New Roman"/>
          <w:sz w:val="18"/>
          <w:szCs w:val="18"/>
          <w:color w:val="auto"/>
        </w:rPr>
        <w:t>” means a Person that (i) does not have any strategic or commercial relationship with the Company, and (ii) does not itself operate in the Company’s line of business or a line of business that would be considered competitive or synergistic with the Company’s line of business, it being understood that merely holding an investment in another Person that operates in any such line of business shall not cause any Person that would otherwise constitute a Financial Investor to be excluded as a Financial Investor.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means collectively the Cash Interest and the PIK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with respect to any given calendar month the last Trading Day in such calendar month.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16</w:t>
            </w:r>
          </w:p>
        </w:tc>
        <w:tc>
          <w:tcPr>
            <w:tcW w:w="2800" w:type="dxa"/>
            <w:vAlign w:val="bottom"/>
          </w:tcPr>
          <w:p>
            <w:pPr>
              <w:ind w:left="276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the lenders from time to time party to the Credit Agreement or otherwise holding Senior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the Credit Agreement and the other Loan Documents (as defined in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March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PAL</w:t>
      </w:r>
      <w:r>
        <w:rPr>
          <w:rFonts w:ascii="Times New Roman" w:cs="Times New Roman" w:eastAsia="Times New Roman" w:hAnsi="Times New Roman"/>
          <w:sz w:val="18"/>
          <w:szCs w:val="18"/>
          <w:color w:val="auto"/>
        </w:rPr>
        <w:t>” means Presto Automation LLC (f/k/a E La Carte, LLC, f/k/a Ventoux Merger Sub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a Strategic Change of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PIK Interest</w:t>
      </w:r>
      <w:r>
        <w:rPr>
          <w:rFonts w:ascii="Times New Roman" w:cs="Times New Roman" w:eastAsia="Times New Roman" w:hAnsi="Times New Roman"/>
          <w:sz w:val="18"/>
          <w:szCs w:val="18"/>
          <w:color w:val="auto"/>
        </w:rPr>
        <w:t>” means the portion of the interest that accrues on the Principal of this Note as the PIK Interest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PIK Interest Rate</w:t>
      </w:r>
      <w:r>
        <w:rPr>
          <w:rFonts w:ascii="Times New Roman" w:cs="Times New Roman" w:eastAsia="Times New Roman" w:hAnsi="Times New Roman"/>
          <w:sz w:val="18"/>
          <w:szCs w:val="18"/>
          <w:color w:val="auto"/>
        </w:rPr>
        <w:t>” means 7.5%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(ee)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b w:val="1"/>
          <w:bCs w:val="1"/>
          <w:color w:val="auto"/>
        </w:rPr>
        <w:t>Restructuring Transaction</w:t>
      </w:r>
      <w:r>
        <w:rPr>
          <w:rFonts w:ascii="Times New Roman" w:cs="Times New Roman" w:eastAsia="Times New Roman" w:hAnsi="Times New Roman"/>
          <w:sz w:val="18"/>
          <w:szCs w:val="18"/>
          <w:color w:val="auto"/>
        </w:rPr>
        <w:t>” means any transaction or series of transactions which has the effect of (i) forgiving, reducing, or modifying the principal balance of, or otherwise adjusting the amount of, the Senior Indebtedness, (ii) exchanging all or any portion of the Senior Indebtedness for any other instrument or security, (iii) the exercise of any rights or remedies by the Administrative Agent or any Lender under the Loan Documents, or (iv) replacing or refinancing the Senior Indebtedness, in whole or in part.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(hh)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 all loans, advances, debts, liabilities, debit balances, covenants and duties at any time or times owed by Company or any other Loan Party to Administrative Agent or any Lender, whether direct or indirect, absolute or contingent, secured or unsecured, primary or secondary, joint or several, liquidated or unliquidated, due or to become due, now existing or hereafter arising, including (a) all debts, liabilities and obligations now or hereafter owing by Company or any other Loan Party to Administrative Agent or any Lender under any of the Loan Documents, (b) all debts, liabilities or obligations owing by Company or any other Loan Party to others which Administrative Agent or any Lender may have obtained by assignment, pledge, purchase or otherwise, (c) all loans made or credit extended by Administrative Agent or any Lender to Company or any other Loan Party during the pendency of any bankruptcy or other insolvency proceeding of Company or any other Loan Party, (d) all interest, fees, charges, expenses and attorneys’ fees for which Company or any other Loan Party is now or hereafter becomes liable to pay to Administrative Agent or any Lender under any agreement or by law (including, all interest, legal fees and other charges that accrue or are incurred in connection with any of the Senior Indebtedness during the pendency of any bankruptcy case or other insolvency proceeding of Buyer, whether or not Administrative Agent or such Lender is authorized by 11 U.S.C. § 506 or otherwise to claim or collect any such interest, legal fees or other charges from Buyer), (e) all Obligations (as defined in the Credit Agreement), (f) the secured promissory note between the Company Presto CA, LLC dated March 21, 2024 (g) any renewals, extensions, replacements or refinancings of any of the foregoing.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17</w:t>
            </w:r>
          </w:p>
        </w:tc>
        <w:tc>
          <w:tcPr>
            <w:tcW w:w="2800" w:type="dxa"/>
            <w:vAlign w:val="bottom"/>
          </w:tcPr>
          <w:p>
            <w:pPr>
              <w:ind w:left="276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all amounts payable to the Holder pursuant to this Note or any other documents executed in connection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wholly-owned subsidiaries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Strategic Change of Control or the Person (or, if so elected by the Holder, the Parent Entity) with which such Strategic Change of Control shall have been entered 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Nasdaq Stock Market (or any successor thereto) is open for trading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40" w:firstLine="648"/>
        <w:spacing w:after="0" w:line="250"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means this Note and any other document, certificate or notice executed by the Company or the Holder in connection with the issuance of this Note.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18</w:t>
            </w:r>
          </w:p>
        </w:tc>
        <w:tc>
          <w:tcPr>
            <w:tcW w:w="2800" w:type="dxa"/>
            <w:vAlign w:val="bottom"/>
          </w:tcPr>
          <w:p>
            <w:pPr>
              <w:ind w:left="276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 as of the Issuance Date set out above.</w:t>
      </w:r>
    </w:p>
    <w:tbl>
      <w:tblPr>
        <w:tblLayout w:type="fixed"/>
        <w:tblInd w:w="0" w:type="dxa"/>
        <w:tblCellMar>
          <w:top w:w="0" w:type="dxa"/>
          <w:left w:w="0" w:type="dxa"/>
          <w:bottom w:w="0" w:type="dxa"/>
          <w:right w:w="0" w:type="dxa"/>
        </w:tblCellMar>
      </w:tblPr>
      <w:tr>
        <w:trPr>
          <w:trHeight w:val="203"/>
        </w:trPr>
        <w:tc>
          <w:tcPr>
            <w:tcW w:w="34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c>
          <w:tcPr>
            <w:tcW w:w="218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Guillaume Lefevre</w:t>
            </w:r>
          </w:p>
        </w:tc>
        <w:tc>
          <w:tcPr>
            <w:tcW w:w="2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62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78"/>
        </w:trPr>
        <w:tc>
          <w:tcPr>
            <w:tcW w:w="34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Guillaume Lefevre</w:t>
            </w:r>
          </w:p>
        </w:tc>
        <w:tc>
          <w:tcPr>
            <w:tcW w:w="2180" w:type="dxa"/>
            <w:vAlign w:val="bottom"/>
          </w:tcPr>
          <w:p>
            <w:pPr>
              <w:spacing w:after="0"/>
              <w:rPr>
                <w:sz w:val="15"/>
                <w:szCs w:val="15"/>
                <w:color w:val="auto"/>
              </w:rPr>
            </w:pPr>
          </w:p>
        </w:tc>
        <w:tc>
          <w:tcPr>
            <w:tcW w:w="5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Interim Chief Executive Officer</w:t>
            </w:r>
          </w:p>
        </w:tc>
        <w:tc>
          <w:tcPr>
            <w:tcW w:w="21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Convertible Note – Signature Page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 CONVERSION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Reference is made to the Subordinated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tbl>
      <w:tblPr>
        <w:tblLayout w:type="fixed"/>
        <w:tblInd w:w="0" w:type="dxa"/>
        <w:tblCellMar>
          <w:top w:w="0" w:type="dxa"/>
          <w:left w:w="0" w:type="dxa"/>
          <w:bottom w:w="0" w:type="dxa"/>
          <w:right w:w="0" w:type="dxa"/>
        </w:tblCellMar>
      </w:tblPr>
      <w:tr>
        <w:trPr>
          <w:trHeight w:val="199"/>
        </w:trPr>
        <w:tc>
          <w:tcPr>
            <w:tcW w:w="554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Date of Conversion:</w:t>
            </w:r>
          </w:p>
        </w:tc>
        <w:tc>
          <w:tcPr>
            <w:tcW w:w="100" w:type="dxa"/>
            <w:vAlign w:val="bottom"/>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to be converted:</w:t>
            </w:r>
          </w:p>
        </w:tc>
        <w:tc>
          <w:tcPr>
            <w:tcW w:w="100" w:type="dxa"/>
            <w:vAlign w:val="bottom"/>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w w:val="99"/>
              </w:rPr>
              <w:t>Aggregate accrued and unpaid Interest and accrued and unpaid Late Charges</w:t>
            </w:r>
          </w:p>
        </w:tc>
        <w:tc>
          <w:tcPr>
            <w:tcW w:w="10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such portion of the Aggregate Principal and such Aggregate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to be converted: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AGGREGATE CONVERSION AMOUNT TO BE CONVERTED:</w:t>
            </w:r>
          </w:p>
        </w:tc>
        <w:tc>
          <w:tcPr>
            <w:tcW w:w="100" w:type="dxa"/>
            <w:vAlign w:val="bottom"/>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100" w:type="dxa"/>
            <w:vAlign w:val="bottom"/>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tc>
        <w:tc>
          <w:tcPr>
            <w:tcW w:w="100" w:type="dxa"/>
            <w:vAlign w:val="bottom"/>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Please specify the amount of Restricted Principal (if any) being converted:</w:t>
            </w:r>
          </w:p>
        </w:tc>
        <w:tc>
          <w:tcPr>
            <w:tcW w:w="1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78"/>
        </w:trPr>
        <w:tc>
          <w:tcPr>
            <w:tcW w:w="55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5"/>
                <w:szCs w:val="15"/>
                <w:color w:val="auto"/>
              </w:rPr>
            </w:pPr>
          </w:p>
        </w:tc>
        <w:tc>
          <w:tcPr>
            <w:tcW w:w="3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5"/>
                <w:szCs w:val="15"/>
                <w:color w:val="auto"/>
              </w:rPr>
            </w:pPr>
          </w:p>
        </w:tc>
        <w:tc>
          <w:tcPr>
            <w:tcW w:w="4480" w:type="dxa"/>
            <w:vAlign w:val="bottom"/>
            <w:tcBorders>
              <w:top w:val="single" w:sz="8" w:color="auto"/>
            </w:tcBorders>
          </w:tcPr>
          <w:p>
            <w:pPr>
              <w:spacing w:after="0"/>
              <w:rPr>
                <w:sz w:val="15"/>
                <w:szCs w:val="15"/>
                <w:color w:val="auto"/>
              </w:rPr>
            </w:pPr>
          </w:p>
        </w:tc>
        <w:tc>
          <w:tcPr>
            <w:tcW w:w="58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Please specify the amount of Restricted OID (if any) being converted:</w:t>
            </w:r>
          </w:p>
        </w:tc>
        <w:tc>
          <w:tcPr>
            <w:tcW w:w="1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w w:val="75"/>
              </w:rPr>
              <w:t> </w:t>
            </w:r>
          </w:p>
        </w:tc>
      </w:tr>
      <w:tr>
        <w:trPr>
          <w:trHeight w:val="20"/>
        </w:trPr>
        <w:tc>
          <w:tcPr>
            <w:tcW w:w="5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60"/>
          </w:cols>
          <w:pgMar w:left="320" w:top="68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to:</w:t>
            </w: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 as follows:</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 Participant:</w:t>
            </w:r>
          </w:p>
        </w:tc>
        <w:tc>
          <w:tcPr>
            <w:tcW w:w="7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 Number:</w:t>
            </w:r>
          </w:p>
        </w:tc>
        <w:tc>
          <w:tcPr>
            <w:tcW w:w="7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7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2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2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2800" w:type="dxa"/>
            <w:vAlign w:val="bottom"/>
          </w:tcPr>
          <w:p>
            <w:pPr>
              <w:spacing w:after="0"/>
              <w:rPr>
                <w:sz w:val="20"/>
                <w:szCs w:val="20"/>
                <w:color w:val="auto"/>
              </w:rPr>
            </w:pPr>
          </w:p>
        </w:tc>
        <w:tc>
          <w:tcPr>
            <w:tcW w:w="5020" w:type="dxa"/>
            <w:vAlign w:val="bottom"/>
          </w:tcPr>
          <w:p>
            <w:pPr>
              <w:jc w:val="center"/>
              <w:ind w:right="489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5020" w:type="dxa"/>
            <w:vAlign w:val="bottom"/>
            <w:vMerge w:val="restart"/>
          </w:tcPr>
          <w:p>
            <w:pPr>
              <w:jc w:val="center"/>
              <w:ind w:right="489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8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rPr>
                <w:sz w:val="15"/>
                <w:szCs w:val="15"/>
                <w:color w:val="auto"/>
              </w:rPr>
            </w:pPr>
          </w:p>
        </w:tc>
        <w:tc>
          <w:tcPr>
            <w:tcW w:w="50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18"/>
                <w:szCs w:val="18"/>
                <w:color w:val="auto"/>
              </w:rPr>
            </w:pPr>
          </w:p>
        </w:tc>
        <w:tc>
          <w:tcPr>
            <w:tcW w:w="5020" w:type="dxa"/>
            <w:vAlign w:val="bottom"/>
          </w:tcPr>
          <w:p>
            <w:pPr>
              <w:jc w:val="center"/>
              <w:ind w:right="489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ID:</w:t>
            </w:r>
          </w:p>
        </w:tc>
        <w:tc>
          <w:tcPr>
            <w:tcW w:w="2800" w:type="dxa"/>
            <w:vAlign w:val="bottom"/>
          </w:tcPr>
          <w:p>
            <w:pPr>
              <w:spacing w:after="0"/>
              <w:rPr>
                <w:sz w:val="18"/>
                <w:szCs w:val="18"/>
                <w:color w:val="auto"/>
              </w:rPr>
            </w:pPr>
          </w:p>
        </w:tc>
        <w:tc>
          <w:tcPr>
            <w:tcW w:w="5020" w:type="dxa"/>
            <w:vAlign w:val="bottom"/>
          </w:tcPr>
          <w:p>
            <w:pPr>
              <w:jc w:val="center"/>
              <w:ind w:right="489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2800" w:type="dxa"/>
            <w:vAlign w:val="bottom"/>
          </w:tcPr>
          <w:p>
            <w:pPr>
              <w:spacing w:after="0"/>
              <w:rPr>
                <w:sz w:val="18"/>
                <w:szCs w:val="18"/>
                <w:color w:val="auto"/>
              </w:rPr>
            </w:pPr>
          </w:p>
        </w:tc>
        <w:tc>
          <w:tcPr>
            <w:tcW w:w="5020" w:type="dxa"/>
            <w:vAlign w:val="bottom"/>
          </w:tcPr>
          <w:p>
            <w:pPr>
              <w:jc w:val="center"/>
              <w:ind w:right="489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8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820" w:type="dxa"/>
            <w:vAlign w:val="bottom"/>
            <w:gridSpan w:val="2"/>
          </w:tcPr>
          <w:p>
            <w:pPr>
              <w:jc w:val="center"/>
              <w:ind w:right="2110"/>
              <w:spacing w:after="0"/>
              <w:rPr>
                <w:sz w:val="20"/>
                <w:szCs w:val="20"/>
                <w:color w:val="auto"/>
              </w:rPr>
            </w:pPr>
            <w:r>
              <w:rPr>
                <w:rFonts w:ascii="Times New Roman" w:cs="Times New Roman" w:eastAsia="Times New Roman" w:hAnsi="Times New Roman"/>
                <w:sz w:val="18"/>
                <w:szCs w:val="18"/>
                <w:color w:val="auto"/>
                <w:w w:val="99"/>
              </w:rPr>
              <w:t>21</w:t>
            </w:r>
          </w:p>
        </w:tc>
        <w:tc>
          <w:tcPr>
            <w:tcW w:w="6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22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17"/>
          <w:szCs w:val="17"/>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to issue the above indicated number of shares of Common</w:t>
      </w:r>
    </w:p>
    <w:tbl>
      <w:tblPr>
        <w:tblLayout w:type="fixed"/>
        <w:tblInd w:w="0" w:type="dxa"/>
        <w:tblCellMar>
          <w:top w:w="0" w:type="dxa"/>
          <w:left w:w="0" w:type="dxa"/>
          <w:bottom w:w="0" w:type="dxa"/>
          <w:right w:w="0" w:type="dxa"/>
        </w:tblCellMar>
      </w:tblPr>
      <w:tr>
        <w:trPr>
          <w:trHeight w:val="234"/>
        </w:trPr>
        <w:tc>
          <w:tcPr>
            <w:tcW w:w="111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Stock in accordance with the Transfer Agent Instructions dated           , 20__ from the Company and acknowledged and agreed to by ___________________.</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c>
          <w:tcPr>
            <w:tcW w:w="1420" w:type="dxa"/>
            <w:vAlign w:val="bottom"/>
          </w:tcPr>
          <w:p>
            <w:pPr>
              <w:spacing w:after="0"/>
              <w:rPr>
                <w:sz w:val="24"/>
                <w:szCs w:val="24"/>
                <w:color w:val="auto"/>
              </w:rPr>
            </w:pPr>
          </w:p>
        </w:tc>
        <w:tc>
          <w:tcPr>
            <w:tcW w:w="5540" w:type="dxa"/>
            <w:vAlign w:val="bottom"/>
          </w:tcPr>
          <w:p>
            <w:pPr>
              <w:jc w:val="center"/>
              <w:ind w:right="54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spacing w:after="0"/>
              <w:rPr>
                <w:sz w:val="18"/>
                <w:szCs w:val="18"/>
                <w:color w:val="auto"/>
              </w:rPr>
            </w:pPr>
          </w:p>
        </w:tc>
        <w:tc>
          <w:tcPr>
            <w:tcW w:w="5540" w:type="dxa"/>
            <w:vAlign w:val="bottom"/>
          </w:tcPr>
          <w:p>
            <w:pPr>
              <w:jc w:val="center"/>
              <w:ind w:right="54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Guillaume Lefevre</w:t>
            </w:r>
          </w:p>
        </w:tc>
        <w:tc>
          <w:tcPr>
            <w:tcW w:w="1420" w:type="dxa"/>
            <w:vAlign w:val="bottom"/>
          </w:tcPr>
          <w:p>
            <w:pPr>
              <w:spacing w:after="0"/>
              <w:rPr>
                <w:sz w:val="20"/>
                <w:szCs w:val="20"/>
                <w:color w:val="auto"/>
              </w:rPr>
            </w:pPr>
          </w:p>
        </w:tc>
        <w:tc>
          <w:tcPr>
            <w:tcW w:w="5540" w:type="dxa"/>
            <w:vAlign w:val="bottom"/>
          </w:tcPr>
          <w:p>
            <w:pPr>
              <w:jc w:val="center"/>
              <w:ind w:right="54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540" w:type="dxa"/>
            <w:vAlign w:val="bottom"/>
            <w:vMerge w:val="restart"/>
          </w:tcPr>
          <w:p>
            <w:pPr>
              <w:jc w:val="center"/>
              <w:ind w:right="541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Name:    Guillaume Lefevre</w:t>
            </w:r>
          </w:p>
        </w:tc>
        <w:tc>
          <w:tcPr>
            <w:tcW w:w="1420" w:type="dxa"/>
            <w:vAlign w:val="bottom"/>
          </w:tcPr>
          <w:p>
            <w:pPr>
              <w:spacing w:after="0"/>
              <w:rPr>
                <w:sz w:val="15"/>
                <w:szCs w:val="15"/>
                <w:color w:val="auto"/>
              </w:rPr>
            </w:pPr>
          </w:p>
        </w:tc>
        <w:tc>
          <w:tcPr>
            <w:tcW w:w="5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Interim Chief Executive Officer</w:t>
            </w:r>
          </w:p>
        </w:tc>
        <w:tc>
          <w:tcPr>
            <w:tcW w:w="1420" w:type="dxa"/>
            <w:vAlign w:val="bottom"/>
          </w:tcPr>
          <w:p>
            <w:pPr>
              <w:spacing w:after="0"/>
              <w:rPr>
                <w:sz w:val="20"/>
                <w:szCs w:val="20"/>
                <w:color w:val="auto"/>
              </w:rPr>
            </w:pPr>
          </w:p>
        </w:tc>
        <w:tc>
          <w:tcPr>
            <w:tcW w:w="5540" w:type="dxa"/>
            <w:vAlign w:val="bottom"/>
          </w:tcPr>
          <w:p>
            <w:pPr>
              <w:jc w:val="center"/>
              <w:ind w:right="541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960" w:type="dxa"/>
            <w:vAlign w:val="bottom"/>
            <w:gridSpan w:val="2"/>
          </w:tcPr>
          <w:p>
            <w:pPr>
              <w:jc w:val="center"/>
              <w:ind w:right="4010"/>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318"/>
        </w:trPr>
        <w:tc>
          <w:tcPr>
            <w:tcW w:w="4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top w:val="single" w:sz="8" w:color="auto"/>
            </w:tcBorders>
          </w:tcPr>
          <w:p>
            <w:pPr>
              <w:spacing w:after="0"/>
              <w:rPr>
                <w:sz w:val="24"/>
                <w:szCs w:val="24"/>
                <w:color w:val="auto"/>
              </w:rPr>
            </w:pPr>
          </w:p>
        </w:tc>
        <w:tc>
          <w:tcPr>
            <w:tcW w:w="5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20"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COOPERATION AGREEMENT</w:t>
      </w:r>
    </w:p>
    <w:p>
      <w:pPr>
        <w:spacing w:after="0" w:line="2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COOPERATION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 Presto Automation LLC (f/k/a E La Carte, LLC, f/k/a Ventoux Merger Sub II LLC), a Delaware limited liability company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Presto Automation Inc. (f/k/a Ventoux CCM Acquisition Corp.), a Delaware corporation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Metropolitan Partners Group Administration, LLC, a Delaware limited liability company, in its capacity as </w:t>
      </w:r>
      <w:r>
        <w:rPr>
          <w:rFonts w:ascii="Times New Roman" w:cs="Times New Roman" w:eastAsia="Times New Roman" w:hAnsi="Times New Roman"/>
          <w:sz w:val="18"/>
          <w:szCs w:val="18"/>
          <w:color w:val="231F1F"/>
        </w:rPr>
        <w:t>administrative, payment and collateral agent (in such capacity, the “</w:t>
      </w:r>
      <w:r>
        <w:rPr>
          <w:rFonts w:ascii="Times New Roman" w:cs="Times New Roman" w:eastAsia="Times New Roman" w:hAnsi="Times New Roman"/>
          <w:sz w:val="18"/>
          <w:szCs w:val="18"/>
          <w:b w:val="1"/>
          <w:bCs w:val="1"/>
          <w:i w:val="1"/>
          <w:iCs w:val="1"/>
          <w:color w:val="231F1F"/>
        </w:rPr>
        <w:t>Agent</w:t>
      </w:r>
      <w:r>
        <w:rPr>
          <w:rFonts w:ascii="Times New Roman" w:cs="Times New Roman" w:eastAsia="Times New Roman" w:hAnsi="Times New Roman"/>
          <w:sz w:val="18"/>
          <w:szCs w:val="18"/>
          <w:color w:val="231F1F"/>
        </w:rPr>
        <w:t>”) under the Credit Agreement (as defined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 xml:space="preserve">below), and the Lenders (as defined below) signatory hereto, and, solely for purposes of </w:t>
      </w:r>
      <w:r>
        <w:rPr>
          <w:rFonts w:ascii="Times New Roman" w:cs="Times New Roman" w:eastAsia="Times New Roman" w:hAnsi="Times New Roman"/>
          <w:sz w:val="18"/>
          <w:szCs w:val="18"/>
          <w:u w:val="single" w:color="auto"/>
          <w:color w:val="231F1F"/>
        </w:rPr>
        <w:t>Sections 7</w:t>
      </w:r>
      <w:r>
        <w:rPr>
          <w:rFonts w:ascii="Times New Roman" w:cs="Times New Roman" w:eastAsia="Times New Roman" w:hAnsi="Times New Roman"/>
          <w:sz w:val="18"/>
          <w:szCs w:val="18"/>
          <w:color w:val="231F1F"/>
        </w:rPr>
        <w:t xml:space="preserve"> through </w:t>
      </w:r>
      <w:r>
        <w:rPr>
          <w:rFonts w:ascii="Times New Roman" w:cs="Times New Roman" w:eastAsia="Times New Roman" w:hAnsi="Times New Roman"/>
          <w:sz w:val="18"/>
          <w:szCs w:val="18"/>
          <w:u w:val="single" w:color="auto"/>
          <w:color w:val="231F1F"/>
        </w:rPr>
        <w:t>9</w:t>
      </w:r>
      <w:r>
        <w:rPr>
          <w:rFonts w:ascii="Times New Roman" w:cs="Times New Roman" w:eastAsia="Times New Roman" w:hAnsi="Times New Roman"/>
          <w:sz w:val="18"/>
          <w:szCs w:val="18"/>
          <w:color w:val="231F1F"/>
        </w:rPr>
        <w:t xml:space="preserve">, </w:t>
      </w:r>
      <w:r>
        <w:rPr>
          <w:rFonts w:ascii="Times New Roman" w:cs="Times New Roman" w:eastAsia="Times New Roman" w:hAnsi="Times New Roman"/>
          <w:sz w:val="18"/>
          <w:szCs w:val="18"/>
          <w:u w:val="single" w:color="auto"/>
          <w:color w:val="231F1F"/>
        </w:rPr>
        <w:t>12</w:t>
      </w:r>
      <w:r>
        <w:rPr>
          <w:rFonts w:ascii="Times New Roman" w:cs="Times New Roman" w:eastAsia="Times New Roman" w:hAnsi="Times New Roman"/>
          <w:sz w:val="18"/>
          <w:szCs w:val="18"/>
          <w:color w:val="231F1F"/>
        </w:rPr>
        <w:t xml:space="preserve"> through </w:t>
      </w:r>
      <w:r>
        <w:rPr>
          <w:rFonts w:ascii="Times New Roman" w:cs="Times New Roman" w:eastAsia="Times New Roman" w:hAnsi="Times New Roman"/>
          <w:sz w:val="18"/>
          <w:szCs w:val="18"/>
          <w:u w:val="single" w:color="auto"/>
          <w:color w:val="231F1F"/>
        </w:rPr>
        <w:t>14</w:t>
      </w:r>
      <w:r>
        <w:rPr>
          <w:rFonts w:ascii="Times New Roman" w:cs="Times New Roman" w:eastAsia="Times New Roman" w:hAnsi="Times New Roman"/>
          <w:sz w:val="18"/>
          <w:szCs w:val="18"/>
          <w:color w:val="231F1F"/>
        </w:rPr>
        <w:t xml:space="preserve">, </w:t>
      </w:r>
      <w:r>
        <w:rPr>
          <w:rFonts w:ascii="Times New Roman" w:cs="Times New Roman" w:eastAsia="Times New Roman" w:hAnsi="Times New Roman"/>
          <w:sz w:val="18"/>
          <w:szCs w:val="18"/>
          <w:u w:val="single" w:color="auto"/>
          <w:color w:val="231F1F"/>
        </w:rPr>
        <w:t>20</w:t>
      </w:r>
      <w:r>
        <w:rPr>
          <w:rFonts w:ascii="Times New Roman" w:cs="Times New Roman" w:eastAsia="Times New Roman" w:hAnsi="Times New Roman"/>
          <w:sz w:val="18"/>
          <w:szCs w:val="18"/>
          <w:color w:val="231F1F"/>
        </w:rPr>
        <w:t xml:space="preserve"> and </w:t>
      </w:r>
      <w:r>
        <w:rPr>
          <w:rFonts w:ascii="Times New Roman" w:cs="Times New Roman" w:eastAsia="Times New Roman" w:hAnsi="Times New Roman"/>
          <w:sz w:val="18"/>
          <w:szCs w:val="18"/>
          <w:u w:val="single" w:color="auto"/>
          <w:color w:val="231F1F"/>
        </w:rPr>
        <w:t>22</w:t>
      </w:r>
      <w:r>
        <w:rPr>
          <w:rFonts w:ascii="Times New Roman" w:cs="Times New Roman" w:eastAsia="Times New Roman" w:hAnsi="Times New Roman"/>
          <w:sz w:val="18"/>
          <w:szCs w:val="18"/>
          <w:color w:val="231F1F"/>
        </w:rPr>
        <w:t>, the Significant Stakeholders identified on the signature pages hereto (collectively, the “</w:t>
      </w:r>
      <w:r>
        <w:rPr>
          <w:rFonts w:ascii="Times New Roman" w:cs="Times New Roman" w:eastAsia="Times New Roman" w:hAnsi="Times New Roman"/>
          <w:sz w:val="18"/>
          <w:szCs w:val="18"/>
          <w:b w:val="1"/>
          <w:bCs w:val="1"/>
          <w:i w:val="1"/>
          <w:iCs w:val="1"/>
          <w:color w:val="231F1F"/>
        </w:rPr>
        <w:t>Significant Stakeholders</w:t>
      </w:r>
      <w:r>
        <w:rPr>
          <w:rFonts w:ascii="Times New Roman" w:cs="Times New Roman" w:eastAsia="Times New Roman" w:hAnsi="Times New Roman"/>
          <w:sz w:val="18"/>
          <w:szCs w:val="18"/>
          <w:color w:val="231F1F"/>
        </w:rPr>
        <w:t>,” and each individually, a “</w:t>
      </w:r>
      <w:r>
        <w:rPr>
          <w:rFonts w:ascii="Times New Roman" w:cs="Times New Roman" w:eastAsia="Times New Roman" w:hAnsi="Times New Roman"/>
          <w:sz w:val="18"/>
          <w:szCs w:val="18"/>
          <w:b w:val="1"/>
          <w:bCs w:val="1"/>
          <w:i w:val="1"/>
          <w:iCs w:val="1"/>
          <w:color w:val="231F1F"/>
        </w:rPr>
        <w:t>Significant Stakeholder</w:t>
      </w:r>
      <w:r>
        <w:rPr>
          <w:rFonts w:ascii="Times New Roman" w:cs="Times New Roman" w:eastAsia="Times New Roman" w:hAnsi="Times New Roman"/>
          <w:sz w:val="18"/>
          <w:szCs w:val="18"/>
          <w:color w:val="231F1F"/>
        </w:rPr>
        <w:t>”)</w:t>
      </w:r>
      <w:r>
        <w:rPr>
          <w:rFonts w:ascii="Times New Roman" w:cs="Times New Roman" w:eastAsia="Times New Roman" w:hAnsi="Times New Roman"/>
          <w:sz w:val="18"/>
          <w:szCs w:val="18"/>
          <w:color w:val="000000"/>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Borrower and Parent are parties to that certain Credit Agreement, dated as of September 21, 2022, by and among Borrower, Parent, each other Loan Party party thereto, Agent, and the financial institutions party thereto from time to time (the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s”), as amended by the Waiver and First Amendment to Credit Agreement, dated as of March 31, 2023, the Second Amendment to Credit Agreement, dated as of May 25, 2023, the Third Amendment to Credit Agreement, dated as of October 10, 2023, the Forbearance and Fourth Amendment to Credit Agreement, dated as of January 22, 2024, the Fifth Amendment to Credit Agreement and Acknowledgement, dated as of January 30, 2024, the Forbearance and Sixth Amendment to Credit Agreement, dated as of March 1, 2024, and the Seventh Amendment to Credit Agreement, dated as of March 21, 2024 (collectively, and as further amended, restated, supplemented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Capitalized terms used but not otherwise defined herein shall have the definitions attributable to them in the Credit Agreement.</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B.            As of the date hereof, Event of Defaults have occurred and are continuing under the Credit Agreement, as set forth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Existing Defaults</w:t>
      </w:r>
      <w:r>
        <w:rPr>
          <w:rFonts w:ascii="Times New Roman" w:cs="Times New Roman" w:eastAsia="Times New Roman" w:hAnsi="Times New Roman"/>
          <w:sz w:val="18"/>
          <w:szCs w:val="18"/>
          <w:color w:val="auto"/>
        </w:rPr>
        <w:t>”). As of the date hereof, the Existing Defaults have not been cured or waived and are continuing.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Subject to the satisfaction of the conditions set forth herein, the Agent and the Lenders are willing to forbear for a limited period from further exercising their rights and remedies against the Loan Parties until the Termination Date (as defined below), solely upon the terms and conditions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In consideration of the terms, conditions and covenants set forth below, and other good and valuable consideration, </w:t>
      </w:r>
      <w:r>
        <w:rPr>
          <w:rFonts w:ascii="Times New Roman" w:cs="Times New Roman" w:eastAsia="Times New Roman" w:hAnsi="Times New Roman"/>
          <w:sz w:val="18"/>
          <w:szCs w:val="18"/>
          <w:color w:val="231F1F"/>
        </w:rPr>
        <w:t>the receipt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sufficiency of which are hereby acknowledged, the parties, intending to be legally bound hereby, promise and agree as follows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Recitals Incorporated.</w:t>
      </w:r>
      <w:r>
        <w:rPr>
          <w:rFonts w:ascii="Times New Roman" w:cs="Times New Roman" w:eastAsia="Times New Roman" w:hAnsi="Times New Roman"/>
          <w:sz w:val="18"/>
          <w:szCs w:val="18"/>
          <w:color w:val="auto"/>
        </w:rPr>
        <w:t xml:space="preserve"> The recitals and prefatory phrases and paragraphs set forth above are hereby incorporated in full and made a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Acknowledgment of Obligations.</w:t>
      </w:r>
      <w:r>
        <w:rPr>
          <w:rFonts w:ascii="Times New Roman" w:cs="Times New Roman" w:eastAsia="Times New Roman" w:hAnsi="Times New Roman"/>
          <w:sz w:val="18"/>
          <w:szCs w:val="18"/>
          <w:color w:val="auto"/>
        </w:rPr>
        <w:t xml:space="preserve"> Each Loan Party signatory hereto hereby acknowledges, confirms, and agrees that as of the close of business on May 15, 2024, the Loan Parties are indebted to the Lenders in the principal amount of $53,468,583.53, plus accrued interest, fees, costs, expenses and other charges, under the Credit Agreement and other Loan Documents (the “</w:t>
      </w:r>
      <w:r>
        <w:rPr>
          <w:rFonts w:ascii="Times New Roman" w:cs="Times New Roman" w:eastAsia="Times New Roman" w:hAnsi="Times New Roman"/>
          <w:sz w:val="18"/>
          <w:szCs w:val="18"/>
          <w:b w:val="1"/>
          <w:bCs w:val="1"/>
          <w:i w:val="1"/>
          <w:iCs w:val="1"/>
          <w:color w:val="auto"/>
        </w:rPr>
        <w:t>Outstanding Balance</w:t>
      </w:r>
      <w:r>
        <w:rPr>
          <w:rFonts w:ascii="Times New Roman" w:cs="Times New Roman" w:eastAsia="Times New Roman" w:hAnsi="Times New Roman"/>
          <w:sz w:val="18"/>
          <w:szCs w:val="18"/>
          <w:color w:val="auto"/>
        </w:rPr>
        <w:t>”). The Outstanding Balance, together with interest accruing thereon, and all fees, costs, expenses, and other charges now or hereafter payable by the Loan Parties to Lenders pursuant to the Loan Documents and hereunder, is unconditionally owing by the Loan Parties to the Lenders, without offset, defense, or counterclaim of any kind, nature, or description whatsoever.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Acknowledgment of Security Interests.</w:t>
      </w:r>
      <w:r>
        <w:rPr>
          <w:rFonts w:ascii="Times New Roman" w:cs="Times New Roman" w:eastAsia="Times New Roman" w:hAnsi="Times New Roman"/>
          <w:sz w:val="18"/>
          <w:szCs w:val="18"/>
          <w:color w:val="auto"/>
        </w:rPr>
        <w:t xml:space="preserve"> Each Loan Party signatory hereto hereby acknowledges, confirms, and agrees that Agent, for the ratable benefit of itself and the Lenders, has and shall continue to have valid, enforceable, and perfected Liens upon and security interests in the Collateral pursuant to the Security Documents and any other Loan Document pursuant to which Agent is granted a Lien, and the validity and perfection of such Liens and security interests shall remain unaffected by the parties’ execution of this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Binding Effect of Documents.</w:t>
      </w:r>
      <w:r>
        <w:rPr>
          <w:rFonts w:ascii="Times New Roman" w:cs="Times New Roman" w:eastAsia="Times New Roman" w:hAnsi="Times New Roman"/>
          <w:sz w:val="18"/>
          <w:szCs w:val="18"/>
          <w:color w:val="auto"/>
        </w:rPr>
        <w:t xml:space="preserve"> Each Loan Party signatory hereto hereby acknowledges, confirms, and agrees that: (i) each of the Loan Documents to which it is a party has been duly executed and delivered to Agent and the Lenders by such Loan Party, and each is and shall remain in full force and effect as of the Effective Date; (ii) the agreements and obligations of such Loan Party contained in the Loan Documents and in this Agreement constitute the legal, valid, and binding obligations of such Loan Party, enforceable against it in accordance with their respective terms, and such Loan Party has no valid defense to the enforcement of the Obligations; and (iii) Agent and the Lenders are entitled to the rights, remedies, and benefits provided for under the Loan Documents and applicable law.</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Acknowledgment of Existing Defaults.</w:t>
      </w:r>
      <w:r>
        <w:rPr>
          <w:rFonts w:ascii="Times New Roman" w:cs="Times New Roman" w:eastAsia="Times New Roman" w:hAnsi="Times New Roman"/>
          <w:sz w:val="18"/>
          <w:szCs w:val="18"/>
          <w:color w:val="auto"/>
        </w:rPr>
        <w:t xml:space="preserve"> Each Loan Party signatory hereto hereby acknowledges and agrees that (i) the Existing Defaults have occurred and are continuing, (ii) each of the Existing Defaults constitutes an “Event of Default” under the Loan Documents, and (iii) as a result of the Existing Defaults, Agent and the Lenders are entitled to exercise their respective rights and remedies under the Loan Documents, applicable law, or otherwise. Each Loan Party further represents and warrants that as of the Effective Date, no other Defaults or Events of Default under the Loan Documents exist. Agent and the Lenders have not waived and do not intend to waive any Existing Default, or any other Default or Event of Default which may exist under any Loan Document, and nothing contained herein or the transactions contemplated hereby shall be deemed to constitute such a waiver.</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color w:val="auto"/>
        </w:rPr>
        <w:t>No New Financing</w:t>
      </w:r>
      <w:r>
        <w:rPr>
          <w:rFonts w:ascii="Times New Roman" w:cs="Times New Roman" w:eastAsia="Times New Roman" w:hAnsi="Times New Roman"/>
          <w:sz w:val="18"/>
          <w:szCs w:val="18"/>
          <w:color w:val="auto"/>
        </w:rPr>
        <w:t>. Each Loan Party acknowledges that the Lenders have, and shall have, no further commitment or obligation to provide any further financing or loans to the Borrower pursuant to the Loan Documents. Notwithstanding the foregoing, the Lenders may from time to time, in their sole discretion and subject to certain conditions precedent, fund capital and make certain Protective Advances, and any amounts so funded or advanced shall be added to the outstanding principal balance and become part of the Obligations (and shall thereafter accrue interest and otherwise be entitled to the benefits and treatment of being Protective Advances under the Credit Agreement). The Lenders’ advancement of additional funds hereunder shall not constitute or be construed as a waiver of the Existing Defaults or of any of Agent’s or Lenders’ rights or remedies in connection therewith.</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Representations of Loan Parties.</w:t>
      </w:r>
      <w:r>
        <w:rPr>
          <w:rFonts w:ascii="Times New Roman" w:cs="Times New Roman" w:eastAsia="Times New Roman" w:hAnsi="Times New Roman"/>
          <w:sz w:val="18"/>
          <w:szCs w:val="18"/>
          <w:color w:val="auto"/>
        </w:rPr>
        <w:t xml:space="preserve"> Each Loan Party, and with respect to clauses (ii) and (iii), each Significant Stakeholder (for itself only, and not for any Loan Party), hereby represents and warrants to Agent and the Lenders as follows:</w:t>
      </w:r>
    </w:p>
    <w:p>
      <w:pPr>
        <w:spacing w:after="0" w:line="15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Loan Document Representations</w:t>
      </w:r>
      <w:r>
        <w:rPr>
          <w:rFonts w:ascii="Times New Roman" w:cs="Times New Roman" w:eastAsia="Times New Roman" w:hAnsi="Times New Roman"/>
          <w:sz w:val="18"/>
          <w:szCs w:val="18"/>
          <w:color w:val="auto"/>
        </w:rPr>
        <w:t>. Each of the representations and warranties made by or on behalf of such Loan Party to Agent and the Lenders in any of the Loan Documents was true and correct when made, and is true and correct in all material respects on and as of the Effective Date (except for (x) representations and warranties which are already subject to materiality, which shall be true and correct in all respects, and those referring to an earlier date, which shall be true and correct in all material respects as of such date, and (y) any representations and warranties that no Default or Event of Default exists, solely with respect to the Existing Defaults), with the same full force and effect as if each of such representations and warranties had been made by such Loan Party on the Effective Date and in this Agreement.</w:t>
      </w:r>
    </w:p>
    <w:p>
      <w:pPr>
        <w:spacing w:after="0" w:line="182"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Binding Effect of Documents</w:t>
      </w:r>
      <w:r>
        <w:rPr>
          <w:rFonts w:ascii="Times New Roman" w:cs="Times New Roman" w:eastAsia="Times New Roman" w:hAnsi="Times New Roman"/>
          <w:sz w:val="18"/>
          <w:szCs w:val="18"/>
          <w:color w:val="auto"/>
        </w:rPr>
        <w:t>. This Agreement has been duly authorized, executed, and delivered to Agent and the Lenders by such Loan Party or such Significant Stakeholder, as applicable, and is enforceable in accordance with its terms and is in full force and effect.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The execution, delivery, and performance of this Agreement by such Loan Party or such Significant Stakeholder, as applicable, will not violate any requirement of law or contractual obligation of such Loan Party or such Significant Stakeholder, as applicable, and will not result in, or require, the creation or imposition of any Lien on any of its properties or revenues.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color w:val="auto"/>
        </w:rPr>
        <w:t>Cooperation Period.</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In reliance upon the undertakings, representations, warranties, and covenants of each Loan Party and each Significant Stakeholder contained in this Agreement, and subject to the terms and conditions of this Agreement and any documents or instruments executed in connection herewith, the Agent and the Lenders agree to forbear from further exercising their respective rights and remedies under the Loan Documents or applicable law in respect of or arising out of the Existing Defaults for the period commencing on the Effective Date and ending on the Termination Date (as defined below) (the “</w:t>
      </w:r>
      <w:r>
        <w:rPr>
          <w:rFonts w:ascii="Times New Roman" w:cs="Times New Roman" w:eastAsia="Times New Roman" w:hAnsi="Times New Roman"/>
          <w:sz w:val="18"/>
          <w:szCs w:val="18"/>
          <w:b w:val="1"/>
          <w:bCs w:val="1"/>
          <w:i w:val="1"/>
          <w:iCs w:val="1"/>
          <w:color w:val="auto"/>
        </w:rPr>
        <w:t>Cooperation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(ii)            During the Cooperation Period, Lenders will engage in good faith discussions with a view to concluding a binding agreement with a third party that is a permitted assignee under Section 8.6 of the Credit Agreement (a “</w:t>
      </w:r>
      <w:r>
        <w:rPr>
          <w:rFonts w:ascii="Times New Roman" w:cs="Times New Roman" w:eastAsia="Times New Roman" w:hAnsi="Times New Roman"/>
          <w:sz w:val="18"/>
          <w:szCs w:val="18"/>
          <w:b w:val="1"/>
          <w:bCs w:val="1"/>
          <w:i w:val="1"/>
          <w:iCs w:val="1"/>
          <w:color w:val="auto"/>
        </w:rPr>
        <w:t>Potential Assignee</w:t>
      </w:r>
      <w:r>
        <w:rPr>
          <w:rFonts w:ascii="Times New Roman" w:cs="Times New Roman" w:eastAsia="Times New Roman" w:hAnsi="Times New Roman"/>
          <w:sz w:val="18"/>
          <w:szCs w:val="18"/>
          <w:color w:val="auto"/>
        </w:rPr>
        <w:t>”) that submits a binding written offer (an “</w:t>
      </w:r>
      <w:r>
        <w:rPr>
          <w:rFonts w:ascii="Times New Roman" w:cs="Times New Roman" w:eastAsia="Times New Roman" w:hAnsi="Times New Roman"/>
          <w:sz w:val="18"/>
          <w:szCs w:val="18"/>
          <w:b w:val="1"/>
          <w:bCs w:val="1"/>
          <w:i w:val="1"/>
          <w:iCs w:val="1"/>
          <w:color w:val="auto"/>
        </w:rPr>
        <w:t>Offer</w:t>
      </w:r>
      <w:r>
        <w:rPr>
          <w:rFonts w:ascii="Times New Roman" w:cs="Times New Roman" w:eastAsia="Times New Roman" w:hAnsi="Times New Roman"/>
          <w:sz w:val="18"/>
          <w:szCs w:val="18"/>
          <w:color w:val="auto"/>
        </w:rPr>
        <w:t>”) to purchase of all of the Lenders’ rights and obligations under the Loan Documents (the “</w:t>
      </w:r>
      <w:r>
        <w:rPr>
          <w:rFonts w:ascii="Times New Roman" w:cs="Times New Roman" w:eastAsia="Times New Roman" w:hAnsi="Times New Roman"/>
          <w:sz w:val="18"/>
          <w:szCs w:val="18"/>
          <w:b w:val="1"/>
          <w:bCs w:val="1"/>
          <w:i w:val="1"/>
          <w:iCs w:val="1"/>
          <w:color w:val="auto"/>
        </w:rPr>
        <w:t>Assigned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$20,000,000, (B) accompanied by a binding commitment by the Parent to issue one or more promissory notes to the Lenders, guaranteed by the Borrower, in an aggregate principal amount equal to (x) fifty percent (50%) of the outstanding balance of the Obligations less (y) the proposed cash purchase price (the “</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which Convertible Notes shall be convertible into equity of the Parent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the Borrower with operating capital (net of all fundraising costs) of not less than $12,000,000, not including the cash purchase price described in (ii)(A) above (the “</w:t>
      </w:r>
      <w:r>
        <w:rPr>
          <w:rFonts w:ascii="Times New Roman" w:cs="Times New Roman" w:eastAsia="Times New Roman" w:hAnsi="Times New Roman"/>
          <w:sz w:val="18"/>
          <w:szCs w:val="18"/>
          <w:b w:val="1"/>
          <w:bCs w:val="1"/>
          <w:i w:val="1"/>
          <w:iCs w:val="1"/>
          <w:color w:val="auto"/>
        </w:rPr>
        <w:t>Operating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Contribution</w:t>
      </w:r>
      <w:r>
        <w:rPr>
          <w:rFonts w:ascii="Times New Roman" w:cs="Times New Roman" w:eastAsia="Times New Roman" w:hAnsi="Times New Roman"/>
          <w:sz w:val="18"/>
          <w:szCs w:val="18"/>
          <w:color w:val="auto"/>
        </w:rPr>
        <w:t>”), provided, that the amount of the Convertible Notes shall increase on a Dollar-for-Dollar basis to the extent that the Operating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is less than $18,000,000. For the avoidance of doubt, Lenders may, at any time, including after the Termination Date, in their sole and absolute discretion (A) engage in discussions or negotiations with any other Person with respect to a potential sale and assignment of the Assigned Interest and (B) sell and assign the Assigned Interest to any other permitted assignee under Section 8.6 of the Credit Agreement and terminate all of Lenders’ obligations under this Section. Nothing herein shall be deemed to modify any rights of any party to that certain Subordination Agreement between Borrower, Parent, Agent, and Presto CA LLC dated March 21, 2024.</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(iii)            As used herein,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date that is the earliest of: (a) May 22, 2024, provided, that such date shall automatically be extended to June 14, 2024 if the May Funding generates working capital equal to or greater than $3,000,000, with at least $2,500,000 funded by May 15, 2024 and the remainder funded no later than May 22, 2024; (b) the date on which any Loan Party commences, or threatens in writing to commence, any litigation against the Agent or any Lender; (c) the date on which any Loan Party takes any action inconsistent with the Agent’s or any Lender’s interests in the Collateral; (d) the commencement of any Insolvency Proceeding by or against any Loan Party; (e) any amendment to the Loan Parties’ Operating Documents, or any Loan Party’s entry into any stockholders agreement or other Operating Document, which in any way amends or alters (other than such amendments or agreements as are required in order to give effect to the provisions of this Agreement and which shall be reasonably acceptable to the Agent) (A) the composition of the Loan Parties’ Governing Bodies, including providing any stockholder or other Person with any right to designate a director (except as may approved in writing by Agent in its sole discretion), (B) the relative voting rights of members of such Governing Bodies or stockholders, or (C) the terms of the Loan Parties’ governance, (f) Paul Hastings LLP ceases, for any reason, to act as corporate counsel to the Loan Parties, (g) [reserved], or (h) the occurrence or existence of any Default or Event of Default hereunder or under any Loan Document, or any event or circumstance which, with notice or the passage of time, shall become an Event of Default (an “</w:t>
      </w:r>
      <w:r>
        <w:rPr>
          <w:rFonts w:ascii="Times New Roman" w:cs="Times New Roman" w:eastAsia="Times New Roman" w:hAnsi="Times New Roman"/>
          <w:sz w:val="18"/>
          <w:szCs w:val="18"/>
          <w:b w:val="1"/>
          <w:bCs w:val="1"/>
          <w:i w:val="1"/>
          <w:iCs w:val="1"/>
          <w:color w:val="auto"/>
        </w:rPr>
        <w:t>Unmatured Default</w:t>
      </w:r>
      <w:r>
        <w:rPr>
          <w:rFonts w:ascii="Times New Roman" w:cs="Times New Roman" w:eastAsia="Times New Roman" w:hAnsi="Times New Roman"/>
          <w:sz w:val="18"/>
          <w:szCs w:val="18"/>
          <w:color w:val="auto"/>
        </w:rPr>
        <w:t>”), other than the Existing Defaults. For purposes of clarity, failure of the Loan Parties to satisfy any of the covenants herein will constitute an immediate Event of Default for purposes of determining the Termination Date. An “</w:t>
      </w:r>
      <w:r>
        <w:rPr>
          <w:rFonts w:ascii="Times New Roman" w:cs="Times New Roman" w:eastAsia="Times New Roman" w:hAnsi="Times New Roman"/>
          <w:sz w:val="18"/>
          <w:szCs w:val="18"/>
          <w:b w:val="1"/>
          <w:bCs w:val="1"/>
          <w:i w:val="1"/>
          <w:iCs w:val="1"/>
          <w:color w:val="auto"/>
        </w:rPr>
        <w:t>Insolvency Proceeding</w:t>
      </w:r>
      <w:r>
        <w:rPr>
          <w:rFonts w:ascii="Times New Roman" w:cs="Times New Roman" w:eastAsia="Times New Roman" w:hAnsi="Times New Roman"/>
          <w:sz w:val="18"/>
          <w:szCs w:val="18"/>
          <w:color w:val="auto"/>
        </w:rPr>
        <w:t>” means any case or proceeding commenced by or against a Person under any Debtor Relief Law, or any agreement of such Person with respect to relief available under any Debtor Relief Law.</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(iv)            Immediately upon termination of the Cooperation Period, the agreement of the Lenders to forbear shall automatically and without further action terminate and be of no force and effect, it being expressly agreed that the effect of such termination will be to permit the Agent and each Lender to exercise immediately all rights and remedies available to it under the Loan Documents and applicable law, including, without limitation, to accelerate all of the Obligations and impose the Default Rate, in each case without any further notice, demand, presentment, protest, passage of time, or forbearance of any kind (all of which each Loan Party hereby expressly waives).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(v)            The Loan Parties understand and accept the temporary nature of the forbearance provided hereby, and the Loan Parties further acknowledge and agree that the Agent and the Lenders have given no assurances, written or oral, that they will extend such forbearance or provide waivers or amendments to the Credit Agreement or any other Loan Document. Nothing in this Cooperation Agreement constitutes a legal obligation on the Agent or any Lender to participate in any restructuring of the Credit Agreement or to execute any related documents and no such obligation shall arise except pursuant to definitive documentation acceptable to and executed by the Agent and the Lenders in their sole and absolute discretion.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color w:val="auto"/>
        </w:rPr>
        <w:t>Milestones; Additional Agreements</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The Loan Parties have informed the Agent that they intend to obtain $3,000,000 of working capital through (A) incurring Subordinated Indebtedness from Remus Capital Series B II, L.P, or its registered assigns (the “</w:t>
      </w:r>
      <w:r>
        <w:rPr>
          <w:rFonts w:ascii="Times New Roman" w:cs="Times New Roman" w:eastAsia="Times New Roman" w:hAnsi="Times New Roman"/>
          <w:sz w:val="18"/>
          <w:szCs w:val="18"/>
          <w:b w:val="1"/>
          <w:bCs w:val="1"/>
          <w:i w:val="1"/>
          <w:iCs w:val="1"/>
          <w:color w:val="auto"/>
        </w:rPr>
        <w:t>New Remus Note</w:t>
      </w:r>
      <w:r>
        <w:rPr>
          <w:rFonts w:ascii="Times New Roman" w:cs="Times New Roman" w:eastAsia="Times New Roman" w:hAnsi="Times New Roman"/>
          <w:sz w:val="18"/>
          <w:szCs w:val="18"/>
          <w:color w:val="auto"/>
        </w:rPr>
        <w:t>”) and (B) one or more registered direct offerings or private placements (collectively, the “</w:t>
      </w:r>
      <w:r>
        <w:rPr>
          <w:rFonts w:ascii="Times New Roman" w:cs="Times New Roman" w:eastAsia="Times New Roman" w:hAnsi="Times New Roman"/>
          <w:sz w:val="18"/>
          <w:szCs w:val="18"/>
          <w:b w:val="1"/>
          <w:bCs w:val="1"/>
          <w:i w:val="1"/>
          <w:iCs w:val="1"/>
          <w:color w:val="auto"/>
        </w:rPr>
        <w:t>May Offerings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May Offering</w:t>
      </w:r>
      <w:r>
        <w:rPr>
          <w:rFonts w:ascii="Times New Roman" w:cs="Times New Roman" w:eastAsia="Times New Roman" w:hAnsi="Times New Roman"/>
          <w:sz w:val="18"/>
          <w:szCs w:val="18"/>
          <w:color w:val="auto"/>
        </w:rPr>
        <w:t>,” and together with the New Remus Note, the “</w:t>
      </w:r>
      <w:r>
        <w:rPr>
          <w:rFonts w:ascii="Times New Roman" w:cs="Times New Roman" w:eastAsia="Times New Roman" w:hAnsi="Times New Roman"/>
          <w:sz w:val="18"/>
          <w:szCs w:val="18"/>
          <w:b w:val="1"/>
          <w:bCs w:val="1"/>
          <w:i w:val="1"/>
          <w:iCs w:val="1"/>
          <w:color w:val="auto"/>
        </w:rPr>
        <w:t>May Funding</w:t>
      </w:r>
      <w:r>
        <w:rPr>
          <w:rFonts w:ascii="Times New Roman" w:cs="Times New Roman" w:eastAsia="Times New Roman" w:hAnsi="Times New Roman"/>
          <w:sz w:val="18"/>
          <w:szCs w:val="18"/>
          <w:color w:val="auto"/>
        </w:rPr>
        <w:t>”). The Loan Parties shall raise additional working capital no later than June 7, 2024 (the “</w:t>
      </w:r>
      <w:r>
        <w:rPr>
          <w:rFonts w:ascii="Times New Roman" w:cs="Times New Roman" w:eastAsia="Times New Roman" w:hAnsi="Times New Roman"/>
          <w:sz w:val="18"/>
          <w:szCs w:val="18"/>
          <w:b w:val="1"/>
          <w:bCs w:val="1"/>
          <w:i w:val="1"/>
          <w:iCs w:val="1"/>
          <w:color w:val="auto"/>
        </w:rPr>
        <w:t>Capital Raise</w:t>
      </w:r>
      <w:r>
        <w:rPr>
          <w:rFonts w:ascii="Times New Roman" w:cs="Times New Roman" w:eastAsia="Times New Roman" w:hAnsi="Times New Roman"/>
          <w:sz w:val="18"/>
          <w:szCs w:val="18"/>
          <w:color w:val="auto"/>
        </w:rPr>
        <w:t>”). If the Capital Raise results in gross cash proceeds of $3,000,000 or more, excluding amounts to be held in escrow, the expiration date in clause (a) of the definition of “Termination Date” shall be automatically amended to “July 15, 2024”.</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Agent hereby consents to the Loan Parties’ issuance of the New Remus Note, in the form previously provided to the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Remus Note is and shall be Subordinated Indebtedness and Parent Subordinated Indebtedness for all purposes under the Loan Documents.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(iii)           The Agent and the Loan Parties waive the requirements of Section 5.19(b) of the Credit Agreement with respect to the proposed sale of shares of common stock of the Borrower, provided that agreements for the sale of such securities are entered into or on before May 15,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b w:val="1"/>
          <w:bCs w:val="1"/>
          <w:color w:val="auto"/>
        </w:rPr>
        <w:t>Capital Raise.</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Updates</w:t>
      </w:r>
      <w:r>
        <w:rPr>
          <w:rFonts w:ascii="Times New Roman" w:cs="Times New Roman" w:eastAsia="Times New Roman" w:hAnsi="Times New Roman"/>
          <w:sz w:val="18"/>
          <w:szCs w:val="18"/>
          <w:color w:val="auto"/>
        </w:rPr>
        <w:t>. At such times reasonably requested by Agent, the Loan Parties and their investment banker or other applicable professional (the “</w:t>
      </w:r>
      <w:r>
        <w:rPr>
          <w:rFonts w:ascii="Times New Roman" w:cs="Times New Roman" w:eastAsia="Times New Roman" w:hAnsi="Times New Roman"/>
          <w:sz w:val="18"/>
          <w:szCs w:val="18"/>
          <w:b w:val="1"/>
          <w:bCs w:val="1"/>
          <w:i w:val="1"/>
          <w:iCs w:val="1"/>
          <w:color w:val="auto"/>
        </w:rPr>
        <w:t>Loan Party Professionals</w:t>
      </w:r>
      <w:r>
        <w:rPr>
          <w:rFonts w:ascii="Times New Roman" w:cs="Times New Roman" w:eastAsia="Times New Roman" w:hAnsi="Times New Roman"/>
          <w:sz w:val="18"/>
          <w:szCs w:val="18"/>
          <w:color w:val="auto"/>
        </w:rPr>
        <w:t>,” and together with the Lender Professionals (as defined herein), the “</w:t>
      </w:r>
      <w:r>
        <w:rPr>
          <w:rFonts w:ascii="Times New Roman" w:cs="Times New Roman" w:eastAsia="Times New Roman" w:hAnsi="Times New Roman"/>
          <w:sz w:val="18"/>
          <w:szCs w:val="18"/>
          <w:b w:val="1"/>
          <w:bCs w:val="1"/>
          <w:i w:val="1"/>
          <w:iCs w:val="1"/>
          <w:color w:val="auto"/>
        </w:rPr>
        <w:t>Professionals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Professional</w:t>
      </w:r>
      <w:r>
        <w:rPr>
          <w:rFonts w:ascii="Times New Roman" w:cs="Times New Roman" w:eastAsia="Times New Roman" w:hAnsi="Times New Roman"/>
          <w:sz w:val="18"/>
          <w:szCs w:val="18"/>
          <w:color w:val="auto"/>
        </w:rPr>
        <w:t>”) in respect of the Capital Raise shall conduct a telephonic meeting, to be attended by management representatives of the Loan Parties, the Loan Party Professionals, and Agent, during which the Loan Parties and the Loan Party Professionals shall present to Agent on the work done and planned to be done by the Loan Party Professionals and the Loan Parties in connection with each Capital Raise and the results and projected results of such work.</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During the Cooperation Period and at all times thereafter, the Loan Parties shall (i) maintain an independent committee of the Parent’s board of directors to work with the Agent and the Lenders on the development and execution of a strategic plan for the Loan Parties and the Obligations in the event that the Cooperation Period terminates (an “</w:t>
      </w:r>
      <w:r>
        <w:rPr>
          <w:rFonts w:ascii="Times New Roman" w:cs="Times New Roman" w:eastAsia="Times New Roman" w:hAnsi="Times New Roman"/>
          <w:sz w:val="18"/>
          <w:szCs w:val="18"/>
          <w:b w:val="1"/>
          <w:bCs w:val="1"/>
          <w:i w:val="1"/>
          <w:iCs w:val="1"/>
          <w:color w:val="auto"/>
        </w:rPr>
        <w:t>Alternative Path</w:t>
      </w:r>
      <w:r>
        <w:rPr>
          <w:rFonts w:ascii="Times New Roman" w:cs="Times New Roman" w:eastAsia="Times New Roman" w:hAnsi="Times New Roman"/>
          <w:sz w:val="18"/>
          <w:szCs w:val="18"/>
          <w:color w:val="auto"/>
        </w:rPr>
        <w:t>”) and (ii) direct the Loan Party Professionals to work with the Agent and the Lenders in the development and execution of the Alternative Path, including the identification and solicitation of additional financing sources for the Loan Parties. The Loan Parties shall fully cooperate with, and shall not impede, contest or otherwise interfere with such efforts.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Access to Records</w:t>
      </w:r>
      <w:r>
        <w:rPr>
          <w:rFonts w:ascii="Times New Roman" w:cs="Times New Roman" w:eastAsia="Times New Roman" w:hAnsi="Times New Roman"/>
          <w:sz w:val="18"/>
          <w:szCs w:val="18"/>
          <w:color w:val="auto"/>
        </w:rPr>
        <w:t>. The Loan Parties shall (i) provide access to their properties and systems (including remote access as may be requested) to the Agent, the Lenders, and the Professionals as frequently as any such Professional reasonably determines to be appropriate in order to perform the agreed scope of work under their respective engagements; (ii) make the Loan Parties’ directors, officers, employees and advisors available for meetings and discussions with Agent and/or the Professionals at such times as shall be reasonably requested; (iii) permit the Professionals to conduct monitoring and evaluations of the Loan Parties’ finances, financial condition, business and operations; (iv) furnish information when reasonably requested and permit Agent and the Professionals to inspect and obtain copies (including electronic data), as available, from the Loan Parties’ books and records; and</w:t>
      </w:r>
    </w:p>
    <w:p>
      <w:pPr>
        <w:spacing w:after="0" w:line="2" w:lineRule="exact"/>
        <w:rPr>
          <w:sz w:val="20"/>
          <w:szCs w:val="20"/>
          <w:color w:val="auto"/>
        </w:rPr>
      </w:pPr>
    </w:p>
    <w:p>
      <w:pPr>
        <w:jc w:val="both"/>
        <w:ind w:firstLine="8"/>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updates to the Agent and Professionals on any changes in the business or expected financial performance that could reasonably be expected to have a material effect on the affairs of the Loan Parties. The Lender Professionals are also entitled to meet with the Loan Party Professionals and the Loan Parties’ counsel.</w:t>
      </w:r>
    </w:p>
    <w:p>
      <w:pPr>
        <w:spacing w:after="0" w:line="18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Ordinary Course Operations</w:t>
      </w:r>
      <w:r>
        <w:rPr>
          <w:rFonts w:ascii="Times New Roman" w:cs="Times New Roman" w:eastAsia="Times New Roman" w:hAnsi="Times New Roman"/>
          <w:sz w:val="18"/>
          <w:szCs w:val="18"/>
          <w:color w:val="auto"/>
        </w:rPr>
        <w:t>. Except as otherwise set forth in the Credit Agreement, the Loan Parties shall continue to operate in the ordinary course of business until all obligations to the Agent and Lenders are satisfied in full or as otherwise consented to by the Agent and Lender in their sole and absolute discretion.</w:t>
      </w:r>
    </w:p>
    <w:p>
      <w:pPr>
        <w:spacing w:after="0" w:line="17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Additional funding</w:t>
      </w:r>
      <w:r>
        <w:rPr>
          <w:rFonts w:ascii="Times New Roman" w:cs="Times New Roman" w:eastAsia="Times New Roman" w:hAnsi="Times New Roman"/>
          <w:sz w:val="18"/>
          <w:szCs w:val="18"/>
          <w:color w:val="auto"/>
        </w:rPr>
        <w:t>. During the Cooperation Period, but in contemplation of the termination of the Cooperation Period, Agent, the Lenders and the Loan Parties agree to explore and consider (1) an Alternative Path and (2) a potential new investment by Agent and/or the Lenders in the Loan Parties to bridge the Loan Parties’ liquidity needs towards such Alternative Path (together the “</w:t>
      </w:r>
      <w:r>
        <w:rPr>
          <w:rFonts w:ascii="Times New Roman" w:cs="Times New Roman" w:eastAsia="Times New Roman" w:hAnsi="Times New Roman"/>
          <w:sz w:val="18"/>
          <w:szCs w:val="18"/>
          <w:b w:val="1"/>
          <w:bCs w:val="1"/>
          <w:i w:val="1"/>
          <w:iCs w:val="1"/>
          <w:color w:val="auto"/>
        </w:rPr>
        <w:t>New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section is not binding on the Agent, any Lender or Loan Parties, will not be construed to be an offer, agreement, agreement in principle, agreement to agree, or commitment to enter into a New Transaction, and no binding obligation of Agent or any Lender (with respect to a New Transaction or otherwise) will arise herefrom other than pursuant to the terms of mutually agreeable definitive documentation which is duly executed by all parties thereto. Agent and the Lenders may at any time decline any further consideration of financing or participating in a New Transaction. This section shall not be construed to create a fiduciary relationship or joint venture between Agent, any Lender and any Loan Party. Any New Transaction is subject to the consideration and approval of Agent, each Lender and their respective investment committees, in their sole and absolute discretion.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Agreements upon Termination of the Cooperation Period.</w:t>
      </w:r>
      <w:r>
        <w:rPr>
          <w:rFonts w:ascii="Times New Roman" w:cs="Times New Roman" w:eastAsia="Times New Roman" w:hAnsi="Times New Roman"/>
          <w:sz w:val="18"/>
          <w:szCs w:val="18"/>
          <w:color w:val="auto"/>
        </w:rPr>
        <w:t xml:space="preserve"> Following the termination of the Cooperation Period:</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The Loan Parties shall fully cooperate with, and shall not impede, contest or otherwise interfere with the Agent, the Lenders and the Lender Professionals (as defined herein) in the exercise of Agent’s and Lenders’ rights and remedies under the Loan Documents, at law or in equity, including, but not limited to, an accelerated sale of the Collateral by the Lender Professionals, a foreclosure or sale process under Article 9 of the Uniform Commercial Code, a sale under section 363 of the Bankruptcy Code (as defined herein), the appointment of a receiver, trustee or other custodian over all or any portion of the Loan Parties’ assets (any of the foregoing, a “</w:t>
      </w:r>
      <w:r>
        <w:rPr>
          <w:rFonts w:ascii="Times New Roman" w:cs="Times New Roman" w:eastAsia="Times New Roman" w:hAnsi="Times New Roman"/>
          <w:sz w:val="18"/>
          <w:szCs w:val="18"/>
          <w:b w:val="1"/>
          <w:bCs w:val="1"/>
          <w:i w:val="1"/>
          <w:iCs w:val="1"/>
          <w:color w:val="auto"/>
        </w:rPr>
        <w:t>Sale Process</w:t>
      </w:r>
      <w:r>
        <w:rPr>
          <w:rFonts w:ascii="Times New Roman" w:cs="Times New Roman" w:eastAsia="Times New Roman" w:hAnsi="Times New Roman"/>
          <w:sz w:val="18"/>
          <w:szCs w:val="18"/>
          <w:color w:val="auto"/>
        </w:rPr>
        <w:t>”), and the retention of professionals, including, but not limited to, investment bankers (such professionals, collectively, the “</w:t>
      </w:r>
      <w:r>
        <w:rPr>
          <w:rFonts w:ascii="Times New Roman" w:cs="Times New Roman" w:eastAsia="Times New Roman" w:hAnsi="Times New Roman"/>
          <w:sz w:val="18"/>
          <w:szCs w:val="18"/>
          <w:b w:val="1"/>
          <w:bCs w:val="1"/>
          <w:i w:val="1"/>
          <w:iCs w:val="1"/>
          <w:color w:val="auto"/>
        </w:rPr>
        <w:t>Lender Professionals</w:t>
      </w:r>
      <w:r>
        <w:rPr>
          <w:rFonts w:ascii="Times New Roman" w:cs="Times New Roman" w:eastAsia="Times New Roman" w:hAnsi="Times New Roman"/>
          <w:sz w:val="18"/>
          <w:szCs w:val="18"/>
          <w:color w:val="auto"/>
        </w:rPr>
        <w:t>”) to assist with any such Sale Process. The Loan Parties expressly acknowledge and agree not to contest Agent’s and the Lenders’ right and ability to credit bid in connection with any of the foregoing transactions, and expressly waive any defenses, rights, actions or other claims in connection therewith.</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The Lender Professionals shall be tasked with facilitating, to the greatest extent permissible by law, any Sale Process discussed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In the event of a Sale Process under section 363 of the Bankruptcy Code, the Lender Professionals shall provide the requisite information, declarations and testimony necessary for such process to be approved and completed.</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(iii)           The Loan Parties shall (i) provide access to their properties and systems (including remote access as may be requested) to the Lender Professionals as frequently as any Lender Professional reasonably determines to be appropriate in order to perform the agreed scope of work under any applicable engagement agreement or otherwise in connection with any Sale Process and Agent’s and Lenders’ exercise of remedies; (ii) make the Loan Parties’ directors, officers, employees and advisors available for meetings and discussions with Agent, Lenders and/or the Lender Professionals at such times as shall be reasonably requested; (iii) permit the Lender Professionals to conduct monitoring and evaluations of the Loan Parties’ finances, financial condition, business and operations in order to perform the agreed scope of work; (iv) furnish information when reasonably requested and permit the Lender Professionals to inspect and obtain copies (including electronic data), as available, from the Loan Parties’ books and records; (v) provide all information necessary or requested to populate a data room or otherwise facilitate due diligence by potential investors and/or purchasers; and (vi) provide timely updates to Agent, the Lenders, and the Lender Professionals on any changes in the business or expected financial performance that could reasonably be expected to have a material effect on the affairs of the Loan Parties.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Budget.</w:t>
      </w:r>
      <w:r>
        <w:rPr>
          <w:rFonts w:ascii="Times New Roman" w:cs="Times New Roman" w:eastAsia="Times New Roman" w:hAnsi="Times New Roman"/>
          <w:sz w:val="18"/>
          <w:szCs w:val="18"/>
          <w:color w:val="auto"/>
        </w:rPr>
        <w:t xml:space="preserve"> The Loan Parties (A) agree that the Lender Professionals will develop a budget for the Loan Parties to facilitate the Sale Process, which will be subject to Agent’s approval in form and substance, in the Agent’s sole discretion (the “</w:t>
      </w:r>
      <w:r>
        <w:rPr>
          <w:rFonts w:ascii="Times New Roman" w:cs="Times New Roman" w:eastAsia="Times New Roman" w:hAnsi="Times New Roman"/>
          <w:sz w:val="18"/>
          <w:szCs w:val="18"/>
          <w:b w:val="1"/>
          <w:bCs w:val="1"/>
          <w:i w:val="1"/>
          <w:iCs w:val="1"/>
          <w:color w:val="auto"/>
        </w:rPr>
        <w:t>Budget</w:t>
      </w:r>
      <w:r>
        <w:rPr>
          <w:rFonts w:ascii="Times New Roman" w:cs="Times New Roman" w:eastAsia="Times New Roman" w:hAnsi="Times New Roman"/>
          <w:sz w:val="18"/>
          <w:szCs w:val="18"/>
          <w:color w:val="auto"/>
        </w:rPr>
        <w:t>”), (B) shall implement and operate strictly within the Budget at all times, and (C) agree that any deviations or modifications to the Budget must be approved by the Agent in advance, in writing, in its sole discretion.</w:t>
      </w:r>
    </w:p>
    <w:p>
      <w:pPr>
        <w:spacing w:after="0" w:line="180"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Sale Process Plan</w:t>
      </w:r>
      <w:r>
        <w:rPr>
          <w:rFonts w:ascii="Times New Roman" w:cs="Times New Roman" w:eastAsia="Times New Roman" w:hAnsi="Times New Roman"/>
          <w:sz w:val="18"/>
          <w:szCs w:val="18"/>
          <w:color w:val="auto"/>
        </w:rPr>
        <w:t>. The Loan Parties shall implement and operate strictly within the plan developed by the Lender Professionals and approved by the Agent in its sole discretion in connection with the Sale Process, and shall do so strictly in accordance with the Budget. Such plan may include, among other things, the hiring of such personnel or managers identified by the Lender Professionals, the use of commercially reasonable efforts to liquidate the Collateral, and winding down operations.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Other Waivers; Reservation of Rights.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Agent and Lenders have not waived, nor do they have any intention of waiving, any Events of Default or Unmatured Defaults which may be continuing on the Effective Date or any Events of Default which may occur after the Effective Date (whether the same or similar to the Existing Defaults or otherwise), and Agent and Lenders have not agreed to forbear with respect to any of its rights or remedies concerning any other Events of Default or Unmatured Defaults occurring at any time.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Agent and Lenders reserve the right, in their discretion, to exercise any or all of their respective rights and remedies under the Loan Documents as a result of any other Events of Default or Unmatured Defaults occurring at any time. Agent and Lenders have not waived any of such rights or remedies, and nothing in this Agreement, and no delay on Agent’s or any Lender’s part in exercising any such rights or remedies, should be construed as a waiver of any such rights or remedies.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(iii)            In consideration of the agreements of Agent and Lenders contained herein, and for other good and valuable consideration, the receipt and sufficiency of which are hereby acknowledged, each Significant Stakeholder hereby agrees to waive, release and abstain from exercising any and all veto rights held by such Significant Stakeholder under the governing organizational documents of any Loan Party with respect to any transaction covered thereby or relevant thereto, including, but not limited to, a Capital Raise, a Sale Process or a sale and assignment of the Assigned Interest.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b w:val="1"/>
          <w:bCs w:val="1"/>
          <w:color w:val="auto"/>
        </w:rPr>
        <w:t>Additional Defaults.</w:t>
      </w:r>
      <w:r>
        <w:rPr>
          <w:rFonts w:ascii="Times New Roman" w:cs="Times New Roman" w:eastAsia="Times New Roman" w:hAnsi="Times New Roman"/>
          <w:sz w:val="17"/>
          <w:szCs w:val="17"/>
          <w:color w:val="auto"/>
        </w:rPr>
        <w:t xml:space="preserve"> Each Loan Party and Significant Stakeholder acknowledges, confirms, and agrees that any misrepresentation by any Loan Party or any Significant Stakeholder, or any failure of any Loan Party or any Significant Stakeholder to comply with the covenants, conditions, and agreements contained in this Agreement, any other Loan Document, or any other agreement, document, or instrument at any time executed and/or delivered by such Loan Party or Significant Stakeholder, as applicable, with, to or in favor of Agent or the Lenders, shall constitute an Event of Default under this Agreement and the other Loan Documents. In the event any Person other than Agent and the Lenders shall, at any time or for any reason, exercise any of its rights or remedies, or take any other action, against any Loan Party or such Loan Party’s property or assets that would in any way affect the Collateral or Agent’s Liens thereon or rights thereto, such event shall constitute an Event of Default hereunder and an Event of Default under the Loan Documents.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Conditions Precedent to Effectiveness of Agreement.</w:t>
      </w:r>
      <w:r>
        <w:rPr>
          <w:rFonts w:ascii="Times New Roman" w:cs="Times New Roman" w:eastAsia="Times New Roman" w:hAnsi="Times New Roman"/>
          <w:sz w:val="18"/>
          <w:szCs w:val="18"/>
          <w:color w:val="auto"/>
        </w:rPr>
        <w:t xml:space="preserve"> The effectiveness of this Agreement shall be subject to the following conditions precedent: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Agent’s and each Lender’s receipt of this Agreement, duly authorized, executed, and delivered by each Loan Party and each Significant Stakeholder, together with such other documents, agreements and instruments as Agent or any Lender may require or reasonably request;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The Lenders’ receipt of payment of reasonable and documented fees, expenses and disbursements (including the legal fees and expenses of Agent’s counsel) required to be reimbursed or paid by the Loan Parties hereunder, under the Credit Agreement, or under any other Loan Document;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8"/>
          <w:szCs w:val="18"/>
          <w:color w:val="auto"/>
        </w:rPr>
        <w:t>(iii)            The Loan Parties’ receipt of working capital in the amount of not less than $2,500,000 through the May Funding;</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(iv)            Agent’s and each Lender’s receipt of amended and restated Third Amendment Conversion Warrants and Fifth Amendment Warrants reflecting (A) an amount of Warrant Shares (as defined therein) inclusive of increases from all Dilutive Issuances (as defined therein) to date and</w:t>
      </w:r>
    </w:p>
    <w:p>
      <w:pPr>
        <w:ind w:left="300" w:hanging="29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end date of the “Anti-Dilution Period” (as defined therein) in Section 2(b) thereof from September 30, 2024 to December 31, 2024;</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All certifications, representations and warranties set forth in this Agreement shall be true and correct.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Effective Agreement.</w:t>
      </w:r>
      <w:r>
        <w:rPr>
          <w:rFonts w:ascii="Times New Roman" w:cs="Times New Roman" w:eastAsia="Times New Roman" w:hAnsi="Times New Roman"/>
          <w:sz w:val="18"/>
          <w:szCs w:val="18"/>
          <w:color w:val="auto"/>
        </w:rPr>
        <w:t xml:space="preserve"> Except as modified pursuant hereto, no other changes or modifications to the Loan Documents are intended or implied, and in all other respects the Loan Documents hereby are ratified and confirmed by each Loan Party as of the Effective Date. To the extent of conflict between the terms of this Agreement and the other Loan Documents, the terms of this Agreement shall govern and control.</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18"/>
          <w:szCs w:val="18"/>
          <w:color w:val="auto"/>
        </w:rPr>
        <w:t xml:space="preserve"> Each Loan Party absolutely and unconditionally, jointly and severally, agrees to pay to Agent and the Lenders, on demand at any time, all reasonable fees and disbursements, including, but not limited to, the fees of any counsel to Agent and the Lenders arising out of or in connection with the Existing Defaults and any steps or activities taken in connection therewith in respect of the Loan Documents, evaluating and enforcing its rights and remedies thereunder, and the preparation, negotiation, execution, delivery, or enforcement of this Agreement or the Loan Documents, and any agreements contemplated hereby and expenses which shall be at any time incurred or sustained by Agent or any Lender or any of its respective directors, officers, employees, or agents as a consequence of or in any way in connection with the preparation, negotiation, execution, or delivery of this Agreement and any documents contemplated hereby.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xml:space="preserve"> The Loan Parties shall execute and deliver such additional documents and take such further action as may be necessary or desirable to effectuate the provisions and purposes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Loan Parties, Agent, the Lenders and their respective successors and assigns.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Survival of Representations and Warranties.</w:t>
      </w:r>
      <w:r>
        <w:rPr>
          <w:rFonts w:ascii="Times New Roman" w:cs="Times New Roman" w:eastAsia="Times New Roman" w:hAnsi="Times New Roman"/>
          <w:sz w:val="18"/>
          <w:szCs w:val="18"/>
          <w:color w:val="auto"/>
        </w:rPr>
        <w:t xml:space="preserve"> All representations and warranties made in this Agreement or any other document furnished in connection with this Agreement shall survive the execution and delivery of this Agreement and the other documents, and no investigation by Agent or any Lender or any closing shall affect the representations and warranties or right of Agent or any Lender to rely upon them.</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In consideration of the agreements of Agent and Lenders contained herein, and for other good and valuable consideration, the receipt and sufficiency of which are hereby acknowledged, each Loan Party, on behalf of itself and its past, present and future Subsidiaries, successors, assigns, managers, members, officers, directors, agents, employees, professionals and other representatives (the “</w:t>
      </w:r>
      <w:r>
        <w:rPr>
          <w:rFonts w:ascii="Times New Roman" w:cs="Times New Roman" w:eastAsia="Times New Roman" w:hAnsi="Times New Roman"/>
          <w:sz w:val="18"/>
          <w:szCs w:val="18"/>
          <w:b w:val="1"/>
          <w:bCs w:val="1"/>
          <w:i w:val="1"/>
          <w:iCs w:val="1"/>
          <w:color w:val="auto"/>
        </w:rPr>
        <w:t>Loan Party 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Loan Party Releasing Party</w:t>
      </w:r>
      <w:r>
        <w:rPr>
          <w:rFonts w:ascii="Times New Roman" w:cs="Times New Roman" w:eastAsia="Times New Roman" w:hAnsi="Times New Roman"/>
          <w:sz w:val="18"/>
          <w:szCs w:val="18"/>
          <w:color w:val="auto"/>
        </w:rPr>
        <w:t>”), and each Significant Stakeholder (as identified on the signature pages hereto), on behalf of itself and its past, present and future Subsidiaries, successors, assigns, managers, members, officers, directors, agents, employees, professionals and other representatives (the “</w:t>
      </w:r>
      <w:r>
        <w:rPr>
          <w:rFonts w:ascii="Times New Roman" w:cs="Times New Roman" w:eastAsia="Times New Roman" w:hAnsi="Times New Roman"/>
          <w:sz w:val="18"/>
          <w:szCs w:val="18"/>
          <w:b w:val="1"/>
          <w:bCs w:val="1"/>
          <w:i w:val="1"/>
          <w:iCs w:val="1"/>
          <w:color w:val="auto"/>
        </w:rPr>
        <w:t>Stockholder 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Stockholder Releasing Party</w:t>
      </w:r>
      <w:r>
        <w:rPr>
          <w:rFonts w:ascii="Times New Roman" w:cs="Times New Roman" w:eastAsia="Times New Roman" w:hAnsi="Times New Roman"/>
          <w:sz w:val="18"/>
          <w:szCs w:val="18"/>
          <w:color w:val="auto"/>
        </w:rPr>
        <w:t>,” and together with the Loan Party Releasing Parties,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Releasing Party</w:t>
      </w:r>
      <w:r>
        <w:rPr>
          <w:rFonts w:ascii="Times New Roman" w:cs="Times New Roman" w:eastAsia="Times New Roman" w:hAnsi="Times New Roman"/>
          <w:sz w:val="18"/>
          <w:szCs w:val="18"/>
          <w:color w:val="auto"/>
        </w:rPr>
        <w:t>”), hereby absolutely, unconditionally, and irrevocably releases, remises, and forever discharges Agent and each Lender and each of their respective past, present and future stockholders, members, partners, managers, principals, affiliates, subsidiaries, divisions, predecessors, successors, assigns, directors, officers, attorneys, professionals, employees, agents, and other representatives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Released Party</w:t>
      </w:r>
      <w:r>
        <w:rPr>
          <w:rFonts w:ascii="Times New Roman" w:cs="Times New Roman" w:eastAsia="Times New Roman" w:hAnsi="Times New Roman"/>
          <w:sz w:val="18"/>
          <w:szCs w:val="18"/>
          <w:color w:val="auto"/>
        </w:rPr>
        <w:t>”) of and from all demands, actions, causes of action, suits, covenants, contracts, controversies, agreements, promises, sums of money, accounts, bills, reckonings, damages, and any and all other claims, counterclaims, defenses, rights of set off, demands, and liabilities whatsoever (each, individually,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of every kind and nature, known or unknown, suspected or unsuspected, at law or in equity,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which any such Releasing Party may now or hereafter own, hold, have, or claim to have against any Released Party for, upon, or by reason of any circumstance, action, cause, omission, event or thing whatsoever which arises at any time on or prior to the Effective Date, including, without limitation, for or on account of, or in relation to, or in any way in connection with this Agreement, the Loan Documents, or transactions hereunder or thereunder.</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            Each Releasing Party understands, acknowledges, confirms, and agrees that the release set forth above may be pleaded as a full and complete defense and may be used as a basis for an injunction against any action, suit, or other proceeding which may be instituted, prosecuted, or attempted in breach of the provisions of such release. Each Loan Party acknowledges and agrees that the foregoing release is a material inducement to the Agent’s and the Lenders’ execution of this Agreement, and but for the foregoing release, the Agent and the Lenders would not be willing to enter into this Agreement.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(iii)            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(iv)            Each Releasing Party covenants and agrees never to institute or cause to be instituted or continue prosecution of, or to support, cooperate with or induce any other Person in connection with, any suit or other form of action or proceeding of any kind or nature whatsoever against any Released Party by reason of or in connection with any of the Claims.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(v)            Each Releasing Party covenants and agrees that in any suit or other form of action or proceeding brought in violation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 the Released Parties shall be entitled to payment of all fees, costs and expenses (including fees, costs and expenses of attorneys) incurred in connection with such suit or other action or proceeding from the applicable Releasing Party, and (b) the Releasing Parties shall indemnify and hold harmless the Released Parties with respect thereto to the fullest extent provided to the Indemnitees under Section 8.5 of the Credit Agreement, which the signatories hereto each acknowledge and agree to be bound for purposes of this Agreement, as if fully set forth herein. Any such payments made pursuant to this </w:t>
      </w:r>
      <w:r>
        <w:rPr>
          <w:rFonts w:ascii="Times New Roman" w:cs="Times New Roman" w:eastAsia="Times New Roman" w:hAnsi="Times New Roman"/>
          <w:sz w:val="18"/>
          <w:szCs w:val="18"/>
          <w:u w:val="single" w:color="auto"/>
          <w:color w:val="auto"/>
        </w:rPr>
        <w:t>Section 20(v)</w:t>
      </w:r>
      <w:r>
        <w:rPr>
          <w:rFonts w:ascii="Times New Roman" w:cs="Times New Roman" w:eastAsia="Times New Roman" w:hAnsi="Times New Roman"/>
          <w:sz w:val="18"/>
          <w:szCs w:val="18"/>
          <w:color w:val="auto"/>
        </w:rPr>
        <w:t xml:space="preserve"> shall be made at the time such indemnified amounts are incurred, and in any event within ten (10) Business Days of written demand therefor.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The fact that any provision of this Agreement is held by a court of competent jurisdiction to be invalid or unenforceable as to any particular situation shall not impair or invalidate the remainder of this Agreement or the application of such provision to any other situation.</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Reviewed by Attorneys.</w:t>
      </w:r>
      <w:r>
        <w:rPr>
          <w:rFonts w:ascii="Times New Roman" w:cs="Times New Roman" w:eastAsia="Times New Roman" w:hAnsi="Times New Roman"/>
          <w:sz w:val="18"/>
          <w:szCs w:val="18"/>
          <w:color w:val="auto"/>
        </w:rPr>
        <w:t xml:space="preserve"> Each Loan Party and Significant Stakeholder represents and warrants to Agent and each Lender that such Loan Party (i) understands fully the terms of this Agreement and the consequences of the execution and delivery of this Agreement, (ii) has been afforded the opportunity to discuss this Agreement with, and have this Agreement reviewed by, such attorneys and other persons as such Loan Party or Significant Stakeholder may wish, and (iii) has entered into this Agreement and executed and delivered all documents in connection herewith of its own free will and accord and without threat, duress, or coercion of any kind by any person. Each Loan Party acknowledges and agrees that neither this Agreement nor the other documents executed pursuant hereto shall be construed more favorably in favor of one party than another based upon which party drafted the same, it being acknowledged that all the parties hereto contributed substantially to the negotiation and preparation of this Agreement and the other documents executed pursuant hereto or in connection herewith.</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This Agreement shall be governed by and construed and enforced in accordance with the laws of the State of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 xml:space="preserve">The terms of Section 8.12 and Section 8.13 of the Credit Agreement are incorporated herein by reference, </w:t>
      </w:r>
      <w:r>
        <w:rPr>
          <w:rFonts w:ascii="Times New Roman" w:cs="Times New Roman" w:eastAsia="Times New Roman" w:hAnsi="Times New Roman"/>
          <w:sz w:val="18"/>
          <w:szCs w:val="18"/>
          <w:i w:val="1"/>
          <w:iCs w:val="1"/>
          <w:color w:val="231F1F"/>
        </w:rPr>
        <w:t>mutatis mutandis</w:t>
      </w:r>
      <w:r>
        <w:rPr>
          <w:rFonts w:ascii="Times New Roman" w:cs="Times New Roman" w:eastAsia="Times New Roman" w:hAnsi="Times New Roman"/>
          <w:sz w:val="18"/>
          <w:szCs w:val="18"/>
          <w:color w:val="231F1F"/>
        </w:rPr>
        <w:t>, and the parties hereto agree to such terms</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any number of counterparts, and by each party on separate counterparts, but all of such counterparts shall together constitute but one and the same agreement. Delivery of an executed counterpart of a signature page to this Agreement by PDF shall be effective as delivery of a manually executed counterpart of this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Amendments; Waivers; Consents.</w:t>
      </w:r>
      <w:r>
        <w:rPr>
          <w:rFonts w:ascii="Times New Roman" w:cs="Times New Roman" w:eastAsia="Times New Roman" w:hAnsi="Times New Roman"/>
          <w:sz w:val="18"/>
          <w:szCs w:val="18"/>
          <w:color w:val="auto"/>
        </w:rPr>
        <w:t xml:space="preserve"> This Agreement may be amended, modified, supplemented or restated only by a written instrument executed by each of the parties hereto. The terms of this Agreement may be waived only by a written instrument executed by the party waiving compliance. The waiver by any party hereto of a breach of any provision of this Agreement shall not operate or be construed as a waiver of any subsequent or other breach, whether or not similar, and no such waiver shall operate or be construed as a continuing waiver unless so provided. No delay on the part of any party hereto in exercising any right, power, or privilege hereunder shall operate as a waiver thereof, and no single or partial exercise of any right, power or privilege hereunder shall preclude any other or further exercise thereof or the exercise of any other right, power or privilege hereunder.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as of the date first above written.</w:t>
      </w:r>
    </w:p>
    <w:p>
      <w:pPr>
        <w:spacing w:after="0" w:line="2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PRESTO AUTOMATION LLC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(F/K/A E LA CARTE, LLC)</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(F/K/A VENTOUX MERGER SUB II LLC)</w:t>
      </w:r>
    </w:p>
    <w:p>
      <w:pPr>
        <w:spacing w:after="0" w:line="207" w:lineRule="exact"/>
        <w:rPr>
          <w:sz w:val="20"/>
          <w:szCs w:val="20"/>
          <w:color w:val="auto"/>
        </w:rPr>
      </w:pPr>
    </w:p>
    <w:tbl>
      <w:tblPr>
        <w:tblLayout w:type="fixed"/>
        <w:tblInd w:w="48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Guillaume Lefevre</w:t>
            </w: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Guillaume Lefevre</w:t>
            </w: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(F/K/A VENTOUX CCM ACQUISITION CORP.)</w:t>
      </w:r>
    </w:p>
    <w:p>
      <w:pPr>
        <w:spacing w:after="0" w:line="207" w:lineRule="exact"/>
        <w:rPr>
          <w:sz w:val="20"/>
          <w:szCs w:val="20"/>
          <w:color w:val="auto"/>
        </w:rPr>
      </w:pPr>
    </w:p>
    <w:tbl>
      <w:tblPr>
        <w:tblLayout w:type="fixed"/>
        <w:tblInd w:w="48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Guillaume Lefevre</w:t>
            </w: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Guillaume Lefevre</w:t>
            </w: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ind w:left="452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METROPOLITAN PARTNERS GROUP ADMINISTRATION,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K. Lisiak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K. Lisiak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LEVERED PARTNERS FUND VII,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K. Lisiak</w:t>
            </w: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Paul K. Lisiak</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K. Lisiak</w:t>
            </w: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Paul K. Lisiak</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OFFSHORE PARTNERS FUND VII,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MPF VII GP,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K. Lisiak</w:t>
            </w:r>
          </w:p>
        </w:tc>
      </w:tr>
      <w:tr>
        <w:trPr>
          <w:trHeight w:val="205"/>
        </w:trPr>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Paul K. Lisiak</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CORBIN CAPITAL PARTNERS, L.P., its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 Friedman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18"/>
          <w:szCs w:val="18"/>
          <w:b w:val="1"/>
          <w:bCs w:val="1"/>
          <w:color w:val="auto"/>
        </w:rPr>
        <w:t>SIGNIFICANT STAKEHOLDERS: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Capital Partners 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Romulus Capital Partners II, LLC, its General Partner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Romulus Capital Partners II, LLC, its General Partner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REMUS CAPITAL IV,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Remus Capital IV GP,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K.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4" w:name="page45"/>
    <w:bookmarkEnd w:id="44"/>
    <w:p>
      <w:pPr>
        <w:jc w:val="right"/>
        <w:ind w:right="579"/>
        <w:spacing w:after="0"/>
        <w:rPr>
          <w:sz w:val="20"/>
          <w:szCs w:val="20"/>
          <w:color w:val="auto"/>
        </w:rPr>
      </w:pPr>
      <w:r>
        <w:rPr>
          <w:rFonts w:ascii="Times New Roman" w:cs="Times New Roman" w:eastAsia="Times New Roman" w:hAnsi="Times New Roman"/>
          <w:sz w:val="18"/>
          <w:szCs w:val="18"/>
          <w:color w:val="auto"/>
        </w:rPr>
        <w:t>ROMULUS ELC B3 SPECIAL OPPORTUNITY, L.P.</w:t>
      </w:r>
    </w:p>
    <w:p>
      <w:pPr>
        <w:spacing w:after="0" w:line="2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ROMULUS ELC B3 SPECIAL OPPORTUNITY, L.P.</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Romulus GP,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ZAFFRAN SPECIAL OPPORTUNITIES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KKG ENTERPRISES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PRESTO CA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REMUS CAPITAL SERIES B II,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Remus Capital IV GP,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36"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5" w:name="page46"/>
    <w:bookmarkEnd w:id="45"/>
    <w:p>
      <w:pPr>
        <w:ind w:left="4520"/>
        <w:spacing w:after="0"/>
        <w:rPr>
          <w:sz w:val="20"/>
          <w:szCs w:val="20"/>
          <w:color w:val="auto"/>
        </w:rPr>
      </w:pPr>
      <w:r>
        <w:rPr>
          <w:rFonts w:ascii="Times New Roman" w:cs="Times New Roman" w:eastAsia="Times New Roman" w:hAnsi="Times New Roman"/>
          <w:sz w:val="18"/>
          <w:szCs w:val="18"/>
          <w:color w:val="auto"/>
        </w:rPr>
        <w:t>KRISHNA GUPTA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Existing Defaults</w:t>
      </w:r>
    </w:p>
    <w:p>
      <w:pPr>
        <w:spacing w:after="0" w:line="229" w:lineRule="exact"/>
        <w:rPr>
          <w:sz w:val="20"/>
          <w:szCs w:val="20"/>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7.1(a) of the Credit Agreement as a result of the Borrowers’ failure to timely make payment on January 2, 2024, of the Monitoring Fee for the period ended December 31, 2023, as defined in the Third Amended and Restated Fee Letter, as and when due pursuant to Section 2.3 of the Credit Agreement.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7.1(c)(i) of the Credit Agreement as a result of the Loan Parties’ failure to provide, on or prior to December 31, 2023, either (i) newly-executed MSAs for all existing customers, implementing an upgrade to the Next Generation Technology</w:t>
      </w:r>
    </w:p>
    <w:p>
      <w:pPr>
        <w:ind w:left="328" w:hanging="4"/>
        <w:spacing w:after="0" w:line="260" w:lineRule="auto"/>
        <w:tabs>
          <w:tab w:leader="none" w:pos="6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Touch Business Plan that has been approved by the Agent, to wind-down the Touch Business as required pursuant to Section 5.20 of the Credit Agreement.</w:t>
      </w:r>
    </w:p>
    <w:p>
      <w:pPr>
        <w:spacing w:after="0" w:line="18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7.1(p) of the Credit Agreement as a result of the Loan Parties’ failure to appoint a new Chief Executive Officer that is a chief restructuring officer or person with significant restructuring, turnaround and insolvency experience reasonably acceptable to the Agent on or prior to February 16, 2024 following Xavier Casanova’s resignation.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 of the Credit Agreement as a result of the Loan Parties’ failure to deliver certain financial reports to the Agent pursuant to Section 5.1(i) of the Credit Agreement for the periods from the Fourth Amendment Effective Date until the Fifth Amendment Effective Date, resulting in an immediate Event of Default under the Fourth Amendment.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pursuant to Section 7.1(c) of the Credit Agreement as a result of the Loan Parties’ failure to maintain Unrestricted Cash, measured as of the close of business on each of March 1, 2024 and March 8, 2024, at or above the Minimum Unrestricted Cash Amount as required pursuant to Section 6.17(a) of the Credit Agreement.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7.1(a) of the Credit Agreement as a result of the Loan Parties’ failure to pay the reasonable and documented expenses of counsel to the Agent, as required pursuant to Section 8.5 of the Credit Agreement and Section 10 of the Seventh Amendment.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 of the Credit Agreement as a result of the Loan Parties’ failure to deliver the accounts payable aging reports due and deliverable prior to February 26, 2024 pursuant to Section 5.1(i) of the Credit Agreement.</w:t>
      </w:r>
    </w:p>
    <w:p>
      <w:pPr>
        <w:spacing w:after="0" w:line="161"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 of the Credit Agreement as a result of the Loan Parties’ failure to comply with Section 6.17(b) of the Credit Agreement, and specifically, the failures identified in the accounts payable aging reports dated as of April 5, 2024, April 26, 2024, May 3, 2024 and May 10, 2024, which reports were delivered pursuant to Section 5.1(i) of the Credit Agreement.</w:t>
      </w:r>
    </w:p>
    <w:p>
      <w:pPr>
        <w:spacing w:after="0" w:line="17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[Signature Page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EXTENSION OF SENIOR SECURED PROMISSORY NOTE</w:t>
      </w:r>
    </w:p>
    <w:p>
      <w:pPr>
        <w:spacing w:after="0" w:line="22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This Extension of Senior Secured Promissory Note (“</w:t>
      </w:r>
      <w:r>
        <w:rPr>
          <w:rFonts w:ascii="Times New Roman" w:cs="Times New Roman" w:eastAsia="Times New Roman" w:hAnsi="Times New Roman"/>
          <w:sz w:val="18"/>
          <w:szCs w:val="18"/>
          <w:b w:val="1"/>
          <w:bCs w:val="1"/>
          <w:color w:val="auto"/>
        </w:rPr>
        <w:t>Note Extension</w:t>
      </w:r>
      <w:r>
        <w:rPr>
          <w:rFonts w:ascii="Times New Roman" w:cs="Times New Roman" w:eastAsia="Times New Roman" w:hAnsi="Times New Roman"/>
          <w:sz w:val="18"/>
          <w:szCs w:val="18"/>
          <w:color w:val="auto"/>
        </w:rPr>
        <w:t>”) is made and entered into as of May 16, 2024, by and between PRESTO AUTOMATION INC., a Delaware corporation and PRESTO AUTOMATION LLC, a Delaware limited liability company (collectively,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and PRESTO CA LLC, a Delaware limited liability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and Lender are parties to the certain Senior Secured Promissory Note dated March 21, 2024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and Lender wish to extend the Note on the terms and conditions set forth herein.</w:t>
      </w:r>
    </w:p>
    <w:p>
      <w:pPr>
        <w:spacing w:after="0" w:line="22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set forth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hereby agree as follows:</w:t>
      </w:r>
    </w:p>
    <w:p>
      <w:pPr>
        <w:spacing w:after="0" w:line="15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Extension of Maturity Date</w:t>
      </w:r>
      <w:r>
        <w:rPr>
          <w:rFonts w:ascii="Times New Roman" w:cs="Times New Roman" w:eastAsia="Times New Roman" w:hAnsi="Times New Roman"/>
          <w:sz w:val="18"/>
          <w:szCs w:val="18"/>
          <w:color w:val="auto"/>
        </w:rPr>
        <w:t>. Reference is made to that certain Cooperation Agreement, dated May 15, 2024, by and among Presto Automation LLC, Presto Automation Inc., the lenders party thereto and Metropolitan Partners Group Administration, LLC (the “</w:t>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Upon the effectiveness of that Cooperation Agreement, the Maturity Date of the Note as defined in Section 2 thereof is hereby extended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same as the Termination Date pursuant to the Cooperation Agreement.</w:t>
      </w:r>
    </w:p>
    <w:p>
      <w:pPr>
        <w:spacing w:after="0" w:line="180" w:lineRule="exact"/>
        <w:rPr>
          <w:sz w:val="20"/>
          <w:szCs w:val="20"/>
          <w:color w:val="auto"/>
        </w:rPr>
      </w:pPr>
    </w:p>
    <w:p>
      <w:pPr>
        <w:ind w:right="180" w:firstLine="656"/>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Amendment of Purchase Agreement</w:t>
      </w:r>
      <w:r>
        <w:rPr>
          <w:rFonts w:ascii="Times New Roman" w:cs="Times New Roman" w:eastAsia="Times New Roman" w:hAnsi="Times New Roman"/>
          <w:sz w:val="18"/>
          <w:szCs w:val="18"/>
          <w:color w:val="auto"/>
        </w:rPr>
        <w:t>. Reference is made to that certain Purchase Agreement, dated as of October 10, 2023 by and between Presto Automation Inc. and Lender, (as amended, the “Purchase Agreement”). Section 4.11 of the Purchase Agreement is hereby amended so that all references to $0.25 shall be replaced with $0.14 and all references to September 30, 2024 shall be replaced with December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No Further Amendment</w:t>
      </w:r>
      <w:r>
        <w:rPr>
          <w:rFonts w:ascii="Times New Roman" w:cs="Times New Roman" w:eastAsia="Times New Roman" w:hAnsi="Times New Roman"/>
          <w:sz w:val="18"/>
          <w:szCs w:val="18"/>
          <w:color w:val="auto"/>
        </w:rPr>
        <w:t>. Except as expressly set forth herein, the Note shall remain unmodified and in full force and effect.</w:t>
      </w:r>
    </w:p>
    <w:p>
      <w:pPr>
        <w:spacing w:after="0" w:line="22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Ratification; Integration; Amendment</w:t>
      </w:r>
      <w:r>
        <w:rPr>
          <w:rFonts w:ascii="Times New Roman" w:cs="Times New Roman" w:eastAsia="Times New Roman" w:hAnsi="Times New Roman"/>
          <w:sz w:val="18"/>
          <w:szCs w:val="18"/>
          <w:color w:val="auto"/>
        </w:rPr>
        <w:t>. The Note, as amended by this Note Extension, constitutes the entire agreement between Maker and Lender with respect to its subject matter and the parties hereby ratify and affirm that the Note remains in full force and effect, enforceable in accordance with its terms as amended by this Note Extension. There are no oral or other agreements, including but not limited to any representations or warranties, which modify or affect the Note (as amended by this Note Extension). No modification, termination or amendment of the Note (as amended by this Note Extension) may be made except by written agreement executed by both Maker and Lender.</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333333"/>
        </w:rPr>
        <w:t>5.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Note Extension may be executed and delivered in any number of counterparts and via facsimile with the same effect as if</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all parties had executed the same original. All such counterparts, when taken together, shall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 ON NEXT 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A0A0A"/>
              </w:rPr>
              <w:t>DATED as of the date and year first above written.</w:t>
            </w:r>
          </w:p>
        </w:tc>
        <w:tc>
          <w:tcPr>
            <w:tcW w:w="12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Maker:</w:t>
            </w:r>
          </w:p>
        </w:tc>
        <w:tc>
          <w:tcPr>
            <w:tcW w:w="3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Holder:</w:t>
            </w:r>
          </w:p>
        </w:tc>
        <w:tc>
          <w:tcPr>
            <w:tcW w:w="5040" w:type="dxa"/>
            <w:vAlign w:val="bottom"/>
          </w:tcPr>
          <w:p>
            <w:pPr>
              <w:spacing w:after="0"/>
              <w:rPr>
                <w:sz w:val="24"/>
                <w:szCs w:val="24"/>
                <w:color w:val="auto"/>
              </w:rPr>
            </w:pPr>
          </w:p>
        </w:tc>
      </w:tr>
      <w:tr>
        <w:trPr>
          <w:trHeight w:val="414"/>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PRESTO AUTOMATION INC.</w:t>
            </w:r>
          </w:p>
        </w:tc>
        <w:tc>
          <w:tcPr>
            <w:tcW w:w="6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PRESTO CA LLC</w:t>
            </w:r>
          </w:p>
        </w:tc>
      </w:tr>
      <w:tr>
        <w:trPr>
          <w:trHeight w:val="234"/>
        </w:trPr>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6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Guillaume Lefevre</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Joseph McCoy</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Guillaume Lefevre</w:t>
            </w:r>
          </w:p>
        </w:tc>
        <w:tc>
          <w:tcPr>
            <w:tcW w:w="1040" w:type="dxa"/>
            <w:vAlign w:val="bottom"/>
          </w:tcPr>
          <w:p>
            <w:pPr>
              <w:spacing w:after="0"/>
              <w:rPr>
                <w:sz w:val="18"/>
                <w:szCs w:val="18"/>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McCoy</w:t>
            </w: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1040" w:type="dxa"/>
            <w:vAlign w:val="bottom"/>
          </w:tcPr>
          <w:p>
            <w:pPr>
              <w:spacing w:after="0"/>
              <w:rPr>
                <w:sz w:val="18"/>
                <w:szCs w:val="18"/>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143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143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May 16, 2024, by and between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Remus Capital Series B II, L.P.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the Buyer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Buyer hereby agrees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150th calendar day following the date hereof and with respect to any additional Registration Statements which may be required pursuant to Section 2(c) or Section 3(c), the 30th calendar day following the date on which an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SEC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the 90th calendar day following the Closing Date (as such term is defined in the Purchase Agreement), and (2)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SEC pursuant to the 1933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all Conversion Shares,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 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and (ii) the 1933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SHELF REGISTRATION.</w:t>
      </w:r>
    </w:p>
    <w:p>
      <w:pPr>
        <w:spacing w:after="0" w:line="229"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auto"/>
        </w:rPr>
        <w:t>(a)            On or prior to each Filing Date, the Company shall prepare 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50% in interest of the Holders) substantially the “</w:t>
      </w:r>
      <w:r>
        <w:rPr>
          <w:rFonts w:ascii="Times New Roman" w:cs="Times New Roman" w:eastAsia="Times New Roman" w:hAnsi="Times New Roman"/>
          <w:sz w:val="17"/>
          <w:szCs w:val="17"/>
          <w:u w:val="single" w:color="auto"/>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xml:space="preserv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and substantially the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xml:space="preserve">” section attached hereto as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1933 Act as promptly as possible after the filing thereof, but in any event no later than the applicable Effectiveness Date, and shall use its reasonable best efforts to keep such Registration Statement continuously effective under the 1933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7"/>
          <w:szCs w:val="17"/>
          <w:u w:val="single" w:color="auto"/>
          <w:color w:val="auto"/>
        </w:rPr>
        <w:t>Effectiveness Period</w:t>
      </w:r>
      <w:r>
        <w:rPr>
          <w:rFonts w:ascii="Times New Roman" w:cs="Times New Roman" w:eastAsia="Times New Roman" w:hAnsi="Times New Roman"/>
          <w:sz w:val="17"/>
          <w:szCs w:val="17"/>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SEC. The Company shall, by 9:30 a.m. (New York City time) on the Trading Day after the effective date of such Registration Statement, file a final Prospectus with the SEC as required by Rule 424. Failure to so notify the Holder within one (1) Trading Day of such notification of effectiveness or failure to file a final Prospectus as foresaid shall be deemed an Event under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the registration obligations set forth in Section 2(a), if the SEC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SEC, covering the maximum number of Registrable Securities permitted to be registered by the SEC, on Form S-3 or such other form available to register for resale the Registrable Securities as a secondary offering;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SEC for the registration of all of the Registrable Securities in accordance with the SEC Guidance, including without limitation, Compliance and Disclosure Interpretation 612.09.</w:t>
      </w:r>
    </w:p>
    <w:p>
      <w:pPr>
        <w:spacing w:after="0" w:line="19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(c)            Notwithstanding any other provision of this Agreement and subject to the payment of liquidated damages pursuant to Section 2(d), if the SEC or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portion of Registrable Securities), unless otherwise directed in writing by a Holder as to its Registrable Securities, the number of Registrable Securities to be registered on such Registration Statement will be reduced by the Company reducing or eliminating any securities to be included other than Registrable Securities.</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SEC, as promptly as allowed by SEC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(d)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80"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(e)            Notwithstanding anything to the contrary contained herein, in no event shall the Company be permitted to name any Holder or affiliate of a Holder as any Underwriter without the prior written consent of such Holder.</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REGISTRATION PROCEDURES.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(a)            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w:t>
      </w:r>
    </w:p>
    <w:p>
      <w:pPr>
        <w:spacing w:after="0" w:line="5" w:lineRule="exact"/>
        <w:rPr>
          <w:sz w:val="20"/>
          <w:szCs w:val="20"/>
          <w:color w:val="auto"/>
        </w:rPr>
      </w:pPr>
    </w:p>
    <w:p>
      <w:pPr>
        <w:jc w:val="both"/>
        <w:ind w:left="4" w:hanging="4"/>
        <w:spacing w:after="0" w:line="250" w:lineRule="auto"/>
        <w:tabs>
          <w:tab w:leader="none" w:pos="2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Filing Date or by the end of the second (2nd) Trading Day following the date on which such Holder receives draft materials in accordance with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418465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2" w:name="page53"/>
    <w:bookmarkEnd w:id="52"/>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(i) Prepare and file with the SEC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SEC such additional Registration Statements in order to register for resale under the 1933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3" w:lineRule="exact"/>
        <w:rPr>
          <w:sz w:val="20"/>
          <w:szCs w:val="20"/>
          <w:color w:val="auto"/>
        </w:rPr>
      </w:pPr>
    </w:p>
    <w:p>
      <w:pPr>
        <w:jc w:val="both"/>
        <w:ind w:left="4" w:hanging="4"/>
        <w:spacing w:after="0" w:line="252" w:lineRule="auto"/>
        <w:tabs>
          <w:tab w:leader="none" w:pos="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SEC with respect to a Registration Statement or any amendment thereto and provide as promptly as reasonably possible to the Holders true and complete copies of all correspondence from and to the SEC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1933 Act and the 1934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(c)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clause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SEC notifies the Company whether there will be a “review” of such Registration Statement and whenever the SEC comments in writing on such Registration Statement, and (C) with respect to a Registration Statement or any post-effective amendment, when the same has become effective, (ii) of any request by the SEC or any other federal or state governmental authority for amendments or supplements to a Registration Statement or Prospectus or for additional information, (iii) of the issuance by the SEC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SEC, provided that any such item which is available on the EDGAR system (or successor thereto) need not be furnished in physical form.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If requested by a Holder, cooperate with such Holder to facilitate the timely preparation and delivery of book entry notifications setting out the ownership of the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for a period not to exceed an aggregate of 90 calendar days (which need not be consecutive days) in any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4" w:name="page55"/>
    <w:bookmarkEnd w:id="54"/>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(k)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(l)            The Company may require each selling Holder to furnish to the Company a certified statement as to the number of shares of Common Stock beneficially owned by such Holder and, if required by the SEC,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REGISTRATION EXPENSES.</w:t>
      </w:r>
    </w:p>
    <w:p>
      <w:pPr>
        <w:spacing w:after="0" w:line="22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SEC, (B) with respect to filings required to be made with any Eligible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1933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INDEMNIFICATION.</w:t>
      </w:r>
    </w:p>
    <w:p>
      <w:pPr>
        <w:spacing w:after="0" w:line="229"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1933 Act or Section 20 of the 1934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1933 Act, the 1934 Act or any state securities law, or any rule or regulation thereunder, in connection with the performance of its obligations under this Agreement, except to the extent, but only to the extent, that</w:t>
      </w:r>
    </w:p>
    <w:p>
      <w:pPr>
        <w:spacing w:after="0" w:line="12" w:lineRule="exact"/>
        <w:rPr>
          <w:sz w:val="20"/>
          <w:szCs w:val="20"/>
          <w:color w:val="auto"/>
        </w:rPr>
      </w:pPr>
    </w:p>
    <w:p>
      <w:pPr>
        <w:jc w:val="both"/>
        <w:ind w:left="4" w:hanging="4"/>
        <w:spacing w:after="0" w:line="250" w:lineRule="auto"/>
        <w:tabs>
          <w:tab w:leader="none" w:pos="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5" w:name="page56"/>
    <w:bookmarkEnd w:id="5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1933 Act and Section 20 of the 1934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422910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6.              MISCELLANEOUS.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2(g) of the Purchase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58" w:name="page59"/>
    <w:bookmarkEnd w:id="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applicable provisions of the Purchase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Interim Chief Executive Officer</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Remus Capital Series B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Tincoff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9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John Tincoff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Krishna K. Gupta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205"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1933 Act in connection with such sales. In such event, any commissions received by such broker-dealers or agents and any profit on the resale of the securities purchased by them may be deemed to be underwriting commissions or discounts under the 1933 Act. Each Selling Stockholder has informed the Company that it does not have any written or oral agreement or understanding, directly or indirectly, with any person to distribute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1933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1933 Act or any other rule of similar effect or (ii) all of the securities have been sold pursuant to this prospectus or Rule 144 under the 1933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1934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1934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issuable to the selling shareholders pursuant to the terms of certain of the Company’s promissory notes. For additional information regarding the issuances of those notes, see “Private Placement of Notes” above. We are registering the shares of common stock in order to permit the selling shareholders to offer the shares for resale from time to time. Except for the ownership of the notes, the selling shareholders have not had any material relationship with us within the past three years.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our shares of common stock by each of the selling shareholders. The second column lists the number of shares of common stock beneficially owned by each selling shareholder, based on its ownership of the notes, as of [●], 2024, assuming the conversion of the notes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maximum number of shares of common stock issuable pursuant to the notes, determined as if the notes were converted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conversion or exercise, as applicable, in the notes. The fourth column assumes the sale of all of the shares offered by the selling shareholders pursuant to this prospectus.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Selling</w:t>
            </w: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Number of shares of</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Maximum Number of</w:t>
            </w: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Number of shares of</w:t>
            </w: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w:t>
            </w: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of Common</w:t>
            </w: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 Stock Owned</w:t>
            </w:r>
          </w:p>
        </w:tc>
      </w:tr>
      <w:tr>
        <w:trPr>
          <w:trHeight w:val="216"/>
        </w:trPr>
        <w:tc>
          <w:tcPr>
            <w:tcW w:w="1860" w:type="dxa"/>
            <w:vAlign w:val="bottom"/>
          </w:tcPr>
          <w:p>
            <w:pPr>
              <w:spacing w:after="0"/>
              <w:rPr>
                <w:sz w:val="18"/>
                <w:szCs w:val="18"/>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Owned Prior to</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to be Sold</w:t>
            </w: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After Offering</w:t>
            </w:r>
          </w:p>
        </w:tc>
      </w:tr>
      <w:tr>
        <w:trPr>
          <w:trHeight w:val="216"/>
        </w:trPr>
        <w:tc>
          <w:tcPr>
            <w:tcW w:w="1860" w:type="dxa"/>
            <w:vAlign w:val="bottom"/>
          </w:tcPr>
          <w:p>
            <w:pPr>
              <w:spacing w:after="0"/>
              <w:rPr>
                <w:sz w:val="18"/>
                <w:szCs w:val="18"/>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Offering</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Pursuant to this</w:t>
            </w:r>
          </w:p>
        </w:tc>
        <w:tc>
          <w:tcPr>
            <w:tcW w:w="372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Prospectus</w:t>
            </w:r>
          </w:p>
        </w:tc>
        <w:tc>
          <w:tcPr>
            <w:tcW w:w="3720" w:type="dxa"/>
            <w:vAlign w:val="bottom"/>
          </w:tcPr>
          <w:p>
            <w:pPr>
              <w:spacing w:after="0"/>
              <w:rPr>
                <w:sz w:val="20"/>
                <w:szCs w:val="20"/>
                <w:color w:val="auto"/>
              </w:rPr>
            </w:pPr>
          </w:p>
        </w:tc>
      </w:tr>
      <w:tr>
        <w:trPr>
          <w:trHeight w:val="675"/>
        </w:trPr>
        <w:tc>
          <w:tcPr>
            <w:tcW w:w="18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1300" w:right="7660" w:hanging="1292"/>
        <w:spacing w:after="0" w:line="500"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 [●]</w:t>
      </w:r>
    </w:p>
    <w:p>
      <w:pPr>
        <w:spacing w:after="0" w:line="1" w:lineRule="exact"/>
        <w:rPr>
          <w:rFonts w:ascii="Times New Roman" w:cs="Times New Roman" w:eastAsia="Times New Roman" w:hAnsi="Times New Roman"/>
          <w:sz w:val="18"/>
          <w:szCs w:val="18"/>
          <w:color w:val="auto"/>
        </w:rPr>
      </w:pPr>
    </w:p>
    <w:p>
      <w:pPr>
        <w:ind w:left="1300" w:right="2280" w:hanging="1292"/>
        <w:spacing w:after="0" w:line="500" w:lineRule="auto"/>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 [●]</w:t>
      </w:r>
    </w:p>
    <w:p>
      <w:pPr>
        <w:spacing w:after="0" w:line="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7440" w:hanging="1292"/>
        <w:spacing w:after="0" w:line="500"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to Selling Stockholder: Telephone: [●]</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Person: [●]</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 Status:</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left="66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If “no” to Section 3(d), the SEC’s staff has indicated that you should be identified as an underwriter in the Registration Statement.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Securities of the Company Owned by the Selling Stockholder.</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4, the undersigned is not the beneficial or registered owner of any securities of the Company other than the securities issuable pursuant to the Purchase Agreement.</w:t>
      </w:r>
    </w:p>
    <w:p>
      <w:pPr>
        <w:spacing w:after="0" w:line="16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6" w:name="page67"/>
    <w:bookmarkEnd w:id="6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EMAIL A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04"/>
    </w:lvl>
  </w:abstractNum>
  <w:abstractNum w:abstractNumId="3">
    <w:nsid w:val="3352255A"/>
    <w:multiLevelType w:val="hybridMultilevel"/>
    <w:lvl w:ilvl="0">
      <w:lvlJc w:val="left"/>
      <w:lvlText w:val="(%1)"/>
      <w:numFmt w:val="lowerRoman"/>
      <w:start w:val="5"/>
    </w:lvl>
  </w:abstractNum>
  <w:abstractNum w:abstractNumId="4">
    <w:nsid w:val="109CF92E"/>
    <w:multiLevelType w:val="hybridMultilevel"/>
    <w:lvl w:ilvl="0">
      <w:lvlJc w:val="left"/>
      <w:lvlText w:val="(%1)"/>
      <w:numFmt w:val="upperLetter"/>
      <w:start w:val="2"/>
    </w:lvl>
  </w:abstractNum>
  <w:abstractNum w:abstractNumId="5">
    <w:nsid w:val="DED7263"/>
    <w:multiLevelType w:val="hybridMultilevel"/>
    <w:lvl w:ilvl="0">
      <w:lvlJc w:val="left"/>
      <w:lvlText w:val="·"/>
      <w:numFmt w:val="bullet"/>
      <w:start w:val="1"/>
    </w:lvl>
    <w:lvl w:ilvl="1">
      <w:lvlJc w:val="left"/>
      <w:lvlText w:val="(%2)"/>
      <w:numFmt w:val="lowerRoman"/>
      <w:start w:val="2"/>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1)"/>
      <w:numFmt w:val="decimal"/>
      <w:start w:val="2"/>
    </w:lvl>
  </w:abstractNum>
  <w:abstractNum w:abstractNumId="9">
    <w:nsid w:val="6B68079A"/>
    <w:multiLevelType w:val="hybridMultilevel"/>
    <w:lvl w:ilvl="0">
      <w:lvlJc w:val="left"/>
      <w:lvlText w:val="(%1)"/>
      <w:numFmt w:val="lowerRoman"/>
      <w:start w:val="3"/>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3"/>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decimal"/>
      <w:start w:val="4"/>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2024-05-16T10:55:32Z</dcterms:created>
  <dcterms:modified xsi:type="dcterms:W3CDTF">2024-05-16T10:55:32Z</dcterms:modified>
</cp:coreProperties>
</file>