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30, 2024</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72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00" w:type="dxa"/>
            <w:vAlign w:val="bottom"/>
          </w:tcPr>
          <w:p>
            <w:pPr>
              <w:spacing w:after="0"/>
              <w:rPr>
                <w:sz w:val="20"/>
                <w:szCs w:val="20"/>
                <w:color w:val="auto"/>
              </w:rPr>
            </w:pPr>
          </w:p>
        </w:tc>
      </w:tr>
      <w:tr>
        <w:trPr>
          <w:trHeight w:val="425"/>
        </w:trPr>
        <w:tc>
          <w:tcPr>
            <w:tcW w:w="30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4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1"/>
        </w:trPr>
        <w:tc>
          <w:tcPr>
            <w:tcW w:w="3000" w:type="dxa"/>
            <w:vAlign w:val="bottom"/>
            <w:tcBorders>
              <w:top w:val="single" w:sz="8" w:color="auto"/>
            </w:tcBorders>
          </w:tcPr>
          <w:p>
            <w:pPr>
              <w:jc w:val="center"/>
              <w:ind w:left="69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jc w:val="center"/>
              <w:ind w:right="6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2800" w:type="dxa"/>
            <w:vAlign w:val="bottom"/>
          </w:tcPr>
          <w:p>
            <w:pPr>
              <w:spacing w:after="0"/>
              <w:rPr>
                <w:sz w:val="24"/>
                <w:szCs w:val="24"/>
                <w:color w:val="auto"/>
              </w:rPr>
            </w:pPr>
          </w:p>
        </w:tc>
      </w:tr>
      <w:tr>
        <w:trPr>
          <w:trHeight w:val="220"/>
        </w:trPr>
        <w:tc>
          <w:tcPr>
            <w:tcW w:w="3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San Carlos, CA 94070</w:t>
            </w:r>
          </w:p>
        </w:tc>
        <w:tc>
          <w:tcPr>
            <w:tcW w:w="2800" w:type="dxa"/>
            <w:vAlign w:val="bottom"/>
          </w:tcPr>
          <w:p>
            <w:pPr>
              <w:spacing w:after="0"/>
              <w:rPr>
                <w:sz w:val="19"/>
                <w:szCs w:val="19"/>
                <w:color w:val="auto"/>
              </w:rPr>
            </w:pPr>
          </w:p>
        </w:tc>
      </w:tr>
      <w:tr>
        <w:trPr>
          <w:trHeight w:val="234"/>
        </w:trPr>
        <w:tc>
          <w:tcPr>
            <w:tcW w:w="3000" w:type="dxa"/>
            <w:vAlign w:val="bottom"/>
          </w:tcPr>
          <w:p>
            <w:pPr>
              <w:spacing w:after="0"/>
              <w:rPr>
                <w:sz w:val="20"/>
                <w:szCs w:val="20"/>
                <w:color w:val="auto"/>
              </w:rPr>
            </w:pPr>
          </w:p>
        </w:tc>
        <w:tc>
          <w:tcPr>
            <w:tcW w:w="54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0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4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r>
              <w:rPr>
                <w:rFonts w:ascii="Times New Roman" w:cs="Times New Roman" w:eastAsia="Times New Roman" w:hAnsi="Times New Roman"/>
                <w:sz w:val="18"/>
                <w:szCs w:val="18"/>
                <w:b w:val="1"/>
                <w:bCs w:val="1"/>
                <w:color w:val="auto"/>
                <w:w w:val="99"/>
              </w:rPr>
              <w:t>: (650) 817-9012</w:t>
            </w:r>
          </w:p>
        </w:tc>
        <w:tc>
          <w:tcPr>
            <w:tcW w:w="2800" w:type="dxa"/>
            <w:vAlign w:val="bottom"/>
          </w:tcPr>
          <w:p>
            <w:pPr>
              <w:spacing w:after="0"/>
              <w:rPr>
                <w:sz w:val="24"/>
                <w:szCs w:val="24"/>
                <w:color w:val="auto"/>
              </w:rPr>
            </w:pPr>
          </w:p>
        </w:tc>
      </w:tr>
      <w:tr>
        <w:trPr>
          <w:trHeight w:val="414"/>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0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54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PRST</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PRSTW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Agreements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29, 2024, Presto Automation Inc. (“Presto” or the “Company”) entered into Securities Purchase Agreements (the “Purchase Agreements”) with several investors (the “Purchasers”) relating to the issuance and sale (the “Offering”) of an aggregate of:</w:t>
      </w:r>
    </w:p>
    <w:p>
      <w:pPr>
        <w:spacing w:after="0" w:line="162" w:lineRule="exact"/>
        <w:rPr>
          <w:sz w:val="20"/>
          <w:szCs w:val="20"/>
          <w:color w:val="auto"/>
        </w:rPr>
      </w:pPr>
    </w:p>
    <w:p>
      <w:pPr>
        <w:jc w:val="both"/>
        <w:ind w:left="980" w:hanging="324"/>
        <w:spacing w:after="0" w:line="258"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principal amount of subordinated notes (the “Notes”) in consideration for a cash investment of $6.0 million from a number of investors consisting of (i) a lead investor (the “Lead Investor”) who purchased $3.0 million of the Notes, (ii) Remus Capital Series B II, L.P. (“Remus Capital”), an entity controlled by our Chairman and under common control with other entities that beneficially owned 25.2% of our outstanding shares of common stock par value $0.0001 per share (the “Common Stock”) prior to the Offering, which purchased $2.675 million of the Notes, and (iii) various other investors, and</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principal amount of subordinated notes issued to the Lead Investor in exchange for forfeiting 3,000,000 shares of our Common Stock that the Lead Investor had purchased on November 21, 2023 at a price of $1.00 per share together with all shares of Common Stock that would be issuable in respect of such shares as a result of this financing, totaling 4,500,000 additional shares.</w:t>
      </w:r>
    </w:p>
    <w:p>
      <w:pPr>
        <w:spacing w:after="0" w:line="17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PIK Interest</w:t>
      </w:r>
      <w:r>
        <w:rPr>
          <w:rFonts w:ascii="Times New Roman" w:cs="Times New Roman" w:eastAsia="Times New Roman" w:hAnsi="Times New Roman"/>
          <w:sz w:val="18"/>
          <w:szCs w:val="18"/>
          <w:color w:val="auto"/>
        </w:rPr>
        <w:t>. Interest on the Notes accrues monthly by increasing principal at a rate of 7.5% per annum. The interest rate shall increase to 12% in the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event of default (an “Event of Default”).</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Notes are convertible into 36,000,000 shares of Common Stock at the option of each holder at an initial conversion price of $0.25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shall convert mandatorily into Common Stock at the then prevailing conversion price immediately prior to (a) a Restructuring Transaction, and</w:t>
      </w:r>
    </w:p>
    <w:p>
      <w:pPr>
        <w:spacing w:after="0" w:line="27"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Transaction with a financial investor. For these purposes: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Transaction” is any transaction or series of transactions which has the effect of (i) forgiving, reducing, or modifying the principal balance of, or otherwise adjusting the amount of, the indebtedness (the “Senior Indebtedness”) outstanding under the Credit Agreement (“Credit Agreement”) dated as of September 21, 2022, as amended on March 31, 2023 and May 22, 2023, with the Agent, Metropolitan Levered Partners Fund VII, LP, Metropolitan Partners Fund VII, LP, Metropolitan Offshore Partners Fund VII, LP and CEOF Holdings LP (collectively, the “Lenders”) with Metropolitan Partners Group Administration, LLC, as agent (the “Agent”), and the other parties thereto, (ii) exchanging all or any portion of the Senior Indebtedness for any other instrument or security, (iii) the exercise of any rights or remedies by the administrative agent or any lender under the Credit Agreement and related documents, or (iv) replacing or refinancing the Senior Indebtedness, in whole or in part.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(i) consolidations, mergers and reorganizations in which a majority of the voting power of the Company after the transaction changes, (ii) the transfer to a person or group of 20% of the voting power of the Company, (iii) the acquisition of beneficial ownership of 25% of the voting power or economic interests of the Company on a fully diluted basis or the acquisition of the power to elect a majority of the board, or (iv) the sale of transact of all or substantially all of the assets of the Company. A Change of Control is not triggered if the transaction is to or involves a strategic investor as opposed to a financial investor.</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Full Ratchet Anti-dilution Protection. </w:t>
      </w:r>
      <w:r>
        <w:rPr>
          <w:rFonts w:ascii="Times New Roman" w:cs="Times New Roman" w:eastAsia="Times New Roman" w:hAnsi="Times New Roman"/>
          <w:sz w:val="18"/>
          <w:szCs w:val="18"/>
          <w:color w:val="auto"/>
        </w:rPr>
        <w:t>The Notes benefit from “full ratchet” anti-dilution protection through September 30, 2024. As a result, in the event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issuance of any Common Stock or securities convertible into or exchangeable for Common Stock at a price that is less than the initial Conversion Price, the Conversion Price shall be reduced to that lower price.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Conversion Cap</w:t>
      </w:r>
      <w:r>
        <w:rPr>
          <w:rFonts w:ascii="Times New Roman" w:cs="Times New Roman" w:eastAsia="Times New Roman" w:hAnsi="Times New Roman"/>
          <w:sz w:val="18"/>
          <w:szCs w:val="18"/>
          <w:color w:val="auto"/>
        </w:rPr>
        <w:t>. Pursuant to Nasdaq Listing Rule 5635(d), the total number of shares of Common Stock that can be issued upon conversion of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upon exercise of the Fifth Amendment Warrants (as defined below) is limited to 19.99% of the outstanding shares of the Company (the “January Offering Share Cap”) at the time of the closing of the Offering absent shareholder approval. Absent the January Offering Share Cap, the total number of shares issuable under the Note is 36,000,000 and pursuant to the Fifth Amendment Warrants is 5,323,298 shares. The January Offering Share Cap is 14,190,042.</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The Notes are subject to the terms and conditions of the Senior Indebtedness and addition provisions set forth in the Notes,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limitation, (i) the Notes are subordinated to the prior payment in cash in full of the Senior Indebtedness, (ii) no principal or interest may be paid in cash on the Notes prior to the repayment in cash in full of the Senior Indebtedness, (iii) each note holder authorizes the Agent to file any claim on its behalf, to vote its interest, and not to support and not impede any plan or other steps proposed by the Agent in connection with any insolvency proceeding.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Triggering and Partial Waiver of Anti-dilution Protection Associated with Previously Issues Securities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triggered anti-dilution adjustment provisions in the CA Purchase Agreement, the Third Amendment Conversion Warrants and the November 2023 Purchase Agreements (each as defined below).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10, 2023, the Company entered into a Securities Purchase Agreement (the “CA Purchase Agreement”) with Presto CA LLC (“CA”), pursuant to which the Company sold 1,500,000 shares of Common Stock, at a purchase price of $2.00 per share, for an aggregate purchase price of $3.0 million (the “Private Placement”). CA is affiliated with Cleveland Avenue LLC, and Keith Kravcik, a director of Presto, is the Chief Investment Officer of Cleveland Avenue’s various Investment Funds, including the funds invested in CA. The Private Placement closed on October 16, 2023. The CA Purchase Agreement includes anti-dilution provisions relating to future issuances or deemed issuances of the Company’s Common Stock from October 16, 2023 to April 1, 2024 at a price per share below $2.00, which would require the Company to issue additional shares of Common Stock to CA, upon the terms and subject to the conditions contained in the CA Purchase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on October 10, 2023, the Company entered into a Third Amendment (the “Third Amendment”) to the Credit Agreement. Pursuant to the Third Amendment, the Lenders agreed to, among other things, exchange an aggregate of $6,000,000 of accrued and previously capitalized interest for warrants to purchase 3,000,000 shares of Common Stock at a purchase price of $0.01 per share (the “Third Amendment Conversion Warrants”). The Third Amendment Conversion Warrants are subject to anti-dilution provisions relating to future issuances or deemed issuances of the Company’s Common Stock from October 16, 2023 to April 1, 2024 originally at a price per share below $2.00, upon the terms and subject to the conditions contained in the Third Amendment Conversion Warrants.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November 17, 2023, the Company entered into Common Stock purchase agreements (the “November 2023 Purchase Agreements”) with several investors (the “November 2023 Purchasers”) relating to the issuance and sale of an aggregate of 7,750,000 shares of the Company’s Common Stock (the “November 2023 Offering”). The November 2023 Offering closed on November 21, 2023. Of those shares, 3,000,000 were issued to the Lead Investor at a price of $1.00 per share together with an additional 750,000 shares issued to an entity affiliated with the Lead Investor for zero consideration (resulting in an average purchase price of $0.80 per share) and the 4,000,000 shares were issued to other investors.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Notes Offering, the Lenders, CA and the holders of 3,000,000 out of the 4,000,000 shares issued in the November 2023 Offering that were not being forfeited agreed that the “New Issuance Price” for the purpose of anti-dilution protection regarding the Notes Offering would be $0.40 and not $0.25. A summary of the impact of the anti-dilution protection is set forth below:</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72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68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Subject Security</w:t>
            </w:r>
          </w:p>
        </w:tc>
        <w:tc>
          <w:tcPr>
            <w:tcW w:w="370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Impact of November 17 Offering</w:t>
            </w:r>
          </w:p>
        </w:tc>
        <w:tc>
          <w:tcPr>
            <w:tcW w:w="3480" w:type="dxa"/>
            <w:vAlign w:val="bottom"/>
            <w:tcBorders>
              <w:top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Impact of Current Note Offering</w:t>
            </w: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Lenders</w:t>
            </w:r>
          </w:p>
        </w:tc>
        <w:tc>
          <w:tcPr>
            <w:tcW w:w="1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Third Amendment</w:t>
            </w: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Increase in the number of shares underlying the</w:t>
            </w:r>
          </w:p>
        </w:tc>
        <w:tc>
          <w:tcPr>
            <w:tcW w:w="3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Increase in the number of shares underlying</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Conversion</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Third Amendment Conversion Warrants from</w:t>
            </w: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Third Amendment Conversion Warrants</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Warrants</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3,000,000 to 6,000,000 shares.</w:t>
            </w: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from 6,000,000 to 15,000,000 shares.</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Reduction in the Applicable Price (as defined in</w:t>
            </w: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Reduction in the Applicable Price to from</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Third Amendment Conversion Warrants) to</w:t>
            </w: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 to $0.40.</w:t>
            </w: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from $2.00 to $1.00.</w:t>
            </w:r>
          </w:p>
        </w:tc>
        <w:tc>
          <w:tcPr>
            <w:tcW w:w="3480" w:type="dxa"/>
            <w:vAlign w:val="bottom"/>
            <w:tcBorders>
              <w:right w:val="single" w:sz="8" w:color="auto"/>
            </w:tcBorders>
          </w:tcPr>
          <w:p>
            <w:pPr>
              <w:spacing w:after="0"/>
              <w:rPr>
                <w:sz w:val="20"/>
                <w:szCs w:val="20"/>
                <w:color w:val="auto"/>
              </w:rPr>
            </w:pPr>
          </w:p>
        </w:tc>
      </w:tr>
      <w:tr>
        <w:trPr>
          <w:trHeight w:val="95"/>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3480" w:type="dxa"/>
            <w:vAlign w:val="bottom"/>
            <w:tcBorders>
              <w:bottom w:val="single" w:sz="8" w:color="auto"/>
              <w:right w:val="single" w:sz="8" w:color="auto"/>
            </w:tcBorders>
          </w:tcPr>
          <w:p>
            <w:pPr>
              <w:spacing w:after="0"/>
              <w:rPr>
                <w:sz w:val="8"/>
                <w:szCs w:val="8"/>
                <w:color w:val="auto"/>
              </w:rPr>
            </w:pP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CA</w:t>
            </w:r>
          </w:p>
        </w:tc>
        <w:tc>
          <w:tcPr>
            <w:tcW w:w="1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Reduction in New Issuance Price from $2.00 to</w:t>
            </w:r>
          </w:p>
        </w:tc>
        <w:tc>
          <w:tcPr>
            <w:tcW w:w="3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Reduction of New Issuance price from $1.00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w:t>
            </w: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$0.40.</w:t>
            </w: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Issuance of 1,500,000 additional shares</w:t>
            </w: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Issuance of 4,500,000 additional shares</w:t>
            </w:r>
          </w:p>
        </w:tc>
      </w:tr>
      <w:tr>
        <w:trPr>
          <w:trHeight w:val="95"/>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3480" w:type="dxa"/>
            <w:vAlign w:val="bottom"/>
            <w:tcBorders>
              <w:bottom w:val="single" w:sz="8" w:color="auto"/>
              <w:right w:val="single" w:sz="8" w:color="auto"/>
            </w:tcBorders>
          </w:tcPr>
          <w:p>
            <w:pPr>
              <w:spacing w:after="0"/>
              <w:rPr>
                <w:sz w:val="8"/>
                <w:szCs w:val="8"/>
                <w:color w:val="auto"/>
              </w:rPr>
            </w:pP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November 2023</w:t>
            </w:r>
          </w:p>
        </w:tc>
        <w:tc>
          <w:tcPr>
            <w:tcW w:w="1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3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Reduction of New Issuance Price from $1.00</w:t>
            </w: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Purchasers</w:t>
            </w: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(3,000,000 shares)</w:t>
            </w:r>
          </w:p>
        </w:tc>
        <w:tc>
          <w:tcPr>
            <w:tcW w:w="370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$0.40.</w:t>
            </w: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Issuance of 4,500,000 additional shares</w:t>
            </w:r>
          </w:p>
        </w:tc>
      </w:tr>
      <w:tr>
        <w:trPr>
          <w:trHeight w:val="94"/>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3480" w:type="dxa"/>
            <w:vAlign w:val="bottom"/>
            <w:tcBorders>
              <w:bottom w:val="single" w:sz="8" w:color="auto"/>
              <w:right w:val="single" w:sz="8" w:color="auto"/>
            </w:tcBorders>
          </w:tcPr>
          <w:p>
            <w:pPr>
              <w:spacing w:after="0"/>
              <w:rPr>
                <w:sz w:val="8"/>
                <w:szCs w:val="8"/>
                <w:color w:val="auto"/>
              </w:rPr>
            </w:pPr>
          </w:p>
        </w:tc>
      </w:tr>
      <w:tr>
        <w:trPr>
          <w:trHeight w:val="191"/>
        </w:trPr>
        <w:tc>
          <w:tcPr>
            <w:tcW w:w="172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3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Reduction of New Issuance Price from $1.00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(1,000,000 shares)</w:t>
            </w:r>
          </w:p>
        </w:tc>
        <w:tc>
          <w:tcPr>
            <w:tcW w:w="370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$0.25.</w:t>
            </w: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Issuance of 3,000,000 additional shares</w:t>
            </w:r>
          </w:p>
        </w:tc>
      </w:tr>
      <w:tr>
        <w:trPr>
          <w:trHeight w:val="95"/>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3480" w:type="dxa"/>
            <w:vAlign w:val="bottom"/>
            <w:tcBorders>
              <w:bottom w:val="single" w:sz="8" w:color="auto"/>
              <w:right w:val="single" w:sz="8" w:color="auto"/>
            </w:tcBorders>
          </w:tcPr>
          <w:p>
            <w:pPr>
              <w:spacing w:after="0"/>
              <w:rPr>
                <w:sz w:val="8"/>
                <w:szCs w:val="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foregoing issuances, the forfeiture of 3.0 million shares by the Lead Investor for $3.0 million principal amount of subordinated notes, and the addition of 36.0 million shares issuable upon conversion of the Notes, the Company’s outstanding shares will increase from 71.0 million to 80.0 million, and there will be outstanding an additional 14.3 million warrants to purchase Common Stock for $0.01 per share. The total number of shares issued or reserved for issuance out of the Company’s 180 million authorized shares of Common Stock will be approximately 170.8 million shares.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Registration Rights Agreement with each Note holder (the “Registration Rights Agreement”). Under the Registration Rights Agreement, the Company will file a registration statement (“Registration Statement”) with the Securities and Exchange Commission (the “SEC”) within 30 days following the date of the Registration Rights Agreement for purposes of registering the resale of the shares of Common Stock issuable upon conversion of the Notes in the Private Placement. The Company will also use commercially reasonable efforts to cause the SEC to declare the Registration Statement effective as promptly as possible after the filing of the Registration Statement and no later than the earlier of (i) the 90th calendar day following the date on which an additional Registration Statement is required to be filed under the Registration Rights Agreement and (ii) the 5th trading day after the date the Company is notified by the SEC that the Registration Statement will not be “reviewed” or will not be subject to further review. The Company will also use its commercially reasonable efforts to keep each Registration Statement continuously effective under the Securities Act of 1933, as amended, (the “Securities Act”) until the earlier of (i) such time as all of the registrable securities covered by such Registration Statement have been sold by the holders publicly or sold pursuant to Rule 144 or (ii) the date that all registrable securities covered by such Registration Statement may be sold by non-affiliates of the Company without volume or manner-of-sale restrictions under Rule 144, and without the requirement for the Company to be in compliance with the current public information requirements under Rule 144, as determined by counsel to the Company pursuant to a written opinion letter to such effect, addressed and acceptable to the Company’s transfer agent and the affected 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to Purchase Common Stock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effectiveness of the Fifth Amendment, the Company issued to the Agent warrants to purchase 5,323,298 shares of Common Stock (the “Fifth Amendment Warrants”) reflecting a value equal to the amount of interest that would accrue on the outstanding loan under the Credit Agreement through December 31, 2024 at a rate of 4% per annum. The Fifth Amendment Warrants were required to be issued pursuant to the Forbearance Agreement to account for the reduction in interest rate under the Credit Agreement from 12% to 8% upon the closing of the Offering. The Warrants may be exercised for cash or pursuant to a net exercise at any time on or before the date that is the five year anniversary of the date of the issuance of the Warrants; provided,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In addition, the Fifth Amendment Warrants are subject to anti-dilution provisions relating to future issuances or deemed issuances of the Company’s Common Stock from the issuance date of the Fifth Amendment Conversion Warrants to April 1, 2024 at a price per share below $0.40, upon the terms and subject to the conditions contained in the Fifth Amendment Conversion Warrants.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parties agreed that the shares of Common Stock underlying the Warrants constitute “Registerable Securities” as defined in the registration rights agreement, dated as of March 31, 2023, by and among the Company and the Lenders (the “Metropolitan Registration Rights Agreement”). Under the Metropolitan Registration Rights Agreement, the Company has agreed to file a Registration Statement with the SEC within 30 days following the date of the issuance of the Warrants for purposes of registering the resale of the shares of Common Stock underlying the Warrants. The Company has also agreed to use its reasonable best efforts to cause the SEC to declare the Registration Statement effective as soon as possible after the filing of the Registration Statement and no later than the earlier of (i) the 60th calendar day following the date on which an additional Registration Statement is required to be filed under the Registration Rights Agreement (or, in the event of a “full review” by the Securities and Exchange Commission (the Commission”), the 90th calendar day following the date such additional Registration Statement is required to be filed under the Registration Rights Agreement) and (ii) the 3rd business day after the date the Company is notified by the SEC that the Registration Statement will not be “reviewed” or will not be subject to further review.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Fifth Amendment to Credit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30, 2024, the Company and its wholly owned subsidiary Presto Automation LLC, entered into a Fifth Amendment to Credit Agreement and Acknowledgment (the “Fifth Amendment”) with Metropolitan Partners Group Administration, LLC (the “Agent”), as administrative agent on behalf of the lenders (the “Lenders”) party to the Credit Agreement, dated September 21, 2022 (as subsequently amended, restated, modified or supplemented prior to January 30, 2024, the “Credit Agreement”), and certain significant stakeholders of the Company party thereto. The Fifth Amendment was preceded by the Forbearance and Fourth Amendment to the Credit Agreement, dated January 22, 2024 (the “Forbearance Agreement”), by and among the Company, the Agent, the Lenders and certain significant stakeholders of the Company party thereto.</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The material terms of the Fifth Amendment are as follows:</w:t>
      </w:r>
    </w:p>
    <w:p>
      <w:pPr>
        <w:spacing w:after="0" w:line="225"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confirmed that the Offering satisfied the requirements of the Forbearance Agreement in order for the Lenders to grant continued forbearance with respect to events of default under the Credit Agreement.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until which initial forbearance is granted was extended from the original date of February 29, 2024 in the Forbearance Agreement until March 8, 2024.</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that on or prior to March 6, 2024, it will hold a shareholder meeting, among other things, to (i) approve the issuance of certain shares issuable in connection with any securities subject to the 19.99% cap imposed by Nasdaq rules, including, without limitation, the Third Amendment Warrants, the Fifth Amendment Warrants and the Convertible Notes, and (ii) amend its certificate of incorporation to increase the authorized shares of Common Stock to not less than 100,000,000,000 shares. The failure of such meeting of the shareholders of the Company to occur on or before March 6, 2024 shall constitute an immediate event of default under the Credit Agreement.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anticipates that its cash payments in February will result in a reduction in its operating cash that breaches the permitted “Net Adjusted Decrease in Operating Cash” covenant under the Credit Agreement. This anticipated event of default under the Credit Agreement is made subject to the Forbearance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together with its past, present and future successors, assigns, managers, members, officers, directors, agents, employees, professionals and other representatives (in their capacities as such and not in any other capacity), and entities affiliated with Remus Capital and Presto CA LLC (an affiliate of Cleveland Avenue, LLC) together with their respective past, present and future successors, assigns released the Agent, the Lenders and certain other parties affiliated or related thereto from any claims related to the Forbearance Agreement, the Credit Agreement and any loan documents.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summaries do not purport to be complete and are subject to, and qualified in its entirety by, the full text of the agreements filed as exhibits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Update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projects that the net proceeds from the Offering, together with the Company’s other cash resources and projected revenues, are sufficient for the Company to sustain its operations through the end of February. The Company is currently exploring alternatives and in discussions with potential investors to raise capital. The Company is required to raise at least $6 million on or before March 8, 2024 pursuant to the terms of the Forbearance Agreement in order to receive additional forbearance from the Lenders.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(the “Form 8-K”)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Form 8-K,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Form 8-K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Form 8-K are subject to risks and uncertainties, including but not limited to, the Company’s ability to secure additional capital resources, and those additional risks and uncertainties discussed under the heading “Risk Factors” in the Form 10-K filed by the Company with the Securities and Exchange Commission (the “SEC”) on October 11, 2023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Form 8-K materialize or should underlying assumptions prove incorrect, actual results and plans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Form 8-K.</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provided as part of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Securities Purchase Agreement, dated as of January 30, 2024, by and between Presto Automation Inc. and the buyers thereto.</w:t>
            </w:r>
          </w:p>
        </w:tc>
        <w:tc>
          <w:tcPr>
            <w:tcW w:w="280" w:type="dxa"/>
            <w:vAlign w:val="bottom"/>
            <w:gridSpan w:val="3"/>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Subordinated Convertible Note, dated as of January 30, 2024.</w:t>
            </w:r>
          </w:p>
        </w:tc>
        <w:tc>
          <w:tcPr>
            <w:tcW w:w="4860" w:type="dxa"/>
            <w:vAlign w:val="bottom"/>
            <w:gridSpan w:val="6"/>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Registration Rights Agreement, dated as of January 30, 2024, by and between Presto Automation Inc. and the holders thereto.</w:t>
            </w:r>
          </w:p>
        </w:tc>
        <w:tc>
          <w:tcPr>
            <w:tcW w:w="240" w:type="dxa"/>
            <w:vAlign w:val="bottom"/>
            <w:gridSpan w:val="2"/>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Fifth Amendment to Credit Agreement, dated as of January 31, 2024, by and among Presto Automation LLC, Presto Automation Inc., the</w:t>
            </w: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lenders party thereto and Metropolitan Partners Group Administration, LLC.</w:t>
            </w:r>
          </w:p>
        </w:tc>
        <w:tc>
          <w:tcPr>
            <w:tcW w:w="2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Warrant to Purchase Common Stock, dated January 30, 2024, by and between Presto Automation Inc. and Metropolitan Levered Partners</w:t>
            </w: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Fund VII, LP.</w:t>
            </w:r>
          </w:p>
        </w:tc>
        <w:tc>
          <w:tcPr>
            <w:tcW w:w="8940" w:type="dxa"/>
            <w:vAlign w:val="bottom"/>
            <w:gridSpan w:val="10"/>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Warrant to Purchase Common Stock, dated January 30, 2024, by and between Presto Automation Inc. and Metropolitan Partners Fund</w:t>
            </w: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VII, LP.</w:t>
            </w:r>
          </w:p>
        </w:tc>
        <w:tc>
          <w:tcPr>
            <w:tcW w:w="9360" w:type="dxa"/>
            <w:vAlign w:val="bottom"/>
            <w:gridSpan w:val="13"/>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Warrant to Purchase Common Stock, dated January 30, 2024, by and between Presto Automation Inc. and Metropolitan Offshore Partners</w:t>
            </w: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Fund VII, LP.</w:t>
            </w:r>
          </w:p>
        </w:tc>
        <w:tc>
          <w:tcPr>
            <w:tcW w:w="8940" w:type="dxa"/>
            <w:vAlign w:val="bottom"/>
            <w:gridSpan w:val="10"/>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Warrant to Purchase Common Stock, dated January 30, 2024, by and between Presto Automation Inc. and CEOF Holdings, LP.</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60" w:type="dxa"/>
            <w:vAlign w:val="bottom"/>
            <w:gridSpan w:val="3"/>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Warrant to Purchase Common Stock, dated January 30, 2024, by and between Presto Automation Inc. and</w:t>
            </w: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Metropolitan Levered Partners Fund VII, LP.</w:t>
            </w:r>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p>
        </w:tc>
        <w:tc>
          <w:tcPr>
            <w:tcW w:w="460" w:type="dxa"/>
            <w:vAlign w:val="bottom"/>
          </w:tcPr>
          <w:p>
            <w:pPr>
              <w:spacing w:after="0"/>
              <w:rPr>
                <w:sz w:val="17"/>
                <w:szCs w:val="17"/>
                <w:color w:val="auto"/>
              </w:rPr>
            </w:pPr>
          </w:p>
        </w:tc>
        <w:tc>
          <w:tcPr>
            <w:tcW w:w="99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Warrant to Purchase Common Stock, dated January 30, 2024, by and between Presto Automation Inc. and</w:t>
            </w: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Metropolitan Partners Fund VII, LP.</w:t>
            </w:r>
          </w:p>
        </w:tc>
        <w:tc>
          <w:tcPr>
            <w:tcW w:w="7320" w:type="dxa"/>
            <w:vAlign w:val="bottom"/>
            <w:tcBorders>
              <w:top w:val="single" w:sz="8" w:color="0000EE"/>
            </w:tcBorders>
            <w:gridSpan w:val="9"/>
          </w:tcPr>
          <w:p>
            <w:pPr>
              <w:spacing w:after="0"/>
              <w:rPr>
                <w:sz w:val="17"/>
                <w:szCs w:val="17"/>
                <w:color w:val="auto"/>
              </w:rPr>
            </w:pPr>
          </w:p>
        </w:tc>
      </w:tr>
      <w:tr>
        <w:trPr>
          <w:trHeight w:val="196"/>
        </w:trPr>
        <w:tc>
          <w:tcPr>
            <w:tcW w:w="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Warrant to Purchase Common Stock, dated January 30, 2024, by and between Presto Automation Inc. and</w:t>
            </w: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Metropolitan Offshore Partners Fund VII, LP.</w:t>
            </w:r>
          </w:p>
        </w:tc>
        <w:tc>
          <w:tcPr>
            <w:tcW w:w="6640" w:type="dxa"/>
            <w:vAlign w:val="bottom"/>
            <w:tcBorders>
              <w:top w:val="single" w:sz="8" w:color="0000EE"/>
            </w:tcBorders>
            <w:gridSpan w:val="7"/>
          </w:tcPr>
          <w:p>
            <w:pPr>
              <w:spacing w:after="0"/>
              <w:rPr>
                <w:sz w:val="17"/>
                <w:szCs w:val="17"/>
                <w:color w:val="auto"/>
              </w:rPr>
            </w:pPr>
          </w:p>
        </w:tc>
      </w:tr>
      <w:tr>
        <w:trPr>
          <w:trHeight w:val="196"/>
        </w:trPr>
        <w:tc>
          <w:tcPr>
            <w:tcW w:w="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Warrant to Purchase Common Stock, dated January 30, 2024, by and between Presto Automation Inc. and CEOF</w:t>
            </w: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Holdings, LP</w:t>
            </w:r>
          </w:p>
        </w:tc>
        <w:tc>
          <w:tcPr>
            <w:tcW w:w="2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5560" w:right="4260" w:hanging="5552"/>
        <w:spacing w:after="0" w:line="783" w:lineRule="auto"/>
        <w:tabs>
          <w:tab w:leader="none" w:pos="1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 2024</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January 30, 2024, is by and among Presto Automation Inc., a Delaware corporation with offices located at 985 Industrial Road, San Carlos, California 94070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investors listed on the Schedule of Buyers attached hereto (individually,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720" w:hanging="658"/>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Buyer is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720" w:hanging="658"/>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authorized the issuance, from time to time in accordance with the terms of this Agreement, of up to $9.0 million aggregate principal amount of unsecured subordinated convertible notes, substantially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which Notes shall be convertible, at the option of the holder thereof into shares of the Company’s common stock, par value $0.0001 per share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(the shares of Common Stock issuable upon conversion Notes,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720" w:hanging="658"/>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Buyer wishes to purchase, and the Company wishes to sell, upon the terms and conditions stated in this Agreement on the Closing Date (as defined below), Notes in the aggregate original principal amount set forth opposite such Buyer’s name in column [(3)] on the Schedule of Buyers.</w:t>
      </w:r>
    </w:p>
    <w:p>
      <w:pPr>
        <w:spacing w:after="0" w:line="157" w:lineRule="exact"/>
        <w:rPr>
          <w:rFonts w:ascii="Times New Roman" w:cs="Times New Roman" w:eastAsia="Times New Roman" w:hAnsi="Times New Roman"/>
          <w:sz w:val="18"/>
          <w:szCs w:val="18"/>
          <w:color w:val="auto"/>
        </w:rPr>
      </w:pPr>
    </w:p>
    <w:p>
      <w:pPr>
        <w:jc w:val="both"/>
        <w:ind w:left="720" w:hanging="658"/>
        <w:spacing w:after="0" w:line="26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the parties hereto shall execute and deliver a Registration Rights Agreement,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pursuant to which the Company has agreed to provide certain registration rights with respect to the Registrable Securities (as defined in the Registration Rights Agreement), under the 1933 Act and the rules and regulations promulgated thereunder, and applicable state securities laws.</w:t>
      </w:r>
    </w:p>
    <w:p>
      <w:pPr>
        <w:spacing w:after="0" w:line="176" w:lineRule="exact"/>
        <w:rPr>
          <w:rFonts w:ascii="Times New Roman" w:cs="Times New Roman" w:eastAsia="Times New Roman" w:hAnsi="Times New Roman"/>
          <w:sz w:val="18"/>
          <w:szCs w:val="18"/>
          <w:color w:val="auto"/>
        </w:rPr>
      </w:pPr>
    </w:p>
    <w:p>
      <w:pPr>
        <w:ind w:left="740" w:hanging="651"/>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and the Conversion Shares are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PURCHASE AND SALE OF NOTES.</w:t>
      </w:r>
    </w:p>
    <w:p>
      <w:pPr>
        <w:spacing w:after="0" w:line="22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of Notes</w:t>
      </w:r>
      <w:r>
        <w:rPr>
          <w:rFonts w:ascii="Times New Roman" w:cs="Times New Roman" w:eastAsia="Times New Roman" w:hAnsi="Times New Roman"/>
          <w:sz w:val="18"/>
          <w:szCs w:val="18"/>
          <w:color w:val="auto"/>
        </w:rPr>
        <w:t>. Subject to the satisfaction (or waiver) of the conditions set forth in Sections 6 and 7(a) below, the Company shall issue and sell to each Buyer, and each Buyer severally, but not jointly, agrees to purchase from the Company on the Closing Date a Note in the original principal amount as is set forth opposite such Buyer’s name in column [(3)] on the Schedule of Buyers.</w:t>
      </w:r>
    </w:p>
    <w:p>
      <w:pPr>
        <w:spacing w:after="0" w:line="172"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of the purchase of Notes by the Buyers shall occur virtually at 10:00 a.m., New York time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on the first Business Day on which the conditions to the Closing set forth in Sections 6 and 7(a) below are satisfied or waived (or such other date as is mutually agreed to by the Company and each Buyer), or at such other time as agreed upon by the parties hereto. As used herein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New York, New York are authorized or required by law to remain closed.</w:t>
      </w:r>
    </w:p>
    <w:p>
      <w:pPr>
        <w:spacing w:after="0" w:line="179" w:lineRule="exact"/>
        <w:rPr>
          <w:sz w:val="20"/>
          <w:szCs w:val="20"/>
          <w:color w:val="auto"/>
        </w:rPr>
      </w:pPr>
    </w:p>
    <w:p>
      <w:pPr>
        <w:ind w:left="1300"/>
        <w:spacing w:after="0"/>
        <w:tabs>
          <w:tab w:leader="none" w:pos="9960" w:val="left"/>
        </w:tabs>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Purchase Price</w:t>
      </w:r>
      <w:r>
        <w:rPr>
          <w:rFonts w:ascii="Times New Roman" w:cs="Times New Roman" w:eastAsia="Times New Roman" w:hAnsi="Times New Roman"/>
          <w:sz w:val="18"/>
          <w:szCs w:val="18"/>
          <w:color w:val="auto"/>
        </w:rPr>
        <w:t>. The aggregate price for the Notes to be purchased by the Buyer at the Closing shall be $[</w:t>
      </w:r>
      <w:r>
        <w:rPr>
          <w:sz w:val="20"/>
          <w:szCs w:val="20"/>
          <w:color w:val="auto"/>
        </w:rPr>
        <w:tab/>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Purchase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b w:val="1"/>
          <w:bCs w:val="1"/>
          <w:color w:val="auto"/>
        </w:rPr>
        <w:t>2.             BUYER’S REPRESENTATIONS AND WARRANTIES.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Each Buyer, severally and not jointly, represents and warrants to the Company and Chardan Capital Markets, LLC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with respect to only itself that, as of the date of this Agreement and as of the Closing Date:</w:t>
      </w:r>
    </w:p>
    <w:p>
      <w:pPr>
        <w:spacing w:after="0" w:line="37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Authority</w:t>
      </w:r>
      <w:r>
        <w:rPr>
          <w:rFonts w:ascii="Times New Roman" w:cs="Times New Roman" w:eastAsia="Times New Roman" w:hAnsi="Times New Roman"/>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to which it is a party and otherwise to carry out its obligations hereunder and thereunder.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collectively, this Agreement, the Notes and the Registration Rights Agreement and each of the other agreements and instruments entered into or delivered by any of the parties hereto in connection with the transactions contemplated hereby and thereby, as may be amended from time to time.</w:t>
      </w:r>
    </w:p>
    <w:p>
      <w:pPr>
        <w:spacing w:after="0" w:line="187"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 Public Sale or Distribution</w:t>
      </w:r>
      <w:r>
        <w:rPr>
          <w:rFonts w:ascii="Times New Roman" w:cs="Times New Roman" w:eastAsia="Times New Roman" w:hAnsi="Times New Roman"/>
          <w:sz w:val="18"/>
          <w:szCs w:val="18"/>
          <w:color w:val="auto"/>
        </w:rPr>
        <w:t>. Such Buyer (i) is acquiring its Notes, and (ii) upon conversion of its Notes, will acquire the Conversion Shares issuable upon conversion thereof, in each case,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Such Buyer does not presently have any agreement or understanding, directly or indirectly, with any Person to distribute any of the Securities in violation of applicable securities laws. For purposes of this Agreement,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any Governmental Entity or any department or agency thereof.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 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Accredited Investor Status</w:t>
      </w:r>
      <w:r>
        <w:rPr>
          <w:rFonts w:ascii="Times New Roman" w:cs="Times New Roman" w:eastAsia="Times New Roman" w:hAnsi="Times New Roman"/>
          <w:sz w:val="18"/>
          <w:szCs w:val="18"/>
          <w:color w:val="auto"/>
        </w:rPr>
        <w:t>. Such Buyer is an “accredited investor” as that term is defined in Rule 501(a) of Regulation D.</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Reliance on Exemptions</w:t>
      </w:r>
      <w:r>
        <w:rPr>
          <w:rFonts w:ascii="Times New Roman" w:cs="Times New Roman" w:eastAsia="Times New Roman" w:hAnsi="Times New Roman"/>
          <w:sz w:val="18"/>
          <w:szCs w:val="18"/>
          <w:color w:val="auto"/>
        </w:rPr>
        <w:t>. Such Buyer understands that the Securities are being offered and sold to it in reliance on specific exemptions from the registration requirements of United States federal and state securities laws and that each of the Company and the Placement Agent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183"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Information</w:t>
      </w:r>
      <w:r>
        <w:rPr>
          <w:rFonts w:ascii="Times New Roman" w:cs="Times New Roman" w:eastAsia="Times New Roman" w:hAnsi="Times New Roman"/>
          <w:sz w:val="18"/>
          <w:szCs w:val="18"/>
          <w:color w:val="auto"/>
        </w:rPr>
        <w:t>. Such Buyer and its advisors, if any, have been furnished with all materials relating to the business, finances and operations of the Company and materials relating to the offer and sale of the Securities that have been requested by such Buyer. Such Buyer and its advisors, if any, have reviewed the Transaction Documents and the Company’s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filings and have been afforded the opportunity to ask questions of the Company and have received answers from the Company concerning the terms and conditions of the offering of the Securities, the merits and risks of investing in the Securities and the business, finances and operations of the Company. Neither such inquiries nor any other due diligence investigations conducted by such Buyer or its advisors, if any, or its representatives shall modify, amend or affect such Buyer’s right to rely on the Company’s representations and warranties contained herein and such Buyer has only relied on such representations and warranties. Such Buyer understands that its investment in the Securities involves a high degree of risk. Such Buyer has sought such accounting, legal and tax advice as it has considered necessary to make an informed investment decision with respect to its acquisition of the Securities. Such Buyer acknowledges that in making an investment decision with respect to its acquisition of the Securities, it has not relied on any statements or information provided by the Placement Agent or any of its control persons, officers, directors, partners, members, managers or employees.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 Governmental Review</w:t>
      </w:r>
      <w:r>
        <w:rPr>
          <w:rFonts w:ascii="Times New Roman" w:cs="Times New Roman" w:eastAsia="Times New Roman" w:hAnsi="Times New Roman"/>
          <w:sz w:val="18"/>
          <w:szCs w:val="18"/>
          <w:color w:val="auto"/>
        </w:rPr>
        <w:t>.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Transfer or Resale</w:t>
      </w:r>
      <w:r>
        <w:rPr>
          <w:rFonts w:ascii="Times New Roman" w:cs="Times New Roman" w:eastAsia="Times New Roman" w:hAnsi="Times New Roman"/>
          <w:sz w:val="18"/>
          <w:szCs w:val="18"/>
          <w:color w:val="auto"/>
        </w:rPr>
        <w:t>. Such Buyer understands that except as provided in the Registration Rights Agreement: (i) the Securities have not been and are not being registered under the 1933 Act or any state securities laws, and may not be offered for sale, sold, assigned or transferred unless (A) the Securities are subsequently registered thereunder, (B) such Buyer shall have delivered to the Company (if requested by the Company) an opinion of counsel to such Buyer, reasonably acceptable to the Company, to the effect that such Securities to be sold, assigned or transferred may be sold, assigned or transferred pursuant to an exemption from such registration, or (C) such Buyer provides the Company with reasonable assurance that such Securities can be sold, assigned or transferred pursuant to Rule 144 promulgated under the 1933 Act (or a successor rule thereto) (collectively,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(ii) any sale of the Securities made in reliance on Rule 144 may be made only in accordance with the terms of Rule 144, and further, if Rule 144 is not applicable, any resale of the Securities, unless registered under the 1933 Act and applicable state securities laws, if any, require compliance with some other exemption under the 1933 Act or the rules and regulations of the SEC promulgated thereunder; and (iii) neither the Company nor any other Person is under any obligation to register the Securities under the 1933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(as defined below), including, without limitation, this Section 2(g).</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Validity; Enforcement</w:t>
      </w:r>
      <w:r>
        <w:rPr>
          <w:rFonts w:ascii="Times New Roman" w:cs="Times New Roman" w:eastAsia="Times New Roman" w:hAnsi="Times New Roman"/>
          <w:sz w:val="18"/>
          <w:szCs w:val="18"/>
          <w:color w:val="auto"/>
        </w:rPr>
        <w:t>. This Agreement and the Registration Rights Agreement have been duly and validly authorized, executed and delivered on behalf of such Buyer and shall constitute the legal, valid and binding obligations of such Buyer enforceable against such Buyer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No Conflicts</w:t>
      </w:r>
      <w:r>
        <w:rPr>
          <w:rFonts w:ascii="Times New Roman" w:cs="Times New Roman" w:eastAsia="Times New Roman" w:hAnsi="Times New Roman"/>
          <w:sz w:val="18"/>
          <w:szCs w:val="18"/>
          <w:color w:val="auto"/>
        </w:rPr>
        <w:t>. The execution, delivery and performance by such Buyer of this Agreement and the Registration Rights Agreement and the consummation by such Buyer of the transactions contemplated hereby and thereby will not (i) result in a violation of the organizational documents of such Buyer;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spacing w:after="0" w:line="200" w:lineRule="exact"/>
        <w:rPr>
          <w:sz w:val="20"/>
          <w:szCs w:val="20"/>
          <w:color w:val="auto"/>
        </w:rPr>
      </w:pPr>
    </w:p>
    <w:p>
      <w:pPr>
        <w:spacing w:after="0" w:line="20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No Group</w:t>
      </w:r>
      <w:r>
        <w:rPr>
          <w:rFonts w:ascii="Times New Roman" w:cs="Times New Roman" w:eastAsia="Times New Roman" w:hAnsi="Times New Roman"/>
          <w:sz w:val="18"/>
          <w:szCs w:val="18"/>
          <w:color w:val="auto"/>
        </w:rPr>
        <w:t>. Other than affiliates of such Buyer who are also Buyers under this Agreement and are identified as such on the Schedule of Buyers, such Buyer is not under common control with or acting in concert with any other Buyer and is not part of a “group” for purposes of the Securities Exchange Act of 1934, as amended.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Residency</w:t>
      </w:r>
      <w:r>
        <w:rPr>
          <w:rFonts w:ascii="Times New Roman" w:cs="Times New Roman" w:eastAsia="Times New Roman" w:hAnsi="Times New Roman"/>
          <w:sz w:val="18"/>
          <w:szCs w:val="18"/>
          <w:color w:val="auto"/>
        </w:rPr>
        <w:t>. Such Buyer is a resident of that jurisdiction specified below its address on the Schedule of Buyers.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REPRESENTATIONS AND WARRANTIES OF THE COMPANY.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in the SEC Reports (as defined below), the Company hereby makes the following representations and warranties to each Buyer and the Placement Agent, as of the date of this Agreement and as of the Closing Date:</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Organization and Qualification</w:t>
      </w:r>
      <w:r>
        <w:rPr>
          <w:rFonts w:ascii="Times New Roman" w:cs="Times New Roman" w:eastAsia="Times New Roman" w:hAnsi="Times New Roman"/>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7"/>
          <w:szCs w:val="17"/>
          <w:b w:val="1"/>
          <w:bCs w:val="1"/>
          <w:color w:val="auto"/>
        </w:rPr>
        <w:t>Material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Adverse Effect</w:t>
      </w:r>
      <w:r>
        <w:rPr>
          <w:rFonts w:ascii="Times New Roman" w:cs="Times New Roman" w:eastAsia="Times New Roman" w:hAnsi="Times New Roman"/>
          <w:sz w:val="17"/>
          <w:szCs w:val="17"/>
          <w:color w:val="auto"/>
        </w:rPr>
        <w:t>”; provided, however, that changes in the market price or trading volume of the Common Stock shall not alone, in and of itself,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 a Material Adverse Effect). No proceeding has been instituted in any such jurisdiction revoking, limiting or curtailing or seeking to revoke, limit or curtail such power and authority or qualification. “</w:t>
      </w:r>
      <w:r>
        <w:rPr>
          <w:rFonts w:ascii="Times New Roman" w:cs="Times New Roman" w:eastAsia="Times New Roman" w:hAnsi="Times New Roman"/>
          <w:sz w:val="17"/>
          <w:szCs w:val="17"/>
          <w:b w:val="1"/>
          <w:bCs w:val="1"/>
          <w:color w:val="auto"/>
        </w:rPr>
        <w:t>Subsidiaries</w:t>
      </w:r>
      <w:r>
        <w:rPr>
          <w:rFonts w:ascii="Times New Roman" w:cs="Times New Roman" w:eastAsia="Times New Roman" w:hAnsi="Times New Roman"/>
          <w:sz w:val="17"/>
          <w:szCs w:val="17"/>
          <w:color w:val="auto"/>
        </w:rPr>
        <w:t>” means any Person in which the Company, directly or indirectly,</w:t>
      </w:r>
    </w:p>
    <w:p>
      <w:pPr>
        <w:spacing w:after="0" w:line="10" w:lineRule="exact"/>
        <w:rPr>
          <w:sz w:val="20"/>
          <w:szCs w:val="20"/>
          <w:color w:val="auto"/>
        </w:rPr>
      </w:pPr>
    </w:p>
    <w:p>
      <w:pPr>
        <w:jc w:val="both"/>
        <w:ind w:left="660" w:hanging="4"/>
        <w:spacing w:after="0" w:line="255" w:lineRule="auto"/>
        <w:tabs>
          <w:tab w:leader="none" w:pos="8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at least a majority of the outstanding capital stock or holds at least a majority of the outstanding equity or similar interest of such Person or (II) controls the business, operations or administration of such Person, and each of the foregoing, is individually referred to herein as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All of the direct and indirect subsidiaries of the Company are set forth on Exhibit 21.1 of the Company’s Annual Report on Form 10-K filed with the SEC on October 11, 2023, as amended on October 12, 2023 (the “</w:t>
      </w:r>
      <w:r>
        <w:rPr>
          <w:rFonts w:ascii="Times New Roman" w:cs="Times New Roman" w:eastAsia="Times New Roman" w:hAnsi="Times New Roman"/>
          <w:sz w:val="18"/>
          <w:szCs w:val="18"/>
          <w:b w:val="1"/>
          <w:bCs w:val="1"/>
          <w:color w:val="auto"/>
        </w:rPr>
        <w:t>2023 Form 10-K</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mortgages, defects, claims, liens, pledges, charges, taxes, rights of first refusal, encumbrances, security interests and other encumbrances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except as disclosed in the SEC Reports and Liens imposed under the credit agreement, dated as of September 21, 2022, with Metropolitan Partners Group Administration, LLC, as administrative, payment and collateral agent for the lenders, as amended to date, and all of the issued and outstanding shares of capital stock of each Subsidiary are validly issued and are fully paid, non-assessable and free of preemptive and similar rights to subscribe for or purchase securities.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both"/>
        <w:ind w:left="4" w:firstLine="648"/>
        <w:spacing w:after="0" w:line="267"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No Conflicts</w:t>
      </w:r>
      <w:r>
        <w:rPr>
          <w:rFonts w:ascii="Times New Roman" w:cs="Times New Roman" w:eastAsia="Times New Roman" w:hAnsi="Times New Roman"/>
          <w:sz w:val="17"/>
          <w:szCs w:val="17"/>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material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(except for such conflicts or defaults as have been waived or for which consent has been obtained prior to the Closing Date), or</w:t>
      </w:r>
    </w:p>
    <w:p>
      <w:pPr>
        <w:spacing w:after="0" w:line="5" w:lineRule="exact"/>
        <w:rPr>
          <w:sz w:val="20"/>
          <w:szCs w:val="20"/>
          <w:color w:val="auto"/>
        </w:rPr>
      </w:pPr>
    </w:p>
    <w:p>
      <w:pPr>
        <w:jc w:val="both"/>
        <w:ind w:left="4" w:hanging="4"/>
        <w:spacing w:after="0" w:line="253"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this Agreement, (ii) the filing with the SEC pursuant to the Registration Rights Agreement, (iii) the notice and/or application(s) to the Nasdaq Capital Market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for the issuance and sale of the Securities and the listing of the Conversion Shares for trading thereon in the time and manner required thereby, (iv) such filings as are required to be made under applicable state securities laws and (v) such consents or waivers that shall have been obtained prior to the Closing Date (collectively, the “</w:t>
      </w:r>
      <w:r>
        <w:rPr>
          <w:rFonts w:ascii="Times New Roman" w:cs="Times New Roman" w:eastAsia="Times New Roman" w:hAnsi="Times New Roman"/>
          <w:sz w:val="18"/>
          <w:szCs w:val="18"/>
          <w:b w:val="1"/>
          <w:bCs w:val="1"/>
          <w:u w:val="single" w:color="auto"/>
          <w:color w:val="auto"/>
        </w:rPr>
        <w:t>Required Approvals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Issuance of the Securities</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w:t>
      </w:r>
    </w:p>
    <w:p>
      <w:pPr>
        <w:spacing w:after="0" w:line="396"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 w:name="page14"/>
    <w:bookmarkEnd w:id="1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The capitalization of the Company as of the date hereof is as set forth in the SEC Filings. Except as set forth in the SEC Filings,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Except as set forth in the SEC Reports, the issuance and sale of the Securities will not obligate the Company or any Subsidiary to issue shares of Common Stock or other securities to any Person (other than the Buyers).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applicable federal and state securities laws,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 “</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2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SEC Reports; 2023 Form 10-K;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its date, the 2023 Form 10-K complied in all material respects with the requirements of the Securities Act and the Exchange Act, as applicable, and the 2023 Form 10-K, when filed, did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all material respects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0" w:lineRule="exact"/>
        <w:rPr>
          <w:sz w:val="20"/>
          <w:szCs w:val="20"/>
          <w:color w:val="auto"/>
        </w:rPr>
      </w:pPr>
    </w:p>
    <w:p>
      <w:pPr>
        <w:spacing w:after="0" w:line="2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 w:name="page15"/>
    <w:bookmarkEnd w:id="1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disclosed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or other equity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Market is open for trading.</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is no material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Compliance</w:t>
      </w:r>
      <w:r>
        <w:rPr>
          <w:rFonts w:ascii="Times New Roman" w:cs="Times New Roman" w:eastAsia="Times New Roman" w:hAnsi="Times New Roman"/>
          <w:sz w:val="18"/>
          <w:szCs w:val="18"/>
          <w:color w:val="auto"/>
        </w:rPr>
        <w:t>. Except as set forth in the SEC Reports,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material agreement or instrument to which it is a party or by which it or any of its material properties is bound (except for such breaches, violations or defaults as have been waived or for which consent has been obtained prior to the Closing Date),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200" w:lineRule="exact"/>
        <w:rPr>
          <w:sz w:val="20"/>
          <w:szCs w:val="20"/>
          <w:color w:val="auto"/>
        </w:rPr>
      </w:pPr>
    </w:p>
    <w:p>
      <w:pPr>
        <w:spacing w:after="0" w:line="20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 Except for fees payable by the Company to Chardan Capital Markets LLC,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Buyers shall have no obligation with respect to any fees or with respect to any claims made by or on behalf of other Persons for fees of a type contemplated in this Section that may be due in connection with the transactions contemplated by the Transaction Documents due to an arrangement or agreement made by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Private Placement</w:t>
      </w:r>
      <w:r>
        <w:rPr>
          <w:rFonts w:ascii="Times New Roman" w:cs="Times New Roman" w:eastAsia="Times New Roman" w:hAnsi="Times New Roman"/>
          <w:sz w:val="18"/>
          <w:szCs w:val="18"/>
          <w:color w:val="auto"/>
        </w:rPr>
        <w:t>. Assuming the accuracy of the Buyers’ representations and warranties set forth in this Agreement, no registration under the Securities Act is required for the offer and sale of the Securities by the Company to the Buyers as contemplated hereby. The issuance and sale of the Securities hereunder does not contravene the rules and regulations of the Principal Market.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The Company is not and immediately after receipt of payment for the Securities will not be an “investment company” required to register under the Investment Company Act of 1940, as amended. The Company shall conduct its business in a manner so that it will not become an “investment company” subject to registration under the Investment Company Act of 1940, as amended.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Foreign Corrupt Practices.</w:t>
      </w:r>
      <w:r>
        <w:rPr>
          <w:rFonts w:ascii="Times New Roman" w:cs="Times New Roman" w:eastAsia="Times New Roman" w:hAnsi="Times New Roman"/>
          <w:sz w:val="18"/>
          <w:szCs w:val="18"/>
          <w:color w:val="auto"/>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Registration Rights</w:t>
      </w:r>
      <w:r>
        <w:rPr>
          <w:rFonts w:ascii="Times New Roman" w:cs="Times New Roman" w:eastAsia="Times New Roman" w:hAnsi="Times New Roman"/>
          <w:sz w:val="18"/>
          <w:szCs w:val="18"/>
          <w:color w:val="auto"/>
        </w:rPr>
        <w:t>. Other than as disclosed in the SEC Reports, no Person has any right to cause the Company or any Subsidiary to effect the registration under the Securities Act of any securities of the Company or any Subsidiary.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200" w:lineRule="exact"/>
        <w:rPr>
          <w:sz w:val="20"/>
          <w:szCs w:val="20"/>
          <w:color w:val="auto"/>
        </w:rPr>
      </w:pPr>
    </w:p>
    <w:p>
      <w:pPr>
        <w:spacing w:after="0" w:line="20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Disclosure</w:t>
      </w:r>
      <w:r>
        <w:rPr>
          <w:rFonts w:ascii="Times New Roman" w:cs="Times New Roman" w:eastAsia="Times New Roman" w:hAnsi="Times New Roman"/>
          <w:sz w:val="18"/>
          <w:szCs w:val="18"/>
          <w:color w:val="auto"/>
        </w:rPr>
        <w:t>. All of the disclosure furnished by or on behalf of the Company to the Buyers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Company acknowledges and agrees that the Buyers do not make and have not made any representations or warranties with respect to the transactions contemplated hereby other than those specifically set forth in Section 2 hereof.</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No Integrated Offering</w:t>
      </w:r>
      <w:r>
        <w:rPr>
          <w:rFonts w:ascii="Times New Roman" w:cs="Times New Roman" w:eastAsia="Times New Roman" w:hAnsi="Times New Roman"/>
          <w:sz w:val="18"/>
          <w:szCs w:val="18"/>
          <w:color w:val="auto"/>
        </w:rPr>
        <w:t>. Assuming the accuracy of the Buyers’ representations and warranties set forth in Section 2, neither the Company, nor, to the Company’s knowledge,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No General Solicitation</w:t>
      </w:r>
      <w:r>
        <w:rPr>
          <w:rFonts w:ascii="Times New Roman" w:cs="Times New Roman" w:eastAsia="Times New Roman" w:hAnsi="Times New Roman"/>
          <w:sz w:val="18"/>
          <w:szCs w:val="18"/>
          <w:color w:val="auto"/>
        </w:rPr>
        <w:t>. Neither the Company nor, to the Company’s knowledge, any Person acting on behalf of the Company has offered or sold any of the Securities by any form of general solicitation or general advertising. The Company has offered the Securities for sale only to the Buyers, an “accredited investor” within the meaning of Rule 501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COVENANTS.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Blue Sky</w:t>
      </w:r>
      <w:r>
        <w:rPr>
          <w:rFonts w:ascii="Times New Roman" w:cs="Times New Roman" w:eastAsia="Times New Roman" w:hAnsi="Times New Roman"/>
          <w:sz w:val="18"/>
          <w:szCs w:val="18"/>
          <w:color w:val="auto"/>
        </w:rPr>
        <w:t>. The Company shall, on or before the Closing Date, take such action as the Company shall reasonably determine is necessary in order to obtain an exemption for, or to qualify for sale to the Buyers, the Securities at the Closing pursuant to this Agreement under applicable securities 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Listing</w:t>
      </w:r>
      <w:r>
        <w:rPr>
          <w:rFonts w:ascii="Times New Roman" w:cs="Times New Roman" w:eastAsia="Times New Roman" w:hAnsi="Times New Roman"/>
          <w:sz w:val="18"/>
          <w:szCs w:val="18"/>
          <w:color w:val="auto"/>
        </w:rPr>
        <w:t>. The Company shall promptly secure the listing or designation for quotation (as the case may be) of all of the Registrable Securities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Registrable Securities from time to time issuable under the terms of the Transaction Documents on such national securities exchange or automated quotation system.</w:t>
      </w:r>
    </w:p>
    <w:p>
      <w:pPr>
        <w:spacing w:after="0" w:line="39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Disclosure of Transactions and Other Material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  Disclosure of Transaction</w:t>
      </w:r>
      <w:r>
        <w:rPr>
          <w:rFonts w:ascii="Times New Roman" w:cs="Times New Roman" w:eastAsia="Times New Roman" w:hAnsi="Times New Roman"/>
          <w:sz w:val="18"/>
          <w:szCs w:val="18"/>
          <w:color w:val="auto"/>
        </w:rPr>
        <w:t>. The Company shall, on or before 8:30 a.m., New York time, no later than the first Business Day after the date of this Agreement, issue a press release (the “</w:t>
      </w:r>
      <w:r>
        <w:rPr>
          <w:rFonts w:ascii="Times New Roman" w:cs="Times New Roman" w:eastAsia="Times New Roman" w:hAnsi="Times New Roman"/>
          <w:sz w:val="18"/>
          <w:szCs w:val="18"/>
          <w:b w:val="1"/>
          <w:bCs w:val="1"/>
          <w:color w:val="auto"/>
        </w:rPr>
        <w:t>Press Release</w:t>
      </w:r>
      <w:r>
        <w:rPr>
          <w:rFonts w:ascii="Times New Roman" w:cs="Times New Roman" w:eastAsia="Times New Roman" w:hAnsi="Times New Roman"/>
          <w:sz w:val="18"/>
          <w:szCs w:val="18"/>
          <w:color w:val="auto"/>
        </w:rPr>
        <w:t>”) reasonably acceptable to the Buyers disclosing all the material terms of the transactions contemplated by the Transaction Documents. On or before 8:30 a.m., New York time, on the fourth Business Day after the date of this Agreement, the Company shall file a Current Report on Form 8-K describing all the material terms of the transactions contemplated by the Transaction Documents in the form required by the 1934 Act and attaching all the material Transaction Documents (including, without limitation, this Agreement (excluding the schedules to this Agreement, unless the schedules include any material, non-public information, in which case, they shall be disclosed), the form of Notes and the form of the Registration Rights Agreement) (including all attachments, the “</w:t>
      </w:r>
      <w:r>
        <w:rPr>
          <w:rFonts w:ascii="Times New Roman" w:cs="Times New Roman" w:eastAsia="Times New Roman" w:hAnsi="Times New Roman"/>
          <w:sz w:val="18"/>
          <w:szCs w:val="18"/>
          <w:b w:val="1"/>
          <w:bCs w:val="1"/>
          <w:color w:val="auto"/>
        </w:rPr>
        <w:t>8-K Filing</w:t>
      </w:r>
      <w:r>
        <w:rPr>
          <w:rFonts w:ascii="Times New Roman" w:cs="Times New Roman" w:eastAsia="Times New Roman" w:hAnsi="Times New Roman"/>
          <w:sz w:val="18"/>
          <w:szCs w:val="18"/>
          <w:color w:val="auto"/>
        </w:rPr>
        <w:t>”). No later than the filing of the Company’s next quarterly report on Form 10-Q,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w:t>
      </w:r>
    </w:p>
    <w:p>
      <w:pPr>
        <w:spacing w:after="0" w:line="192"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18"/>
          <w:szCs w:val="18"/>
          <w:color w:val="auto"/>
        </w:rPr>
        <w:t>  (ii)          </w:t>
      </w:r>
      <w:r>
        <w:rPr>
          <w:rFonts w:ascii="Times New Roman" w:cs="Times New Roman" w:eastAsia="Times New Roman" w:hAnsi="Times New Roman"/>
          <w:sz w:val="18"/>
          <w:szCs w:val="18"/>
          <w:u w:val="single" w:color="auto"/>
          <w:color w:val="auto"/>
        </w:rPr>
        <w:t>  Limitations on Disclosure</w:t>
      </w:r>
      <w:r>
        <w:rPr>
          <w:rFonts w:ascii="Times New Roman" w:cs="Times New Roman" w:eastAsia="Times New Roman" w:hAnsi="Times New Roman"/>
          <w:sz w:val="18"/>
          <w:szCs w:val="18"/>
          <w:color w:val="auto"/>
        </w:rPr>
        <w:t>. Except for disclosures that Company is required to deliver to the Buyers under the Transaction Documents,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of this Agreement without the express prior written consent of such Buyer (which may be granted or withheld in such Buyer’s sole discretion). In the event of a breach of any of the foregoing covenants by the Company, any of its Subsidiaries, or any of its or their respective officers, directors, employees and agents (as determined in the reasonable good faith judgment of such Buyer), in addition to any other remedy provided herein or in the Transaction Documents, such Buyer shall have the right to cause the Company to make a public disclosure, in the form of a press release, public advertisement or otherwise, of such breach or such material, non-public information, as applicable. A Buyer may from time-to-time notify the Company that it does not wish to receive any material, non-public information, in which case the Company shall not deliver any material, non-public information to such Buyer notwithstanding that any term or covenant of this Agreement or the other Transaction Documents would require the delivery of such material, non-public information to such Buyer. For greater certainty, any such election by a Buyer to not receive material, non-public information may be rescinded by such Buyer by delivering a subsequent written notice to the Company and, thereafter, Buyer shall be entitled to receive all information and reports that Company is required to deliver pursuant to this Agreement and the other Transaction Documents. To the extent that the Company delivers any material, non-public information to a Buyer without such Buyer’s consent, except for disclosures expressly required by the Transaction Documents at times when such Buyer has not waived receipt of such disclosure in accordance with the foregoing, the Company hereby covenants and agrees that such Buyer shall not have any duty of confidentiality with respect to, or a duty not to trade on the basis of, such material, non-public information.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4(d)</w:t>
      </w:r>
      <w:r>
        <w:rPr>
          <w:rFonts w:ascii="Times New Roman" w:cs="Times New Roman" w:eastAsia="Times New Roman" w:hAnsi="Times New Roman"/>
          <w:sz w:val="18"/>
          <w:szCs w:val="18"/>
          <w:color w:val="auto"/>
        </w:rPr>
        <w:t>, the Company will use the net proceeds from the sale of the Securities (less reasonable attorneys’ fees, accountants’ fees, and expenses) for general corporate purposes.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Reservation of Shares</w:t>
      </w:r>
      <w:r>
        <w:rPr>
          <w:rFonts w:ascii="Times New Roman" w:cs="Times New Roman" w:eastAsia="Times New Roman" w:hAnsi="Times New Roman"/>
          <w:sz w:val="18"/>
          <w:szCs w:val="18"/>
          <w:color w:val="auto"/>
        </w:rPr>
        <w:t>. The Company shall take all action necessary to at all times have authorized, and reserved for the purpose of issuance, no less 100% of the maximum number of shares of Common Stock issuable upon conversion of all the Notes then outstanding (collectively,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provided that at no time shall the number of shares of Common Stock reserved pursuant to this Section 4(e) be reduced other than proportionally in connection with any conversion or redemption, as applicable of Notes.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200" w:lineRule="exact"/>
        <w:rPr>
          <w:sz w:val="20"/>
          <w:szCs w:val="20"/>
          <w:color w:val="auto"/>
        </w:rPr>
      </w:pPr>
    </w:p>
    <w:p>
      <w:pPr>
        <w:spacing w:after="0" w:line="2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Regulation M</w:t>
      </w:r>
      <w:r>
        <w:rPr>
          <w:rFonts w:ascii="Times New Roman" w:cs="Times New Roman" w:eastAsia="Times New Roman" w:hAnsi="Times New Roman"/>
          <w:sz w:val="18"/>
          <w:szCs w:val="18"/>
          <w:color w:val="auto"/>
        </w:rPr>
        <w:t>. The Company will not take any action prohibited by Regulation M under the 1934 Act, in connection with the distribution of the Securities contemplated hereby.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General Solicitation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solicit any offer to buy or offer or sell the Securities by means of any form of general solicitation or general advertising within the meaning of Regulation D, including: (i) any advertisement, article, notice or other communication published in any newspaper, magazine or similar medium or broadcast over television or radio; and (ii) any seminar or meeting whose attendees have been invited by any general solicitation or general advertising.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Integration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the registration of the Securities under the 1933 Act or require stockholder approval under the rules and regulations of the Principal Market and the Company will take all action that is appropriate or necessary to assure that its offerings of other securities will not be integrated for purposes of the 1933 Act or the rules and regulations of the Principal Market, with the issuance of Securities contemplated hereby if such integration would adversely affect compliance with rules and regulations of the Principal Market.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Conversion/Exercise Procedures</w:t>
      </w:r>
      <w:r>
        <w:rPr>
          <w:rFonts w:ascii="Times New Roman" w:cs="Times New Roman" w:eastAsia="Times New Roman" w:hAnsi="Times New Roman"/>
          <w:sz w:val="18"/>
          <w:szCs w:val="18"/>
          <w:color w:val="auto"/>
        </w:rPr>
        <w:t>. The form of Conversion Notice (as defined in the Notes) included in the Notes sets forth the totality of the procedures required of the Buyers in order to convert the Notes. Except as provided in Section 5(d), no additional legal opinion, other information or instructions shall be required of the Buyers to convert their Notes or. The Company shall honor conversions of the Notes and shall deliver the Conversion Shares in accordance with the terms, conditions and time periods set forth in the Notes.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 The Company shall be responsible for the payment of any placement agent’s fees, financial advisory fees, bank fees, transfer agent fees and DTC (as defined below) fees, in each case, relating to or arising out of the transactions contemplated hereby.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REGISTER; TRANSFER AGENT INSTRUCTIONS; LEGEND.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Register</w:t>
      </w:r>
      <w:r>
        <w:rPr>
          <w:rFonts w:ascii="Times New Roman" w:cs="Times New Roman" w:eastAsia="Times New Roman" w:hAnsi="Times New Roman"/>
          <w:sz w:val="18"/>
          <w:szCs w:val="18"/>
          <w:color w:val="auto"/>
        </w:rPr>
        <w:t>. The Company shall maintain at its principal executive offices (or such other office or agency of the Company as it may designate by notice to each holder of Securities), a register for the Notes in which the Company shall record the name and address of the Person in whose name the Notes have been issued (including the name and address of each transferee), the principal amount of the Notes held by such Person and the number of Conversion Shares issuable pursuant to the terms of the Notes. The Company shall keep the register open and available at all times during business hours for inspection of any Buyer or its legal representatives.</w:t>
      </w:r>
    </w:p>
    <w:p>
      <w:pPr>
        <w:spacing w:after="0" w:line="3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 w:name="page20"/>
    <w:bookmarkEnd w:id="1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Transfer Agent Instructions</w:t>
      </w:r>
      <w:r>
        <w:rPr>
          <w:rFonts w:ascii="Times New Roman" w:cs="Times New Roman" w:eastAsia="Times New Roman" w:hAnsi="Times New Roman"/>
          <w:sz w:val="18"/>
          <w:szCs w:val="18"/>
          <w:color w:val="auto"/>
        </w:rPr>
        <w:t>. The Company shall, if requested by Buyers, issue irrevocable instructions to its transfer agent and any subsequent transfer agent (as applicable,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 a form acceptable to each of the Buyers (the “</w:t>
      </w:r>
      <w:r>
        <w:rPr>
          <w:rFonts w:ascii="Times New Roman" w:cs="Times New Roman" w:eastAsia="Times New Roman" w:hAnsi="Times New Roman"/>
          <w:sz w:val="18"/>
          <w:szCs w:val="18"/>
          <w:b w:val="1"/>
          <w:bCs w:val="1"/>
          <w:color w:val="auto"/>
        </w:rPr>
        <w:t>Irrevocable Transfer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Instructions</w:t>
      </w:r>
      <w:r>
        <w:rPr>
          <w:rFonts w:ascii="Times New Roman" w:cs="Times New Roman" w:eastAsia="Times New Roman" w:hAnsi="Times New Roman"/>
          <w:sz w:val="18"/>
          <w:szCs w:val="18"/>
          <w:color w:val="auto"/>
        </w:rPr>
        <w:t>”) to issue certificates or credit shares to the applicable balance accounts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registered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each Buyer or its respective nominee(s), for the Conversion Shares in such amounts as specified from time to time by each Buyer to the Company upon conversion of the Notes. The Company represents and warrants that no instruction other than the Irrevocable Transfer Agent Instructions referred to in this Section 5(b), and stop transfer instructions to give effect to Section 2(g) hereof, will be given by the Company to its Transfer Agent with respect to the Securities, and that the Securities shall otherwise be freely transferable on the books and records of the Company, as applicable, to the extent provided in this Agreement and the other Transaction Documents and in compliance with applicable law. If a Buyer effects a sale, assignment or transfer of the Securities in accordance with Section 2(g), the Company shall permit the transfer and shall promptly instruct its Transfer Agent to issue one or more certificates or credit shares to the applicable balance accounts at DTC in such name and in such denominations as specified by such Buyer to effect such sale, transfer or assignment. In the event that such sale, assignment or transfer involves Conversion Shares sold, assigned or transferred pursuant to an effective registration statement or in compliance with Rule 144, the Transfer Agent shall issue such shares to such Buyer, assignee or transferee (as the case may be) without any restrictive legend in accordance with Section 5(d) below. Any fees (with respect to the Transfer Agent, counsel to the Company or otherwise) associated with the issuance of such opinion or the removal of any legends on any of the Securities shall be borne by the Company.</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Legends</w:t>
      </w:r>
      <w:r>
        <w:rPr>
          <w:rFonts w:ascii="Times New Roman" w:cs="Times New Roman" w:eastAsia="Times New Roman" w:hAnsi="Times New Roman"/>
          <w:sz w:val="18"/>
          <w:szCs w:val="18"/>
          <w:color w:val="auto"/>
        </w:rPr>
        <w:t>. Each Buyer understands that the Securities have been issued (or will be issued in the case of the Conversion Shares) pursuant to an exemption from registration or qualification under the 1933 Act and applicable state securities laws, and except as set forth below, the Securities shall bear any legend as required by the “Blue Sky” laws of any state and a restrictive legend in substantially the following form (and a stop-transfer order may be placed against transfer of such stock certificates):</w:t>
      </w:r>
    </w:p>
    <w:p>
      <w:pPr>
        <w:spacing w:after="0" w:line="180"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[NEITHER THE ISSUANCE AND SALE OF THE SECURITIES REPRESENTED HEREBY NOR THE SECURITIES INTO WHICH THESE SECURITIES ARE CONVERTIBLE HAVE BEEN][THE SECURITIES REPRESENTED HEREBY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UNDER SAID ACT. NOTWITHSTANDING THE FOREGOING, THE SECURITIES MAY BE PLEDGED IN CONNECTION WITH A BONA FIDE MARGIN ACCOUNT OR OTHER LOAN OR FINANCING ARRANGEMENT SECURED BY THE SECURITIES.</w:t>
      </w:r>
    </w:p>
    <w:p>
      <w:pPr>
        <w:spacing w:after="0" w:line="200" w:lineRule="exact"/>
        <w:rPr>
          <w:sz w:val="20"/>
          <w:szCs w:val="20"/>
          <w:color w:val="auto"/>
        </w:rPr>
      </w:pPr>
    </w:p>
    <w:p>
      <w:pPr>
        <w:spacing w:after="0" w:line="2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 w:name="page21"/>
    <w:bookmarkEnd w:id="2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Removal of Legends</w:t>
      </w:r>
      <w:r>
        <w:rPr>
          <w:rFonts w:ascii="Times New Roman" w:cs="Times New Roman" w:eastAsia="Times New Roman" w:hAnsi="Times New Roman"/>
          <w:sz w:val="18"/>
          <w:szCs w:val="18"/>
          <w:color w:val="auto"/>
        </w:rPr>
        <w:t>. In connection with a sale of Securities by the Buyer in reliance on Rule 144 promulgated under the Securities Act, the Buyer shall deliver to the Company a representation letter providing to the Company any information the Company deems reasonably necessary to determine that the sale of such Securities is made in compliance with Rule 144 promulgated under the Securities Act, including, as may be appropriate, a certification that the Buyer is not an affiliate (as defined in Rule 144 promulgated under the Securities Act) of the Company and a certification as to the length of time such Securities have been held. Upon receipt of such representation letter, the Company shall promptly direct its transfer agent to remove the notation of a restrictive legend in the Buyer’s book-entry account maintained by the Company’s transfer agent, including the legend referred to in Section 5(c), and the Company shall bear all costs associated with the removal of such legend in the Company’s books. At such time as the Securities have been sold pursuant to an effective registration statement under the Securities Act or have been held by the Buyer for more than one year where the Buyer is not, and has not been in the preceding three months, an affiliate (as defined in Rule 144 promulgated under the Securities Act) of the Company, if the book-entry account of the Buyer still bears the notation of the restrictive legend referred to in Section 5(c), the Company agrees, upon request of the Buyer or its permitted assignee, to take all steps necessary to promptly effect the removal of the legend described in Section 5(c), and the Company shall bear all costs associated with the removal of such legend, regardless of whether the request is made in connection with a sale or otherwise, so long as the Buyer or its permitted assignee provides to the Company any information the Company deems reasonably necessary to determine that the legend is no longer required under the Securities Act or applicable state laws, including (if there is no such registration statement) a certification that the holder is not an affiliate (as defined in Rule 144 promulgated under the Securities Act) of the Company and a covenant to inform the Company if it should thereafter become an affiliate (as defined in Rule 144 promulgated under the Securities Act) and to consent to the notation of an appropriate restriction, and a certification as to the length of time such shares have been held. The Company shall cooperate with the Buyer to effect the removal of the legend referred to in Section 5(c) at any time such legend is, in the Company’s sole judgment, no longer appropriate. The Buyer agrees with the Company that the Buyer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5(d) is predicated upon the Company’s reliance upon this understanding.</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FAST Compliance</w:t>
      </w:r>
      <w:r>
        <w:rPr>
          <w:rFonts w:ascii="Times New Roman" w:cs="Times New Roman" w:eastAsia="Times New Roman" w:hAnsi="Times New Roman"/>
          <w:sz w:val="18"/>
          <w:szCs w:val="18"/>
          <w:color w:val="auto"/>
        </w:rPr>
        <w:t>. While any Notes remain outstanding, the Company shall maintain a transfer agent that participates in the DTC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CONDITIONS TO THE COMPANY’S OBLIGATION TO SELL.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obligation of the Company hereunder to issue and sell the Notes to each Buyer at the Closing is subject to the satisfaction, at or before the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76"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  (i)             Such Buyer shall have executed each of the other Transaction Documents to which it is a party and delivered the same to the Company.</w:t>
      </w:r>
    </w:p>
    <w:p>
      <w:pPr>
        <w:spacing w:after="0" w:line="162"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(ii)            Such Buyer and each other Buyer shall have delivered the Purchase Price for the Notes at the Closing by wire transfer of immediately available funds to the account of Continental Stock Transfer &amp; Trust Company (the “</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as specified in the Escrow Agreement, dated as of January 26, 2024, by and among the Company, the Escrow Agent and the Buyers pursuant to which the Buyers shall deposit the Purchase Price of the Notes with the Escrow Agent to be applied to the transactions contemplated hereunder, unless other arrangements are made with the Company for delivery of the Purchase Price for the Notes prior to the date hereof.</w:t>
      </w:r>
    </w:p>
    <w:p>
      <w:pPr>
        <w:spacing w:after="0" w:line="3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(iii)           The representations and warranties of such Buyer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Closing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CONDITIONS TO EACH BUYER’S OBLIGATION TO PURCHASE.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obligation of each Buyer hereunder to purchase its Note at the Closing is subject to the satisfaction, at or before the Closing Date, of each of the following conditions, provided that these conditions are for each Buyer’s sole benefit and may be waived by such Buyer at any time in its sole discretion by providing the Company with prior written notice thereof:</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(i)             The Company shall have duly executed and delivered to such Buyer each of the Transaction Documents to which it is a party and the Company shall have duly executed and delivered to such Buyer a Note in such original principal amount as is set forth across from such Buyer’s name in column [(3)] of the Schedule of Buyers.</w:t>
      </w:r>
    </w:p>
    <w:p>
      <w:pPr>
        <w:spacing w:after="0" w:line="176"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  (ii)            Each and every representation and warranty of the Company shall be true and correct in all material respects (except for representations and warranties qualified by material or Material Adverse Effect, which shall be true and correct in all respects) as of the date when made and as of the Closing Date as though originally made at that time (except for representations and warranties that speak as of a specific date, which shall be true and correct in all material respects (except for representations and warranties qualified by material or Material Adverse Effect, which shall be true and correct in all respects) as of such specific date) and the Company shall have performed, satisfied and complied in all respects with the covenants, agreements and conditions required to be performed, satisfied or complied with by the Company at or prior to the Closing Date. Such Buyer shall have received a certificate, duly executed by the Chief Executive Officer of the Company, dated as of the Closing Date, to the foregoing effect.</w:t>
      </w:r>
    </w:p>
    <w:p>
      <w:pPr>
        <w:spacing w:after="0" w:line="19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(iii)           The Common Stock (A) shall be designated for quotation or listed (as applicable) on the Principal Market and (B) shall not have been suspended, as of the Closing Date, by the SEC or the Principal Market from trading on the Principal Market.</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(iv)           The Company shall have obtained all governmental, regulatory or third party consents and approvals, if any, necessary for the sale of the Securities, including without limitation, those required by the Principal Market, if any.</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(v)            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(vi)           Since the date of execution of this Agreement, no event or series of events shall have occurred that reasonably would have or result in a Material Adverse Effect.</w:t>
      </w:r>
    </w:p>
    <w:p>
      <w:pPr>
        <w:spacing w:after="0" w:line="37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(vii)          From the date of this Agreement to the Closing Date, (i) trading in the Common Stock shall not have been suspended by the SEC or the Principal Market, and, (ii) at any time prior to the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the Closing.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             TERMINATION.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Closing shall not have occurred with respect to a Buyer within 10 Business Days of the date of this Agreement,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Notes shall be applicable only to such Buyer providing such written notice.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             [FORFEITURE OF CERTAIN SHARES.</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On November 17, 2023, the Buyer and the Company entered into that certain Common Stock Purchase Agreement (the “</w:t>
      </w:r>
      <w:r>
        <w:rPr>
          <w:rFonts w:ascii="Times New Roman" w:cs="Times New Roman" w:eastAsia="Times New Roman" w:hAnsi="Times New Roman"/>
          <w:sz w:val="18"/>
          <w:szCs w:val="18"/>
          <w:b w:val="1"/>
          <w:bCs w:val="1"/>
          <w:color w:val="auto"/>
        </w:rPr>
        <w:t>RDO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whereby the Buyer purchased 3,000,000 shares of Common Stock (the “</w:t>
      </w:r>
      <w:r>
        <w:rPr>
          <w:rFonts w:ascii="Times New Roman" w:cs="Times New Roman" w:eastAsia="Times New Roman" w:hAnsi="Times New Roman"/>
          <w:sz w:val="18"/>
          <w:szCs w:val="18"/>
          <w:b w:val="1"/>
          <w:bCs w:val="1"/>
          <w:color w:val="auto"/>
        </w:rPr>
        <w:t>Buyer RDO Shares</w:t>
      </w:r>
      <w:r>
        <w:rPr>
          <w:rFonts w:ascii="Times New Roman" w:cs="Times New Roman" w:eastAsia="Times New Roman" w:hAnsi="Times New Roman"/>
          <w:sz w:val="18"/>
          <w:szCs w:val="18"/>
          <w:color w:val="auto"/>
        </w:rPr>
        <w:t>”). Pursuant to the terms of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 hereby forfeits all of the Buyer RDO Shares, including any shares of Common Stock issued or issuable pursuant to any anti-dilution protections that the Buyer is entitled to under the RDO Purchase Agreement, immediately and without the necessity of any further act by the Company or the Buyer. Buyer hereby agrees to take all steps necessary to give effect to such forfeiture. The Buyer hereby grants a power of attorney to the Company to take all actions necessary, including delivering documentation to the Company’s transfer agent, to effectuate the Buyer’s forfeiture of the Buyer RDO Shares.]</w:t>
      </w:r>
      <w:r>
        <w:rPr>
          <w:rFonts w:ascii="Times New Roman" w:cs="Times New Roman" w:eastAsia="Times New Roman" w:hAnsi="Times New Roman"/>
          <w:sz w:val="29"/>
          <w:szCs w:val="29"/>
          <w:color w:val="auto"/>
          <w:vertAlign w:val="superscript"/>
        </w:rPr>
        <w:t>1</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             MISCELLANEOUS.</w:t>
      </w:r>
    </w:p>
    <w:p>
      <w:pPr>
        <w:spacing w:after="0" w:line="22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Governing Law; Jurisdiction; Jury Trial</w:t>
      </w:r>
      <w:r>
        <w:rPr>
          <w:rFonts w:ascii="Times New Roman" w:cs="Times New Roman" w:eastAsia="Times New Roman" w:hAnsi="Times New Roman"/>
          <w:sz w:val="17"/>
          <w:szCs w:val="17"/>
          <w:color w:val="auto"/>
        </w:rPr>
        <w:t xml:space="preserve">.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 </w:t>
      </w:r>
      <w:r>
        <w:rPr>
          <w:rFonts w:ascii="Times New Roman" w:cs="Times New Roman" w:eastAsia="Times New Roman" w:hAnsi="Times New Roman"/>
          <w:sz w:val="17"/>
          <w:szCs w:val="17"/>
          <w:b w:val="1"/>
          <w:bCs w:val="1"/>
          <w:color w:val="auto"/>
        </w:rPr>
        <w:t>EACH PARTY HEREBY</w:t>
      </w:r>
    </w:p>
    <w:p>
      <w:pPr>
        <w:spacing w:after="0" w:line="1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b w:val="1"/>
          <w:bCs w:val="1"/>
          <w:color w:val="auto"/>
        </w:rPr>
        <w:t>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6"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Section 9 included only in version signed by Lead Investor.</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Severability; Maximum Payment Amounts</w:t>
      </w:r>
      <w:r>
        <w:rPr>
          <w:rFonts w:ascii="Times New Roman" w:cs="Times New Roman" w:eastAsia="Times New Roman" w:hAnsi="Times New Roman"/>
          <w:sz w:val="18"/>
          <w:szCs w:val="18"/>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4" w:name="page25"/>
    <w:bookmarkEnd w:id="2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Entire Agreement; Amendments</w:t>
      </w:r>
      <w:r>
        <w:rPr>
          <w:rFonts w:ascii="Times New Roman" w:cs="Times New Roman" w:eastAsia="Times New Roman" w:hAnsi="Times New Roman"/>
          <w:sz w:val="18"/>
          <w:szCs w:val="18"/>
          <w:color w:val="auto"/>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including, without limitation, any transactions by any Buyer with respect to Common Stock or the Securities, and the other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Buyer has entered into with, or any instruments any Buyer has received from, the Company or any of its Subsidiaries prior to the date of this Agreement with respect to any prior investment made by such Buyer in the Company or (ii) waive, alter, modify or amend in any respect any obligations of the Company or any of its Subsidiaries, or any rights of or benefits to any Buyer or any other Person, in any agreement entered into prior to the date of this Agreement between or among the Company and/or any of its Subsidiaries and any Buyer, or any instruments any Buyer received from the Company and/or any of its Subsidiaries prior to the date of this Agreement, and all such agreements and instruments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Holders (as defined below), and any amendment to any provision of this Agreement made in conformity with the provisions of this Section 10(e) shall be binding on all Buyers and holders of Securities, as applicable; provided that no such amendment shall be effective to the extent that it (A) applies to less than all of the holders of the Securities then outstanding or disproportionately and adversely amends or modifies any term or condition of the Notes (it being understood that any holder of other securities of the Company may receive consideration or benefits in its capacity as a holder of such other securities or in connection with a Subsequent Placement without impacting such proportionality determination hereunder) or (B) imposes any financial obligation or liability on any Buyer without such Buyer’s prior written consent (which may be granted or withheld in such Buyer’s sole discretion). No waiver shall be effective unless it is in writing and signed by an authorized representative of the waiving party, provided that the Required Holders may waive any provision of this Agreement, and any waiver of any provision of this Agreement made in conformity with the provisions of this Section 10(e) shall be binding on all Buyers and holders of Securities, as applicable, provided that no such waiver shall be effective to the extent that it (1) applies to less than all of the holders of the Securities then outstanding (unless a party gives a waiver as to itself only) or (2) imposes any financial obligation or liability on any Buyer without such Buyer’s prior written consent (which may be granted or withheld in such Buyer’s sole discretion).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xml:space="preserve"> means (I) prior to the Closing Date, each Buyer entitled to purchase Notes at the Closing and (II) after the Closing Date, holders of a majority of the Registrable Securities as of such time (excluding any Registrable Securities held by the Company or any of its Subsidiaries as of such time) issued or issuable hereunder or pursuant to the Notes provided that Required Holders shall include (x) Hunter Ventures Limited, and (y) Remus Capital Series B II, L.P., in each case, for so long as each such Person continues to hold at least a number of Registrable Securities equal to 50% or more of the Registrable Securities underlying the Notes originally purchased by such Person.</w:t>
      </w: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 w:name="page26"/>
    <w:bookmarkEnd w:id="25"/>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notices, consents, waivers or other communications required or permitted to be given under the terms of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must be in writing, will not be deemed to have been delivered if delivered by facsimile, but will be deemed to have been delivered:</w:t>
      </w:r>
    </w:p>
    <w:p>
      <w:pPr>
        <w:spacing w:after="0" w:line="9" w:lineRule="exact"/>
        <w:rPr>
          <w:sz w:val="20"/>
          <w:szCs w:val="20"/>
          <w:color w:val="auto"/>
        </w:rPr>
      </w:pPr>
    </w:p>
    <w:p>
      <w:pPr>
        <w:jc w:val="both"/>
        <w:ind w:left="660" w:hanging="4"/>
        <w:spacing w:after="0" w:line="252" w:lineRule="auto"/>
        <w:tabs>
          <w:tab w:leader="none" w:pos="9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when delivered personally; (ii) with respect to notice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(A) if sent prior to 6:00 PM New York time on any Business Day, when sent, or (B) if sent on or after 6:00 PM New York time on any Trading Day, on the next Business Day; or (iii) one (1) Business Day after deposit with an overnight courier service with next day delivery specified, in each case, properly addressed to the party to receive the same. The addresses and e-mail addresses for such communications shall be:</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Susan Shinoff,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sshinoff@presto.com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609 Main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Colin Diamond and Laura Katherine Mann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cdiamond@whitecase.com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laurakatherine.mann@whitecase.com</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to a Buyer, to its address and e-mail address set forth on the Schedule of Buyers, with copies to such Buyer’s representatives as set forth on the Schedule of Buyers;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to such other address and/or e-mail address and/or to the attention of such other Person as the recipient party has specified by written notice given to each other party 5 days prior to the effectiveness of such change. Written confirmation of receipt (A) given by the recipient of such notice, consent, waiver or other communication, (B) mechanically or electronically generated by the sender’s e-mail containing the time, date, sender and recipient of such e-mail or (C) provided by an overnight courier service shall be rebuttable evidence of personal service or receipt from an overnight courier service in accordance with clause (i), (ii) or (iii) above, respectively.</w:t>
      </w:r>
    </w:p>
    <w:p>
      <w:pPr>
        <w:spacing w:after="0" w:line="183"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any of the Notes (but excluding any purchasers of Registrable Securities, unless pursuant to a written assignment by such Buyer). The Company shall not assign this Agreement or any rights or obligations hereunder without the prior written consent of the Required Holders, including, without limitation, by way of a Fundamental Transaction (as defined in the Notes) (unless the Company is in compliance with the applicable provisions governing Fundamental Transactions set forth in the Notes). A Buyer may assign some or all of its rights hereunder in connection with any transfer of any of its Securities without the consent of the Company, in which event such assignee shall be deemed to be a Buyer hereunder with respect to such assigned rights.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 other than the Placement Agent, which shall be entitled to rely on the representations and warranties of the Company and each Buyer hereunder as if the Placement Agent were a party hereto.</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The representations, warranties, agreements and covenants shall survive the Closing. Each Buyer shall be responsible only for its own representations, warranties, agreements and covenants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 Each party confirms that it has consulted with counsel or has affirmatively determined that it does not require the advice of counsel.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Buyer (or its broker or other financial representative) to effect short sales or similar transactions in the future.</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Each Buyer and in the event of assignment by Buyer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inadequate relief to the Buyers. The Company therefore agrees that the Buyers shall be entitled to specific performance and/or temporary, preliminary and permanent injunctive or other equitable relief from any court of competent jurisdiction.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3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Payment Set Aside</w:t>
      </w:r>
      <w:r>
        <w:rPr>
          <w:rFonts w:ascii="Times New Roman" w:cs="Times New Roman" w:eastAsia="Times New Roman" w:hAnsi="Times New Roman"/>
          <w:sz w:val="18"/>
          <w:szCs w:val="18"/>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Agreement and all other Transaction Documents shall be paid in U.S. Dollars.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Independent Nature of Buyers’ Obligations and Rights</w:t>
      </w:r>
      <w:r>
        <w:rPr>
          <w:rFonts w:ascii="Times New Roman" w:cs="Times New Roman" w:eastAsia="Times New Roman" w:hAnsi="Times New Roman"/>
          <w:sz w:val="18"/>
          <w:szCs w:val="18"/>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in any way acting in concert or as a group or entity, and the Company shall not assert any such claim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between and among the Buyers.</w:t>
      </w:r>
    </w:p>
    <w:p>
      <w:pPr>
        <w:spacing w:after="0" w:line="18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8" w:name="page29"/>
    <w:bookmarkEnd w:id="2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Buyer and the Company have caused their respective signature page to this Agreement to be duly executed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first written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Securities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Buyer and the Company have caused their respective signature page to this Agreement to be duly executed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first written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Hunter Ventures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Patrick Tsang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Securities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SUBORDINATED CONVERTIBLE NOTE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INSTRUMENT AND THE RIGHTS AND OBLIGATIONS EVIDENCED HEREBY ARE SUBORDINATE TO THE INDEFEASIBLE PAYMENT IN FULL AND SATISFACTION OF THE SENIOR INDEBTEDNESS OWED TO THE LENDERS AND THE ADMINISTRATIVE AGENT PURSUANT TO THE CREDIT AGREEMENT AND LOAN DOCUMENTS (EACH AS DEFINED HEREIN).</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UNDER SAID ACT. NOTWITHSTANDING THE FOREGOING, THE SECURITIES MAY BE PLEDGED IN CONNECTION WITH A BONA FIDE MARGIN ACCOUNT OR OTHER LOAN OR FINANCING ARRANGEMENT SECURED BY THE SECURITIES. ANY TRANSFEREE OF THIS NOTE SHOULD CAREFULLY REVIEW THE TERMS OF THIS NOTE. THE PRINCIPAL AMOUNT REPRESENTED BY THIS NOTE AND, ACCORDINGLY, THE SECURITIES ISSUABLE UPON CONVERSION HEREOF MAY BE LESS THAN THE AMOUNTS SET FORTH ON THE FACE HEREOF PURSUANT TO THE TERMS OF THIS NOTE.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SUBORDINATED CONVERTIBLE NOTE</w:t>
      </w:r>
    </w:p>
    <w:p>
      <w:pPr>
        <w:spacing w:after="0" w:line="207" w:lineRule="exact"/>
        <w:rPr>
          <w:sz w:val="20"/>
          <w:szCs w:val="20"/>
          <w:color w:val="auto"/>
        </w:rPr>
      </w:pPr>
    </w:p>
    <w:p>
      <w:pPr>
        <w:spacing w:after="0"/>
        <w:tabs>
          <w:tab w:leader="none" w:pos="7940" w:val="left"/>
          <w:tab w:leader="none" w:pos="11160" w:val="left"/>
        </w:tabs>
        <w:rPr>
          <w:sz w:val="20"/>
          <w:szCs w:val="20"/>
          <w:color w:val="auto"/>
        </w:rPr>
      </w:pPr>
      <w:r>
        <w:rPr>
          <w:rFonts w:ascii="Times New Roman" w:cs="Times New Roman" w:eastAsia="Times New Roman" w:hAnsi="Times New Roman"/>
          <w:sz w:val="18"/>
          <w:szCs w:val="18"/>
          <w:color w:val="auto"/>
        </w:rPr>
        <w:t>Issuance Date: January 30, 2024</w:t>
      </w:r>
      <w:r>
        <w:rPr>
          <w:sz w:val="20"/>
          <w:szCs w:val="20"/>
          <w:color w:val="auto"/>
        </w:rPr>
        <w:tab/>
      </w:r>
      <w:r>
        <w:rPr>
          <w:rFonts w:ascii="Times New Roman" w:cs="Times New Roman" w:eastAsia="Times New Roman" w:hAnsi="Times New Roman"/>
          <w:sz w:val="18"/>
          <w:szCs w:val="18"/>
          <w:color w:val="auto"/>
        </w:rPr>
        <w:t>Original Principal Amount: U.S. $[            </w:t>
      </w:r>
      <w:r>
        <w:rPr>
          <w:sz w:val="20"/>
          <w:szCs w:val="20"/>
          <w:color w:val="auto"/>
        </w:rPr>
        <w:tab/>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VALUE RECEIVED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promises to pay to the order of [</w:t>
      </w:r>
    </w:p>
    <w:p>
      <w:pPr>
        <w:spacing w:after="0" w:line="31" w:lineRule="exact"/>
        <w:rPr>
          <w:sz w:val="20"/>
          <w:szCs w:val="20"/>
          <w:color w:val="auto"/>
        </w:rPr>
      </w:pPr>
    </w:p>
    <w:p>
      <w:pPr>
        <w:jc w:val="both"/>
        <w:ind w:firstLine="260"/>
        <w:spacing w:after="0" w:line="251" w:lineRule="auto"/>
        <w:tabs>
          <w:tab w:leader="none" w:pos="3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its registered assigns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the amount set forth above as the Original Principal Amount (as reduced pursuant to the terms hereof pursuant to redemption, conversion or otherwise and as increased by the amount of PIK Interest (as defined below) added to the principal amount of this Note in accordance with Section 2(a), 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when due, whether upon the Maturity Date, or upon acceleration, redemption or otherwise (in each case in accordance with the terms hereof) and to pay interest as provided herein until the same becomes due and payable, whether upon the Maturity Date, or upon acceleration, conversion, redemption or otherwise (in each case in accordance with the terms hereof). This Subordinated Convertible Note (including all Subordinated Convertible Notes issued in exchange, transfer or replacement hereof,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one of an issue of Subordinated Convertible Notes issued pursuant to the Securities Purchase Agreement, dated as of January 30, 2024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by and among the Company and the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referred to therein, as amended from time to time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such other Subordinated Convertible Notes, the “</w:t>
      </w:r>
      <w:r>
        <w:rPr>
          <w:rFonts w:ascii="Times New Roman" w:cs="Times New Roman" w:eastAsia="Times New Roman" w:hAnsi="Times New Roman"/>
          <w:sz w:val="18"/>
          <w:szCs w:val="18"/>
          <w:b w:val="1"/>
          <w:bCs w:val="1"/>
          <w:color w:val="auto"/>
        </w:rPr>
        <w:t>Other Notes</w:t>
      </w:r>
      <w:r>
        <w:rPr>
          <w:rFonts w:ascii="Times New Roman" w:cs="Times New Roman" w:eastAsia="Times New Roman" w:hAnsi="Times New Roman"/>
          <w:sz w:val="18"/>
          <w:szCs w:val="18"/>
          <w:color w:val="auto"/>
        </w:rPr>
        <w:t>”). Certain capitalized terms used herein are defined in Section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b w:val="1"/>
          <w:bCs w:val="1"/>
          <w:color w:val="auto"/>
        </w:rPr>
        <w:t>1.            PAYMENTS OF PRINCIPAL.</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On the Maturity Date, the Company shall pay to the Holder an amount in cash representing all outstanding Principal, accrued and unpaid Interest and accrued and unpaid Late Charges (as defined below) on such Principal and Interest. The Company may not prepay any portion of the outstanding Principal, accrued and unpaid Interest or accrued and unpaid Late Charges on Principal and Interest, if any. Notwithstanding anything herein to the contrary, with respect to any redemption hereunder, as applicable, the Company shall repay or redeem, as applicable,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all accrued and unpaid Interest hereunder and under any other Notes held by such Holder,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all accrued and unpaid Late Charges on any Principal and Interest hereunder and under any other Notes held by such Holder,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all other amounts (other than Principal) outstanding under any other Notes held by such Holder and,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all Principal outstanding hereunder and under any other Notes held by such Holder, in each case, allocated pro rata among this Note and such other Notes held by such Holder.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INTEREST; INTEREST RATE.</w:t>
      </w:r>
    </w:p>
    <w:p>
      <w:pPr>
        <w:spacing w:after="0" w:line="22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PK Interest.</w:t>
      </w:r>
      <w:r>
        <w:rPr>
          <w:rFonts w:ascii="Times New Roman" w:cs="Times New Roman" w:eastAsia="Times New Roman" w:hAnsi="Times New Roman"/>
          <w:sz w:val="18"/>
          <w:szCs w:val="18"/>
          <w:color w:val="auto"/>
        </w:rPr>
        <w:t xml:space="preserve"> PIK Interest on the Principal of this Note shall commence accruing on the Issuance Date at the PIK Interest Rate and shall be computed on the basis of a 360-day year and the actual number of days elapsed, and shall be payable in arrears on each Interest Date (with the first Interest Date being February 15, 2024) to the record holder of this Note. However, PIK Interest shall not be paid in cash on each Interest Date, but instead shall be automatically capitalized on a monthly basis as of such Interest Date and added to the unpaid and outstanding Principal of this Note.</w:t>
      </w:r>
    </w:p>
    <w:p>
      <w:pPr>
        <w:spacing w:after="0" w:line="18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PIK Interest on Event of Default.</w:t>
      </w:r>
      <w:r>
        <w:rPr>
          <w:rFonts w:ascii="Times New Roman" w:cs="Times New Roman" w:eastAsia="Times New Roman" w:hAnsi="Times New Roman"/>
          <w:sz w:val="18"/>
          <w:szCs w:val="18"/>
          <w:color w:val="auto"/>
        </w:rPr>
        <w:t xml:space="preserve"> From and after the occurrence and during the continuance of any Event of Default, the PIK Interest Rate shall automatically be increased to 12% per annum. In the event that such Event of Default is subsequently cured, the adjustment referred to in the preceding sentence shall cease to be effective as of the calendar day immediately following the date of such cure.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CONVERSION OF NOTES.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At any time after the Issuance Date, this Note shall be convertible, at any time and from time to time, at the option of the Holder, into validly issued, fully paid and non-assessable shares of Common Stock (as defined below), on the terms and conditions set forth in this Section 3.</w:t>
      </w:r>
    </w:p>
    <w:p>
      <w:pPr>
        <w:spacing w:after="0" w:line="16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Conversion Right</w:t>
      </w:r>
      <w:r>
        <w:rPr>
          <w:rFonts w:ascii="Times New Roman" w:cs="Times New Roman" w:eastAsia="Times New Roman" w:hAnsi="Times New Roman"/>
          <w:sz w:val="18"/>
          <w:szCs w:val="18"/>
          <w:color w:val="auto"/>
        </w:rPr>
        <w:t>. At any time or times on or after the Issuance Date, the Holder shall be entitled, at its option,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p>
    <w:p>
      <w:pPr>
        <w:spacing w:after="0" w:line="189"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Conversion Rate</w:t>
      </w:r>
      <w:r>
        <w:rPr>
          <w:rFonts w:ascii="Times New Roman" w:cs="Times New Roman" w:eastAsia="Times New Roman" w:hAnsi="Times New Roman"/>
          <w:sz w:val="18"/>
          <w:szCs w:val="18"/>
          <w:color w:val="auto"/>
        </w:rPr>
        <w:t>. The number of shares of Common Stock issuable upon conversion of any Conversion Amount pursuant to Section 3(a) shall be determined by dividing (x) such Conversion Amount by (y) the Conversion Price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300" w:firstLine="648"/>
        <w:spacing w:after="0" w:line="26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the sum of (x) portion of the Principal to be converted, redeemed or otherwise with respect to which this determination is being made and (y) all accrued and unpaid Interest with respect to such portion of the Principal amount and accrued and unpaid Late Charges with respect to such portion of such Principal and such Interest, if any.</w:t>
      </w:r>
    </w:p>
    <w:p>
      <w:pPr>
        <w:spacing w:after="0" w:line="17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$0.25, subject to adjustment as provided herein.</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ind w:left="180"/>
        <w:spacing w:after="0"/>
        <w:rPr>
          <w:sz w:val="20"/>
          <w:szCs w:val="20"/>
          <w:color w:val="auto"/>
        </w:rPr>
      </w:pPr>
      <w:r>
        <w:rPr>
          <w:rFonts w:ascii="Times New Roman" w:cs="Times New Roman" w:eastAsia="Times New Roman" w:hAnsi="Times New Roman"/>
          <w:sz w:val="18"/>
          <w:szCs w:val="18"/>
          <w:color w:val="auto"/>
        </w:rPr>
        <w:t>(c)            Mechanics of Conversion.</w:t>
      </w:r>
    </w:p>
    <w:p>
      <w:pPr>
        <w:spacing w:after="0" w:line="221" w:lineRule="exact"/>
        <w:rPr>
          <w:sz w:val="20"/>
          <w:szCs w:val="20"/>
          <w:color w:val="auto"/>
        </w:rPr>
      </w:pPr>
    </w:p>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Voluntary Conversion</w:t>
      </w:r>
      <w:r>
        <w:rPr>
          <w:rFonts w:ascii="Times New Roman" w:cs="Times New Roman" w:eastAsia="Times New Roman" w:hAnsi="Times New Roman"/>
          <w:sz w:val="18"/>
          <w:szCs w:val="18"/>
          <w:color w:val="auto"/>
        </w:rPr>
        <w:t>. To convert any Conversion Amount into shares of Common Stock on any date (a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Holder shall deliver via electronic mail, for receipt on or prior to 6:00 p.m., New York time, on such date, a copy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notice of conversion in the form attached hereto as Exhibit 1 (the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to the Company. If required by Section 3(c)(iii), within two (2) Trading Days following a conversion of this Note as aforesaid, the Holder shall surrender this Note (or an indemnification undertaking with respect to this Note in the case of its loss, theft or destruction as contemplated by Section 16(b)) to a nationally recognized overnight delivery service for delivery to the Company. On or before the first (1st) Trading Day following the date of receipt of a Conversion Notice (it being agreed that the date of receipt shall be determined in accordance with Section 9(f) of the Securities Purchase Agreement), the Company shall transmit to the Holder and the Transfer Agent by electronic mail an acknowledgment, in the form attached hereto as Exhibit 2, confirming receipt of such Conversion Notice and representing as to whether such shares of Common Stock may then be resold pursuant to Rule 144 or an effective and available registration statement, which acknowledgment shall constitute an instruction to the Transfer Agent to process such Conversion Notice in accordance with the terms herein. On or before the second (2nd) Trading Day following the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 w:cs="Times New Roman" w:eastAsia="Times New Roman" w:hAnsi="Times New Roman"/>
          <w:sz w:val="18"/>
          <w:szCs w:val="18"/>
          <w:b w:val="1"/>
          <w:bCs w:val="1"/>
          <w:color w:val="auto"/>
        </w:rPr>
        <w:t>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the Company shall (1) provided that the Transfer Agent is participating in the DTC Fast Automated Securities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and the shares of Common Stock to be issued are then covered by an effective, usable resale registration statement or may otherwise be resold under Rule 144 and, in each case, the Holder has confirmed that it proposes to promptly sell such shares of Common Stock,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the DTC Fast Automated Securities Transfer Program or the shares of Common Stock that are to be issued are not covered by an effective, usable resale registration statement and may not be resold under Rule 144, or the Holder has not confirmed that it proposes to promptly sell such shares of Common Stock, upon the request of the Holder, issue and deliver (via reputable overnight courier) to the address specified in the Conversion Notice, a certificate, registered in the name of the Holder or its designee, for the number of shares of Common Stock to which the Holder shall be entitled pursuant to such conversion containing a restrictive legend under the Securities Act. If this Note is physically surrendered for conversion pursuant to Section 3(c)(iii) and the outstanding Principal of this Note is greater than the Principal portion of the Conversion Amount being converted, then the Company shall as soon as practicable and in no event later than two (2) Business Days after receipt of this Note and at its own expense, issue and deliver to the Holder (or its designee) a new Note (in accordance with Section 16(d)) representing the outstanding Principal not converted. The Person or Persons entitled to receive the shares of Common Stock issuable upon a conversion of this Note shall be treated for all purposes as the record holder or holders of such shares of Common Stock on the Conversion Date. Notwithstanding anything to the contrary contained in this Note or the Registration Rights Agreement, after the effective date of the Registration Statement (as defined in the Registration Rights Agreement), the Company shall cause the Transfer Agent to deliver unlegended shares of Common Stock to the Holder (or its designee) in connection with any sale of Registrable Securities (as defined in the Registration Rights Agreement) that the Holder has confirmed that it proposes to promptly sell, and delivered a copy of the prospectus included as part of the particular Registration Statement to the extent applicable, and for which the Holder has not yet settled.</w:t>
      </w:r>
    </w:p>
    <w:p>
      <w:pPr>
        <w:spacing w:after="0" w:line="200" w:lineRule="exact"/>
        <w:rPr>
          <w:sz w:val="20"/>
          <w:szCs w:val="20"/>
          <w:color w:val="auto"/>
        </w:rPr>
      </w:pPr>
    </w:p>
    <w:p>
      <w:pPr>
        <w:spacing w:after="0" w:line="2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33" w:name="page34"/>
    <w:bookmarkEnd w:id="33"/>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Mandatory Conversion</w:t>
      </w:r>
      <w:r>
        <w:rPr>
          <w:rFonts w:ascii="Times New Roman" w:cs="Times New Roman" w:eastAsia="Times New Roman" w:hAnsi="Times New Roman"/>
          <w:sz w:val="18"/>
          <w:szCs w:val="18"/>
          <w:color w:val="auto"/>
        </w:rPr>
        <w:t>. The outstanding Conversion Amount shall be mandatorily converted into shares of Common Stock immediately prior to the consummation of a Change of Control that is not a Strategic Change of Control. The provisions of Section 3(c)(iii) shall apply mutatis mutandis in order to effect such conversion.</w:t>
      </w:r>
    </w:p>
    <w:p>
      <w:pPr>
        <w:spacing w:after="0" w:line="172"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Registration; Book-Entry</w:t>
      </w:r>
      <w:r>
        <w:rPr>
          <w:rFonts w:ascii="Times New Roman" w:cs="Times New Roman" w:eastAsia="Times New Roman" w:hAnsi="Times New Roman"/>
          <w:sz w:val="18"/>
          <w:szCs w:val="18"/>
          <w:color w:val="auto"/>
        </w:rPr>
        <w:t>. The Company shall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holders of each Note and the principal amount of the Notes held by such holders (the “</w:t>
      </w:r>
      <w:r>
        <w:rPr>
          <w:rFonts w:ascii="Times New Roman" w:cs="Times New Roman" w:eastAsia="Times New Roman" w:hAnsi="Times New Roman"/>
          <w:sz w:val="18"/>
          <w:szCs w:val="18"/>
          <w:b w:val="1"/>
          <w:bCs w:val="1"/>
          <w:color w:val="auto"/>
        </w:rPr>
        <w:t>Registered Notes</w:t>
      </w:r>
      <w:r>
        <w:rPr>
          <w:rFonts w:ascii="Times New Roman" w:cs="Times New Roman" w:eastAsia="Times New Roman" w:hAnsi="Times New Roman"/>
          <w:sz w:val="18"/>
          <w:szCs w:val="18"/>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16,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spacing w:after="0" w:line="191"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Pro Rata Conversion; Disputes</w:t>
      </w:r>
      <w:r>
        <w:rPr>
          <w:rFonts w:ascii="Times New Roman" w:cs="Times New Roman" w:eastAsia="Times New Roman" w:hAnsi="Times New Roman"/>
          <w:sz w:val="18"/>
          <w:szCs w:val="18"/>
          <w:color w:val="auto"/>
        </w:rPr>
        <w:t>. In the event that the Company receives a Conversion Notice from more than one holder of Notes for the same Conversion Date and the Company can convert some, but not all, of such portions of the Notes submitted for conversion, the Company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34" w:name="page35"/>
    <w:bookmarkEnd w:id="3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Limitations on Conversions; Beneficial Ownership</w:t>
      </w:r>
      <w:r>
        <w:rPr>
          <w:rFonts w:ascii="Times New Roman" w:cs="Times New Roman" w:eastAsia="Times New Roman" w:hAnsi="Times New Roman"/>
          <w:sz w:val="18"/>
          <w:szCs w:val="18"/>
          <w:color w:val="auto"/>
        </w:rPr>
        <w:t>. Other than in connection with (i) a Change of Control that is not a Strategic Change of Control pursuant to Section 3(c)(ii) or (ii) a Restructuring Transaction pursuant to Section 11(a)(vi)(A) in which case the limitations on conversion set forth in this paragraph, shall not apply,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3(d). For purposes of this Section 3(d), beneficial ownership shall be calculated in accordance with Section 13(d) of the 1934 Act. For purposes of determining the number of outstanding shares of Common Stock the Holder may acquire upon the conversion of this Note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Outstanding Share Number</w:t>
      </w:r>
      <w:r>
        <w:rPr>
          <w:rFonts w:ascii="Times New Roman" w:cs="Times New Roman" w:eastAsia="Times New Roman" w:hAnsi="Times New Roman"/>
          <w:sz w:val="18"/>
          <w:szCs w:val="18"/>
          <w:color w:val="auto"/>
        </w:rPr>
        <w:t>”). If the Company receives a Conversion Notice from the Holder at a time when the actual number of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 to exceed the Maximum Percentage, the Holder must notify the Company of a reduced number of shares of Common Stock to be purchased pursuant to such Conversion Notice. For any reason at any time, upon the written or oral request of the Holder, the Company shall within two (2) Business Days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and the portion of the Note that was purported to be converted with respect to such Excess Shares shall be reinstated. Upon delivery of a written notice to the Company, the Holder may from time to time increase (with such increase not effective until the sixty-first (61st) day after delivery of such notice) or decrease the Maximum Percentage to any other percentage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 to the extent necessary to correct this paragraph (or any portion of this paragraph) which may be defective or inconsistent with the intended beneficial ownership limitation contained in this Section 3(d) or to make changes or supplements necessary or desirable to properly give effect to such limitation. The limitation contained in this paragraph may not be waived and shall apply to a successor holder of this Note.</w:t>
      </w:r>
    </w:p>
    <w:p>
      <w:pPr>
        <w:spacing w:after="0" w:line="200" w:lineRule="exact"/>
        <w:rPr>
          <w:sz w:val="20"/>
          <w:szCs w:val="20"/>
          <w:color w:val="auto"/>
        </w:rPr>
      </w:pPr>
    </w:p>
    <w:p>
      <w:pPr>
        <w:spacing w:after="0" w:line="2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87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4.            RIGHTS UPON EVENT OF DEFAULT.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(a)            Event of Default. Each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and each of the events in clause (ix) shall constitute a “</w:t>
      </w:r>
      <w:r>
        <w:rPr>
          <w:rFonts w:ascii="Times New Roman" w:cs="Times New Roman" w:eastAsia="Times New Roman" w:hAnsi="Times New Roman"/>
          <w:sz w:val="18"/>
          <w:szCs w:val="18"/>
          <w:b w:val="1"/>
          <w:bCs w:val="1"/>
          <w:color w:val="auto"/>
        </w:rPr>
        <w:t>Bankruptcy Event of Default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            the failure of the applicable Registration Statement (as defined in the Registration Rights Agreement) to be filed with the SEC on or prior to the Filing Date (as defined in the Registration Rights Agreement) or the failure of the applicable Registration Statement to be declared effective by the SEC on or prior to the Effectiveness Date (as defined in the Registration Rights Agreement);</w:t>
      </w:r>
    </w:p>
    <w:p>
      <w:pPr>
        <w:spacing w:after="0" w:line="176"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(ii)           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(as defined in the Registration Rights Agreement) for sale of all of such holder’s Registrable Securities in accordance with the terms of the Registration Rights Agreement, and, such lapse or unavailability continues for a period of 20 consecutive Trading Days or for more than an aggregate of 40 Trading Days in any 365-day period; provided, however, that the foregoing shall not apply in the case of a suspension permitted pursuant to Section 3(j) of the Registration Rights Agreement;</w:t>
      </w:r>
    </w:p>
    <w:p>
      <w:pPr>
        <w:spacing w:after="0" w:line="189"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(iii)          the suspension from trading or the failure of the Common Stock to be trading or listed (as applicable) on an Eligible Market for a period of ten (10) consecutive Trading Days;</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(iv)          the Company’s (A) failure to cure a Conversion Failure by delivery of the required number of shares of Common Stock within five (5) Trading Days after the applicable Conversion Date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w:t>
      </w:r>
    </w:p>
    <w:p>
      <w:pPr>
        <w:spacing w:after="0" w:line="180"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(v)           the Holder’s Authorized Share Allocation (as defined in Section 8 below) is less than the number of shares of Common Stock that the Holder would be entitled to receive upon a conversion of the full Conversion Amount of this Note for more than ten (10) consecutive days;</w:t>
      </w:r>
    </w:p>
    <w:p>
      <w:pPr>
        <w:spacing w:after="0" w:line="39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873" w:right="339" w:bottom="1440" w:gutter="0" w:footer="0" w:header="0"/>
        </w:sectPr>
      </w:pPr>
    </w:p>
    <w:bookmarkStart w:id="36" w:name="page37"/>
    <w:bookmarkEnd w:id="36"/>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(vi)          Company’s or any Subsidiary’s failure to pay to the Holder any amount of Principal, Interest, Late Charges or other amounts when and as due under this Note (including, without limitation, the Company’s or any Subsidiary’s failure to pay any redemption payments or amounts hereunder) or any other Transaction Document (as defined in the Securities Purchase Agreement) or any other agreement, document, certificate or other instrument delivered in connection with the transactions contemplated hereby and thereby, and, solely with respect to Interest and Late Charges, any such failure remains uncured for at least five days;</w:t>
      </w:r>
    </w:p>
    <w:p>
      <w:pPr>
        <w:spacing w:after="0" w:line="183"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(vii)         the Company fails to remove any restrictive legend on any certificate or any shares of Common Stock issued to the Holder upon conversion of any Securities (as defined in the Securities Purchase Agreement) acquired by the Holder under the Securities Purchase Agreement (including this Note) as and when required by such Securities or the Securities Purchase Agreement, unless otherwise then prohibited by applicable federal securities laws, and any such failure remains uncured for at least 10 days;</w:t>
      </w:r>
    </w:p>
    <w:p>
      <w:pPr>
        <w:spacing w:after="0" w:line="180"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(viii)        the occurrence of any default (after lapse of any applicable cure periods) under, redemption of or acceleration prior to maturity of at least an aggregate of $500,000 of Indebtedness (as defined in the Securities Purchase Agreement) of the Company or any of its Subsidiaries, other than with respect to any Other Notes, but only if such failure remains uncured for the applicable grace period;</w:t>
      </w:r>
    </w:p>
    <w:p>
      <w:pPr>
        <w:spacing w:after="0" w:line="176"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(ix)          (A) the Company commences any case, proceeding or other action (1) under the Bankruptcy Code or similar debtor relief laws of the United States or other applicable jurisdiction seeking to have an order for relief entered with respect to it, or seeking to adjudicate it as bankrupt or insolvent, or seeking reorganization, arrangement, adjustment, winding up, liquidation, dissolution, composition or other relief with respect to it or its debts, or (2) seeking appointment of a receiver, trustee, custodian, conservator, judicial manager or other similar official for it or for all or any substantial part of its assets, or the Company makes a general assignment for the benefit of its creditors; (B) there is, commenced against the Company, any case, proceeding or other action of a nature referred to in clause (A) above that results in the entry of an order for relief or any such adjudication or appointment or remains undismissed, undischarged or unbonded for a period of 60 days; (C) there is, commenced against the Company,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(D) the Company takes any action in furtherance of, or indicating its consent to, approval of, or acquiescence in, any of the acts set forth in clause (A), (B), or (C) above; or (E) the Company is, or is be unable to, or admits in writing its inability to, pay its debts as they become due;</w:t>
      </w:r>
    </w:p>
    <w:p>
      <w:pPr>
        <w:spacing w:after="0" w:line="187"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(x)           there is entered against the Company (i) one or more final judgments or orders for the payment of money involving in the aggregate a liability (not paid or fully covered by insurance as to which the relevant insurance company has acknowledged coverage) of $1,000,000 or more, or (ii) one or more non-monetary final judgments that have, or could reasonably be expected to have, individually or in the aggregate, a material adverse effect and, in either case, enforcement proceedings are commenced by any creditor upon such judgment or order, or all such judgments or decrees shall not have been vacated, discharged, stayed or bonded pending appeal within 30 days from the entry thereof;</w:t>
      </w: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37" w:name="page38"/>
    <w:bookmarkEnd w:id="37"/>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(xi)          other than as specifically set forth in another clause of this Section 4(a), the Company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except, in the case of a breach of a covenant or other term or condition that is curable, only if such breach remains uncured for a period of 10 days;</w:t>
      </w:r>
    </w:p>
    <w:p>
      <w:pPr>
        <w:spacing w:after="0" w:line="183"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(xii)         any provision of any Transaction Document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but only if such provision remains invalid or unenforceable for a period of at least 10 days.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an Event of Default; Redemption Right</w:t>
      </w:r>
      <w:r>
        <w:rPr>
          <w:rFonts w:ascii="Times New Roman" w:cs="Times New Roman" w:eastAsia="Times New Roman" w:hAnsi="Times New Roman"/>
          <w:sz w:val="18"/>
          <w:szCs w:val="18"/>
          <w:color w:val="auto"/>
        </w:rPr>
        <w:t>. Upon obtaining knowledge of the occurrence of an Event of Default with respect to this Note or any Other Note, the Company shall within one (1) Business Day deliver written notice thereof via electronic mail and overnight courier (with next day delivery specified)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to the Holder. At any time after the earlier of the Holder’s receipt of an Event of Default Notice and the Holder becoming aware of an Event of Default, the Holder may require the Company to redeem all or any portion of this Note by delivering written notice thereof (the “</w:t>
      </w:r>
      <w:r>
        <w:rPr>
          <w:rFonts w:ascii="Times New Roman" w:cs="Times New Roman" w:eastAsia="Times New Roman" w:hAnsi="Times New Roman"/>
          <w:sz w:val="18"/>
          <w:szCs w:val="18"/>
          <w:b w:val="1"/>
          <w:bCs w:val="1"/>
          <w:color w:val="auto"/>
        </w:rPr>
        <w:t>Event of Default Redemption Notice</w:t>
      </w:r>
      <w:r>
        <w:rPr>
          <w:rFonts w:ascii="Times New Roman" w:cs="Times New Roman" w:eastAsia="Times New Roman" w:hAnsi="Times New Roman"/>
          <w:sz w:val="18"/>
          <w:szCs w:val="18"/>
          <w:color w:val="auto"/>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sum of the Conversion Amount to be redeemed plus, if applicable, the Minimum Interest Amount and (ii) the product of (X) the Conversion Rate with respect to the Conversion Amount in effect at such time as the Holder delivers an Event of Default Redemption Notice multiplied by (Y)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Times New Roman" w:cs="Times New Roman" w:eastAsia="Times New Roman" w:hAnsi="Times New Roman"/>
          <w:sz w:val="18"/>
          <w:szCs w:val="18"/>
          <w:b w:val="1"/>
          <w:bCs w:val="1"/>
          <w:color w:val="auto"/>
        </w:rPr>
        <w:t>Event of Default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Redemptions required by this Section 4(b) shall be made in accordance with the provisions of Section 9. To the extent redemptions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this Section 4(b) are deemed or determined by a court of competent jurisdiction to be prepayments of this Note by the Company, such redemptions shall be deemed to be voluntary prepayments. Notwithstanding anything to the contrary in this Section 4(b),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Mandatory Redemption upon Bankruptcy Event of Default</w:t>
      </w:r>
      <w:r>
        <w:rPr>
          <w:rFonts w:ascii="Times New Roman" w:cs="Times New Roman" w:eastAsia="Times New Roman" w:hAnsi="Times New Roman"/>
          <w:sz w:val="18"/>
          <w:szCs w:val="18"/>
          <w:color w:val="auto"/>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all outstanding Principal, accrued and unpaid Interest, the Minimum Interest Amount, if applicable, and accrued and unpaid Late Charges on such Principal and Interest, in addition to any and all other amounts due hereunder, without the requirement for any notice or demand or other action by the Holder or any other Person,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w:t>
      </w:r>
    </w:p>
    <w:p>
      <w:pPr>
        <w:spacing w:after="0" w:line="200" w:lineRule="exact"/>
        <w:rPr>
          <w:sz w:val="20"/>
          <w:szCs w:val="20"/>
          <w:color w:val="auto"/>
        </w:rPr>
      </w:pPr>
    </w:p>
    <w:p>
      <w:pPr>
        <w:spacing w:after="0" w:line="20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877" w:right="339" w:bottom="1440" w:gutter="0" w:footer="0" w:header="0"/>
        </w:sectPr>
      </w:pPr>
    </w:p>
    <w:bookmarkStart w:id="38" w:name="page39"/>
    <w:bookmarkEnd w:id="3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Subordination</w:t>
      </w:r>
      <w:r>
        <w:rPr>
          <w:rFonts w:ascii="Times New Roman" w:cs="Times New Roman" w:eastAsia="Times New Roman" w:hAnsi="Times New Roman"/>
          <w:sz w:val="18"/>
          <w:szCs w:val="18"/>
          <w:color w:val="auto"/>
        </w:rPr>
        <w:t xml:space="preserve">. Until such time as the Senior Indebtedness has been paid in full, in cash, all of the Holder’s rights under this Section 4 are and shall remain subject to the terms and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RIGHTS UPON ISSUANCE OF PURCHASE RIGHTS AND OTHER CORPORATE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Rights</w:t>
      </w:r>
      <w:r>
        <w:rPr>
          <w:rFonts w:ascii="Times New Roman" w:cs="Times New Roman" w:eastAsia="Times New Roman" w:hAnsi="Times New Roman"/>
          <w:sz w:val="18"/>
          <w:szCs w:val="18"/>
          <w:color w:val="auto"/>
        </w:rPr>
        <w:t>. In addition to any adjustments pursuant to Section 6 and 16 below, if at any time (other than in connection with a Restructuring Transaction) the Company grants, issues or sells any Options, Convertible Securities or rights to purchase stock, warrants, securities or other property pro rata to all of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Strategic Change of Control; Other Corporate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1" w:lineRule="auto"/>
        <w:rPr>
          <w:sz w:val="20"/>
          <w:szCs w:val="20"/>
          <w:color w:val="auto"/>
        </w:rPr>
      </w:pPr>
      <w:r>
        <w:rPr>
          <w:rFonts w:ascii="Times New Roman" w:cs="Times New Roman" w:eastAsia="Times New Roman" w:hAnsi="Times New Roman"/>
          <w:sz w:val="18"/>
          <w:szCs w:val="18"/>
          <w:color w:val="auto"/>
        </w:rPr>
        <w:t>(i)            No sooner than twenty (20) Trading Days nor later than ten (10) Trading Days prior to the consummation of a Strategic Change of Control, but not prior to the public announcement of such Change of Control, the Company shall deliver written notice to the Holder. The Company shall not enter into or be party to a Strategic Change of Control unless (i) the Successor Entity assumes in writing all of the obligations of the Company under this Note and the other Transaction Documents in accordance with the provisions of this Section 5(b)(i) pursuant to written agreements in form and substance satisfactory to the Holder and approved by the Holder prior to such Strategic Change of Control,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(assuming that the Successor Entity (or its Parent Entity) is a publicly traded corporation whose common stock is quoted on or listed for trading on an Eligible Market) and having similar ranking and security to the Notes, and satisfactory to the Holder. Upon the occurrence of any Strategic Change of Control, the Successor Entity shall succeed to, and be substituted for (so that from and after the date of such Strategic Change of Control,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Strategic Change of Control, the Successor Entity shall deliver to the Holder confirmation that there shall be issued upon conversion or redemption of this Note at any time after the consummation of such Strategic Change of Control (assuming that the Successor Entity (or its Parent Entity) is a publicly traded corporation whose common stock is quoted on or listed for trading on an Eligible Market), in lieu of the shares of Common Stock (or other securities, cash, assets or other property (except such items still issuable under Sections 5 and 166, which shall continue to be receivable thereafter)) issuable upon the conversion or redemption of the Notes prior to such Strategic Change of Control, such shares of the publicly traded common stock (or their equivalent) of the Successor Entity (including its Parent Entity) which the Holder would have been entitled to receive upon the happening of such Strategic Change of Control had this Note been converted immediately prior to such Strategic Change of Control (without regard to any limitations on the conversion of this Note), as adjusted in accordance with the provisions of this Note. Notwithstanding the foregoing, the Required Holders may elect, at their sole option, by delivery of written notice to the Company to waive this Section 5(b)(i) to permit the Strategic Change of Control without the assumption of this Note. The provisions of this Section 5 shall apply similarly and equally to successive Strategic Changes of Control and shall be applied without regard to any limitations on the conversion of this Note.</w:t>
      </w:r>
    </w:p>
    <w:p>
      <w:pPr>
        <w:spacing w:after="0" w:line="200" w:lineRule="exact"/>
        <w:rPr>
          <w:sz w:val="20"/>
          <w:szCs w:val="20"/>
          <w:color w:val="auto"/>
        </w:rPr>
      </w:pPr>
    </w:p>
    <w:p>
      <w:pPr>
        <w:spacing w:after="0" w:line="2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877" w:right="339" w:bottom="1440" w:gutter="0" w:footer="0" w:header="0"/>
        </w:sectPr>
      </w:pPr>
    </w:p>
    <w:bookmarkStart w:id="39" w:name="page40"/>
    <w:bookmarkEnd w:id="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In addition to and not in substitution for any other rights hereunder, prior to the consummation of any Strategic Change of Control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5 shall apply similarly and equally to successive Corporate Events and shall be applied without regard to any limitations on the conversion or redemption of this Note.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RIGHTS UPON ISSUANCE OF OTHER SECURITIES.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 of Conversion Price upon Subdivision or Combination of Common Stock</w:t>
      </w:r>
      <w:r>
        <w:rPr>
          <w:rFonts w:ascii="Times New Roman" w:cs="Times New Roman" w:eastAsia="Times New Roman" w:hAnsi="Times New Roman"/>
          <w:sz w:val="18"/>
          <w:szCs w:val="18"/>
          <w:color w:val="auto"/>
        </w:rPr>
        <w:t>. Without limiting any provision of Section 4(c), if the Company at any time on or after the Subscription Date subdivides (by any stock split, stock dividend, stock combination, recapitalization or other similar transaction (in each case, other than in connection with a Restructuring Transaction)) one or more classes of its outstanding shares of Common Stock into a greater number of shares, the Conversion Price in effect immediately prior to such subdivision will be proportionately reduced. Without limiting any provision of Section 5 or Section 16,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6(a) shall become effective immediately after the effective date of such subdivision or combination. If any event requiring an adjustment under this Section 6(a) occurs during the period that a Conversion Price is calculated hereunder, then the calculation of such Conversion Price shall be adjusted appropriately to reflect such event.</w:t>
      </w:r>
    </w:p>
    <w:p>
      <w:pPr>
        <w:spacing w:after="0" w:line="200" w:lineRule="exact"/>
        <w:rPr>
          <w:sz w:val="20"/>
          <w:szCs w:val="20"/>
          <w:color w:val="auto"/>
        </w:rPr>
      </w:pPr>
    </w:p>
    <w:p>
      <w:pPr>
        <w:spacing w:after="0" w:line="2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877" w:right="339" w:bottom="1440" w:gutter="0" w:footer="0" w:header="0"/>
        </w:sectPr>
      </w:pPr>
    </w:p>
    <w:bookmarkStart w:id="40" w:name="page41"/>
    <w:bookmarkEnd w:id="40"/>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All calculations under this Section 6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Voluntary Adjustment by Company</w:t>
      </w:r>
      <w:r>
        <w:rPr>
          <w:rFonts w:ascii="Times New Roman" w:cs="Times New Roman" w:eastAsia="Times New Roman" w:hAnsi="Times New Roman"/>
          <w:sz w:val="18"/>
          <w:szCs w:val="18"/>
          <w:color w:val="auto"/>
        </w:rPr>
        <w:t>. The Company may at any time during the term of this Note, with the prior written consent of the Required Holders (as defined in the Securities Purchase Agreement), reduce the then current Conversion Price of each of the Notes to any amount and for any period of time deemed appropriate by the board of directors of the Company, with the prior written consent of the Administrative Agent, in its sole discretion.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            NONCIRCUMVENTION.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hereby covenants and agrees that the Company will not, by amendment of its Certificate of Incorporation (as defined in the Securities Purchase Agreement) or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            RESERVATION OF 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 long as any Notes remain outstanding, the Company shall at all times reserve at least 100% of the maximum number of shares of Common Stock as shall from time to time be necessary to effect the conversion, of all of the Notes then outstanding (without regard to any limitations on conversions and assuming such Notes remain outstanding until the Maturity Date) (assuming for purposes of this Section 8 (i) that (x) interest on the Notes shall accrue through the Maturity Date and (y) any such conversion shall not take into account any limitations on the conversion of the Notes set forth in the Notes)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The Required Reserve Amount shall be allocated pro rata among the holders of the Notes based on the original principal amount of the Notes held by each holder on the Closing Date or increase in the number of reserved shares, as the case may be (the “</w:t>
      </w:r>
      <w:r>
        <w:rPr>
          <w:rFonts w:ascii="Times New Roman" w:cs="Times New Roman" w:eastAsia="Times New Roman" w:hAnsi="Times New Roman"/>
          <w:sz w:val="18"/>
          <w:szCs w:val="18"/>
          <w:b w:val="1"/>
          <w:bCs w:val="1"/>
          <w:color w:val="auto"/>
        </w:rPr>
        <w:t>Authorized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Allocation</w:t>
      </w:r>
      <w:r>
        <w:rPr>
          <w:rFonts w:ascii="Times New Roman" w:cs="Times New Roman" w:eastAsia="Times New Roman" w:hAnsi="Times New Roman"/>
          <w:sz w:val="18"/>
          <w:szCs w:val="18"/>
          <w:color w:val="auto"/>
        </w:rPr>
        <w:t>”). In the event that a holder shall sell or otherwise transfer any of such holder’s Notes, each transferee shall be allocated a pro rata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            EVENT OF DEFAULT REDEMPTION.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Section 11, if the Holder delivers an Event of Default Redemption Notice, the Company shall deliver the Event of Default Redemption Price to the Holder in cash within five (5) Business Days after the Company’s receipt of the Holder’s Event of Default Redemption Notice. If the Company has delivered a notice to the Holder, and solely to the extent that such payment would be expressly permitted pursuant to Section 11, the Company shall pay all other amounts due and payable hereunder and under the other Transaction Documents (the “</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 Notwithstanding anything herein to the contrary, in connection with any redemption hereunder at a time the Holder is entitled to receive a cash payment under any of the other Transaction Documents, at the option of the Holder delivered in writing to the Company, the applicable Event of Default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16(d)) representing the outstanding Principal which has not been redeemed. In the event that the Company does not pay the Event of Default Redemption Price to the Holder within the time period required, at any time thereafter and until the Company pays such unpaid Event of Default Redemption Price in full, the Holder shall have the option, in lieu of redemption, to require the Company to promptly return to the Holder all or any portion of this Note representing the Conversion Amount that was submitted for redemption and for which the Event of Default Redemption Price (together with any Late Charges thereon) has not been paid. Upon the Company’s receipt of such notice, the Event of Default Redemption Notice shall be null and void with respect to such Conversion Amount. The Holder’s delivery of an Event of Default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b w:val="1"/>
          <w:bCs w:val="1"/>
          <w:color w:val="auto"/>
        </w:rPr>
        <w:t>10.            VOTING RIGHTS.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Holder shall have no voting rights as the holder of this Note, except as required by law (including, without limitation, the Delaware General Corporation Law) and as expressly provided in this Note.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            SUBORDINATION.</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Notwithstanding anything in this Note to the contrary, the Company and the Holder (by its acceptance hereof) acknowledge and agree that this Note and the rights of the Holder hereunder are subject to, and limited by, the terms and conditions of (1) the Senior Indebtedness, and (2) this Section 11. If requested by any existing or new Lender, the Holder will enter into a subordination agreement with such Lender on terms similar to those contained in this Section 11.</w:t>
      </w:r>
    </w:p>
    <w:p>
      <w:pPr>
        <w:spacing w:after="0" w:line="178"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Note Subordinated to Existing Debt</w:t>
      </w:r>
      <w:r>
        <w:rPr>
          <w:rFonts w:ascii="Times New Roman" w:cs="Times New Roman" w:eastAsia="Times New Roman" w:hAnsi="Times New Roman"/>
          <w:sz w:val="18"/>
          <w:szCs w:val="18"/>
          <w:color w:val="auto"/>
        </w:rPr>
        <w:t xml:space="preserve">. The principal of and interest on this Note and all other amounts payable with respect hereto are expressly subordinated to the prior payment in full, in cash of the Senior Indebtedness and the termination of all commitments to lend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Holder will be able to receive and retain Common Stock upon a conversion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No Payment on Note in Certain Circumstances</w:t>
      </w:r>
      <w:r>
        <w:rPr>
          <w:rFonts w:ascii="Times New Roman" w:cs="Times New Roman" w:eastAsia="Times New Roman" w:hAnsi="Times New Roman"/>
          <w:sz w:val="18"/>
          <w:szCs w:val="18"/>
          <w:color w:val="auto"/>
        </w:rPr>
        <w:t>. Until the Senior Indebtedness has been paid in full, in cash, no payment on account of principal of, or interest on, this Note, or any other amounts payable with respect hereto, whether by acceleration, redemption, exchange, prepayment or otherwise (and whether in the form of cash, securities or otherwise), shall be made, either directly or indirectly, by the Company, and Holder shall not be entitled to receive such payment, other than the receipt of Common Stock upon a conversion in accordance with Section 3. Prior to the payment in full, in cash, of the Senior Indebtedness, the Holder shall not enforce or seek to enforce any rights and remedies in respect of this Note (other than conversion to Common Stock in accordance with Section 3), including, without limitation, by accelerating the amounts due hereunder, bringing any judicial or nonjudicial action to recover payments on this Note, seeking or requesting payment of this Note, or exercising or seeking to exercise any right of redemption hereunder.</w:t>
      </w:r>
    </w:p>
    <w:p>
      <w:pPr>
        <w:spacing w:after="0" w:line="18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Insolvency, Bankruptcy, Liquidation and Reorganization</w:t>
      </w:r>
      <w:r>
        <w:rPr>
          <w:rFonts w:ascii="Times New Roman" w:cs="Times New Roman" w:eastAsia="Times New Roman" w:hAnsi="Times New Roman"/>
          <w:sz w:val="18"/>
          <w:szCs w:val="18"/>
          <w:color w:val="auto"/>
        </w:rPr>
        <w:t>. In the event of any voluntary or involuntary insolvency, bankruptcy, liquidation, reorganization or other similar proceeding involving the Company (each, an “</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all Senior Indebtedness shall first be paid in full, in cash before any payment or any distribution of any kind or character is made by the Company in respect of this Note.</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both"/>
        <w:ind w:left="840" w:firstLine="648"/>
        <w:spacing w:after="0" w:line="254" w:lineRule="auto"/>
        <w:rPr>
          <w:sz w:val="20"/>
          <w:szCs w:val="20"/>
          <w:color w:val="auto"/>
        </w:rPr>
      </w:pPr>
      <w:r>
        <w:rPr>
          <w:rFonts w:ascii="Times New Roman" w:cs="Times New Roman" w:eastAsia="Times New Roman" w:hAnsi="Times New Roman"/>
          <w:sz w:val="18"/>
          <w:szCs w:val="18"/>
          <w:color w:val="auto"/>
        </w:rPr>
        <w:t>(A)            The Holder irrevocably authorizes and empowers (but without imposing any obligation on) the Administrative Agent and any trustee in bankruptcy, receiver or assignee for the benefit of creditors of the Company, in any Insolvency Proceeding, on the Holder’s behalf, to (1) file any claim, proof of claim or such other instrument of similar character not otherwise filed and (2) vote such Holder’s interest in any proceeding under applicable insolvency laws as such vote relates to any Subordinated Debt. In the event that the Administrative Agent votes any claim in accordance with the authority hereby, the Holder shall not be entitled to change, withdraw or challenge any such vote. This authorization and appointment is irrevocable and coupled with an interest. The Holder recognizes that, to the extent permitted by law, this authorization and appointment shall continue in full force and effect, notwithstanding any time limitations set forth in the operating agreement or organizational documents of the Holder or applicable law.</w:t>
      </w:r>
    </w:p>
    <w:p>
      <w:pPr>
        <w:spacing w:after="0" w:line="188" w:lineRule="exact"/>
        <w:rPr>
          <w:sz w:val="20"/>
          <w:szCs w:val="20"/>
          <w:color w:val="auto"/>
        </w:rPr>
      </w:pPr>
    </w:p>
    <w:p>
      <w:pPr>
        <w:jc w:val="both"/>
        <w:ind w:left="840" w:firstLine="648"/>
        <w:spacing w:after="0" w:line="253" w:lineRule="auto"/>
        <w:rPr>
          <w:sz w:val="20"/>
          <w:szCs w:val="20"/>
          <w:color w:val="auto"/>
        </w:rPr>
      </w:pPr>
      <w:r>
        <w:rPr>
          <w:rFonts w:ascii="Times New Roman" w:cs="Times New Roman" w:eastAsia="Times New Roman" w:hAnsi="Times New Roman"/>
          <w:sz w:val="18"/>
          <w:szCs w:val="18"/>
          <w:color w:val="auto"/>
        </w:rPr>
        <w:t>(B)            Holder shall not assert, without Administrative Agent’s prior written consent, any claim, motion, objection or argument in connection with any liquidation or insolvency proceeding, except for necessary responsive or defensive pleadings required to protect Holder’s interest in this Note. Holder agrees that it will consent to, and not object to or oppose any use of cash collateral consented to by Administrative Agent or any financing provided by Administrative Agent or any Lender to the Company or any of its subsidiaries or affiliates (or any financing provided by any other Person consented to by Administrative Agent) (collectively, “</w:t>
      </w:r>
      <w:r>
        <w:rPr>
          <w:rFonts w:ascii="Times New Roman" w:cs="Times New Roman" w:eastAsia="Times New Roman" w:hAnsi="Times New Roman"/>
          <w:sz w:val="18"/>
          <w:szCs w:val="18"/>
          <w:b w:val="1"/>
          <w:bCs w:val="1"/>
          <w:color w:val="auto"/>
        </w:rPr>
        <w:t>DIP Financing</w:t>
      </w:r>
      <w:r>
        <w:rPr>
          <w:rFonts w:ascii="Times New Roman" w:cs="Times New Roman" w:eastAsia="Times New Roman" w:hAnsi="Times New Roman"/>
          <w:sz w:val="18"/>
          <w:szCs w:val="18"/>
          <w:color w:val="auto"/>
        </w:rPr>
        <w:t>”) on such terms and conditions as Administrative Agent may determine in its sole discretion. Without the prior written consent of Administrative Agent, Holder agrees that it will not, and will not permit, any of its affiliates to, (i) directly or indirectly provide, participate in or otherwise support, any financing in an Insolvency Proceeding to any Obligor or (ii) seek or accept any lien on or security interest in any Collateral (or any assets which would be Collateral but for the operation of the Bankruptcy Code) that would be senior to or pari passu with any liens or security interests securing the Senior Indebtedness or any DIP Financing. Holder agrees that it will not join or seek to join any creditors’ committee or other official committee in any Insolvency Proceeding.</w:t>
      </w:r>
    </w:p>
    <w:p>
      <w:pPr>
        <w:spacing w:after="0" w:line="190"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(C)            Holder agrees that it will consent to, and not object to or oppose, a sale or other disposition (or related sale or disposition procedures) of any property securing any of the Senior Indebtedness in any Insolvency Proceeding, if Administrative Agent has consented to such sale or other disposition (or sale or disposition procedures).</w:t>
      </w:r>
    </w:p>
    <w:p>
      <w:pPr>
        <w:spacing w:after="0" w:line="176"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(D)            Holder agrees that it will consent to, vote in favor of, and not object to or oppose, any plan of reorganization or liquidation, or any other scheme, arrangement or proposal in any Insolvency Proceeding which is supported or consented to by the Administrative Agent.</w:t>
      </w:r>
    </w:p>
    <w:p>
      <w:pPr>
        <w:spacing w:after="0" w:line="176"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(E)            Following payment in full of the Senior Indebtedness, should any payment upon the Senior Indebtedness be rescinded thereafter as a voidable preference, or otherwise by operation of law, upon the insolvency, bankruptcy or reorganization of the Company, all of the rights of the holders of the Senior Indebtedness previously extinguished by full payment of the Senior Indebtedness shall be automatically reinstated, and all rights and benefits hereunder shall be retroactively implemented in favor of the holders of the Senior Indebtedness, all as if the payment had never been made to or received by the holders of the Senior Indebtedness.</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43" w:name="page44"/>
    <w:bookmarkEnd w:id="43"/>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Return of Certain Payments</w:t>
      </w:r>
      <w:r>
        <w:rPr>
          <w:rFonts w:ascii="Times New Roman" w:cs="Times New Roman" w:eastAsia="Times New Roman" w:hAnsi="Times New Roman"/>
          <w:sz w:val="18"/>
          <w:szCs w:val="18"/>
          <w:color w:val="auto"/>
        </w:rPr>
        <w:t>. In the event that the Holder of this Note receives any payment in respect of this Note in violation of these subordination provisions, such payment shall be held by the Holder in trust for the benefit of, and shall, forthwith upon receipt thereof, be paid over and delivered to the Administrative Agent to the extent necessary to pay the Senior Indebtedness in full in cash.</w:t>
      </w:r>
    </w:p>
    <w:p>
      <w:pPr>
        <w:spacing w:after="0" w:line="180" w:lineRule="exact"/>
        <w:rPr>
          <w:sz w:val="20"/>
          <w:szCs w:val="20"/>
          <w:color w:val="auto"/>
        </w:rPr>
      </w:pPr>
    </w:p>
    <w:p>
      <w:pPr>
        <w:jc w:val="both"/>
        <w:ind w:left="640" w:firstLine="648"/>
        <w:spacing w:after="0" w:line="284"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Payments in Kind</w:t>
      </w:r>
      <w:r>
        <w:rPr>
          <w:rFonts w:ascii="Times New Roman" w:cs="Times New Roman" w:eastAsia="Times New Roman" w:hAnsi="Times New Roman"/>
          <w:sz w:val="18"/>
          <w:szCs w:val="18"/>
          <w:color w:val="auto"/>
        </w:rPr>
        <w:t>. Notwithstanding anything to the contrary in the foregoing, the Company shall not be prohibited from making, and the Holder shall not be prohibited from receiving, any payments in kind to the extent set forth herein.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i w:val="1"/>
          <w:iCs w:val="1"/>
          <w:color w:val="auto"/>
        </w:rPr>
        <w:t>Mandatory and Elective Conversion of Note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In the event of any Restructuring Transaction consented to by the Administrative Agent (and regardless of whether such Restructuring Transaction would otherwise result in a mandatory conversion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but for this Section 11(a)(vi)), the Holder shall be deemed to have consented to such Restructuring Transaction, and all of the outstanding obligations hereunder shall be mandatorily converted into Common Stock as if such conversion were a mandatory conversion of the Note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Any such conversion shall occur simultaneously with (but immediately prior to) the closing of the applicable Restructuring Transaction. The Holder and the Company shall promptly execute and deliver to the Administrative Agent all documents necessary or reasonably requested by the Administrative Agent to effectuate the foregoing conversion.</w:t>
      </w:r>
    </w:p>
    <w:p>
      <w:pPr>
        <w:spacing w:after="0" w:line="189"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(B)            In furtherance of the foregoing, the Holder hereby irrevocably appoints the Administrative Agent as its attorney-in-fact, with full authority in the place and stead of the Holder and in the name of the Holder, to execute and deliver any document or instrument that the Holder may be required to deliver pursuant to this Section 11(a)(vi) in order to effectuate the foregoing conversion and cause such a conversion, such power of attorney being coupled with an interest and irrevocable until the Senior Indebtedness is paid in full, in cash.</w:t>
      </w:r>
    </w:p>
    <w:p>
      <w:pPr>
        <w:spacing w:after="0" w:line="183"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(C)            The Company acknowledges and agrees that it shall take any and all action required to cause the mandatory conversion of this Note upon the occurrence of the conditions set forth in this Section 11(a)(vi).</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The subordination provisions of this Note are for the benefit of the holders of the Senior Indebtedness and their successors and assigns and they may enforce such provisions directly against the Holder of this Note in accordance with the terms hereof. No right of any present or future holder of any Senior Indebtedness to enforce subordination as provided herein shall at any time in any way be prejudiced or impaired by any act or omission of the Company or any such holder, unless the holder has expressly waived its rights in writing. The holders of the Senior Indebtedness may, without impairing or releasing the Company or the Holder of this Note from any obligation hereunder, take any and all actions with respect to the Senior Indebtedness, including, without limitation, to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Senior Indebtedness; and (iv) exercise or refrain from exercising any rights against the Company and any other Person.</w:t>
      </w:r>
    </w:p>
    <w:p>
      <w:pPr>
        <w:spacing w:after="0" w:line="200" w:lineRule="exact"/>
        <w:rPr>
          <w:sz w:val="20"/>
          <w:szCs w:val="20"/>
          <w:color w:val="auto"/>
        </w:rPr>
      </w:pPr>
    </w:p>
    <w:p>
      <w:pPr>
        <w:spacing w:after="0" w:line="2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875" w:right="339" w:bottom="1440" w:gutter="0" w:footer="0" w:header="0"/>
        </w:sectPr>
      </w:pPr>
    </w:p>
    <w:bookmarkStart w:id="44" w:name="page45"/>
    <w:bookmarkEnd w:id="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Authorization to Effect Subordination</w:t>
      </w:r>
      <w:r>
        <w:rPr>
          <w:rFonts w:ascii="Times New Roman" w:cs="Times New Roman" w:eastAsia="Times New Roman" w:hAnsi="Times New Roman"/>
          <w:sz w:val="18"/>
          <w:szCs w:val="18"/>
          <w:color w:val="auto"/>
        </w:rPr>
        <w:t xml:space="preserve">. The Holder, by its acceptance hereof, solely in its capacity as obligee with respect to Subordinated Debt irrevocably authorizes and empowers (but without imposing any obligation on) the Administrative Agent (through its authorized representatives), on behalf of itself and the Lenders, to demand, sue for, collect and receive such Holder’s ratable share of payments or distributions with respect to Subordinated Debt and take all such other action, in the name of such Holder or otherwise, as such Administrative Agent or authorized representatives may determine to be necessary or appropriate for the enforcement of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Amendments and Modifications to Note</w:t>
      </w:r>
      <w:r>
        <w:rPr>
          <w:rFonts w:ascii="Times New Roman" w:cs="Times New Roman" w:eastAsia="Times New Roman" w:hAnsi="Times New Roman"/>
          <w:sz w:val="18"/>
          <w:szCs w:val="18"/>
          <w:color w:val="auto"/>
        </w:rPr>
        <w:t xml:space="preserve">. Under no circumstance shall the Company or the Holder amend or modify, or permit the amendment or modification of, any provision of this Note in any way adverse to the interests of the Administrative Agent and the Lenders, including, without limitation, any amendments to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or 24 hereof (or any constituent definitions), or otherwise affecting the same or similar substance of such provisions, each of which shall be deemed to be adverse to the Administrative Agent and the Lenders. The Administrative Agent and the Lenders are intended to be, and shall be, express third party beneficiaries of the terms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Note and may enforce the provisions of Section 11 of this Note directly against the Company and/or any Holder.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Amendments and Modifications to Senior Indebtedness</w:t>
      </w:r>
      <w:r>
        <w:rPr>
          <w:rFonts w:ascii="Times New Roman" w:cs="Times New Roman" w:eastAsia="Times New Roman" w:hAnsi="Times New Roman"/>
          <w:sz w:val="18"/>
          <w:szCs w:val="18"/>
          <w:color w:val="auto"/>
        </w:rPr>
        <w:t>. The Holder agrees that the Company, the Administrative Agent and the Lenders shall have absolute power and discretion, without notice to the Holder, to deal in any manner with the Senior Indebtedness and the related collateral, including, without limitation, the power and discretion to effect any amendment, modification, supplement, restatement, refinancing, renewal, refund, extension or termination of any Senior Indebtedness.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Security for Subordinated Debt</w:t>
      </w:r>
      <w:r>
        <w:rPr>
          <w:rFonts w:ascii="Times New Roman" w:cs="Times New Roman" w:eastAsia="Times New Roman" w:hAnsi="Times New Roman"/>
          <w:sz w:val="18"/>
          <w:szCs w:val="18"/>
          <w:color w:val="auto"/>
        </w:rPr>
        <w:t xml:space="preserve">. Except with the prior written consent of the Administrative Agent and the Lenders, in no event shall the Holder take, accept or receive (and the Company shall not, nor permit any of its Subsidiaries or any other Person to grant to the Holder) any lien or security interest on any asset of Company or its Subsidiaries or any other collateral, guaranty, credit support or security for the Subordinated Debt. In the event in violation of the previous sentence the Holder is granted a security interest or lien on any asset of the Company or any of its Subsidiaries or any guaranty or credit support from the Company or any of its Subsidiaries or any other Person, the Holder does hereby expressly immediately and automatically (without further action of any Person) release such security interest, lien, guaranty or credit support, and the Holder and the Company shall immediately take all actions necessary or desirable to confirm and/or effectuate such release. The Administrative Agent may, in its sole discretion, take all steps necessary or desirable to confirm and/or effectuate the release any such lien, security interest, guaranty or credit support without any further action by or consent of any party, and the Holder and the Company expressly consent to and authorize any such action. In furtherance of the foregoing the Company and the Holder each hereby irrevocably appoint the Administrative Agent as its attorney-in-fact, with full authority in the place and stead of the Company and the Holder, as applicable, and in the name of the Company or the Holder, as applicable, to execute and deliver any document or instrument that the Company may be required to deliver pursuant to this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in connection with any such release, such power of attorney being coupled with an interest and irrevocable until the Senior Indebtedness is paid in full in cash.</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The Holder agrees that this Section 11 constitutes a “subordination agreement” within the meaning of Section 510(a) of the United States Bankruptcy Code (11 U.S.C. §101, et seq.) and will continue in full force and effect during any Insolvency Proceeding, including after the filing of any petition by or against the Company under the Bankruptcy Code and all converted or succeeding cases in respect thereof. All references herein to the Company or any of its subsidiaries or affiliates shall be deemed to apply to such Person as debtor-in-possession and to any trustee for such Person.</w:t>
      </w:r>
    </w:p>
    <w:p>
      <w:pPr>
        <w:spacing w:after="0" w:line="3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87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12.           ANTI-DILUTION; NOTE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Except with respect to Excluded Securities, if prior to September 30, 2024, the Company or any subsidiary thereof, as applicable, at any time this Note is outstanding, shall sell, issue or grant any Common Stock, option to purchase Common Stock, right to reprice, preferred shares convertible into Common Stock, or debt, warrants, options or other instruments or securities to the Holder or any third party which are convertible into or exercisable or exchangeable for shares of Common Stock (collectively, the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in any new offering where the Company sells securities that have registration rights, are registered or become registered under the Securities Act, at an effective price per share less than the then effective Conversion Price (such issuance is referred to herein as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the Conversion Price shall be automatically reduced and only reduced to equal such lower effective price per share. Except with respect to Excluded Securities, if the holder of any Equity Securities so issued shall at any time, whether by operation of purchase price adjustments, reset provisions, floating conversion, exercise or exchange prices or otherwise, or due to warrants, options, or rights per share which are issued in connection with such Dilutive Issuance, be entitled to receive shares of Common Stock at an effective price per share that is less than the Conversion Price, such issuance shall be deemed to have occurred for less than the Conversion Price on the date of such Dilutive Issuance, and the then effective Conversion Price shall be reduced and only reduced to equal such lower effective price per share. Such adjustments described above to the Conversion Price shall be permanent (subject to additional adjustments under this section), and shall be made whenever such Equity Securities are issued. The Company shall notify Lender, in writing, no later than three Trading Days following the issuance of any Equity Securities subject to this Section 12, indicating therein the applicable issuance price, or applicable reset price, exchange price, conversion price, or other pricing terms (such notice, the “</w:t>
      </w:r>
      <w:r>
        <w:rPr>
          <w:rFonts w:ascii="Times New Roman" w:cs="Times New Roman" w:eastAsia="Times New Roman" w:hAnsi="Times New Roman"/>
          <w:sz w:val="18"/>
          <w:szCs w:val="18"/>
          <w:b w:val="1"/>
          <w:bCs w:val="1"/>
          <w:color w:val="auto"/>
        </w:rPr>
        <w:t>Dilutive Issuance Notice</w:t>
      </w:r>
      <w:r>
        <w:rPr>
          <w:rFonts w:ascii="Times New Roman" w:cs="Times New Roman" w:eastAsia="Times New Roman" w:hAnsi="Times New Roman"/>
          <w:sz w:val="18"/>
          <w:szCs w:val="18"/>
          <w:color w:val="auto"/>
        </w:rPr>
        <w:t>”). For purposes of clarity, whether or not the Company provides a Dilutive Issuance Notice pursuant to this Section 12, upon the occurrence of any Dilutive Issuance, on the date of such Dilutive Issuance the Conversion Price shall be lowered to equal the applicable effective price per share regardless of whether the Company or Lender accurately refers to such lower effective price per share in any subsequent Redemption Notice or Conversion Notice. Notwithstanding the foregoing, immediately prior to any Restructuring Transaction, any change to the Conversion Price effected pursuant to this Section 12 shall be reversed and shall no longer be of any effect.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Notwithstanding anything to the contrary contained herein, the Purchaser and the Company agree that (i) the total number of shares of Common Stock issuable upon conversion of the Notes plus (ii) the number of shares of Common Stock issuable pursuant to the terms of the warrants issued by the Company to the Metropolitan Entities (as defined below) in connection with that certain Forbearance and Fourth Amendment to Credit Agreement, dated as of January 22, 2024 the (“</w:t>
      </w:r>
      <w:r>
        <w:rPr>
          <w:rFonts w:ascii="Times New Roman" w:cs="Times New Roman" w:eastAsia="Times New Roman" w:hAnsi="Times New Roman"/>
          <w:sz w:val="18"/>
          <w:szCs w:val="18"/>
          <w:b w:val="1"/>
          <w:bCs w:val="1"/>
          <w:color w:val="auto"/>
        </w:rPr>
        <w:t>Forbearance Warrants</w:t>
      </w:r>
      <w:r>
        <w:rPr>
          <w:rFonts w:ascii="Times New Roman" w:cs="Times New Roman" w:eastAsia="Times New Roman" w:hAnsi="Times New Roman"/>
          <w:sz w:val="18"/>
          <w:szCs w:val="18"/>
          <w:color w:val="auto"/>
        </w:rPr>
        <w:t>”), by and among the Company, the Administration Agent in its capacity as administrative agent and collateral agent under the Credit Agreement, Metropolitan Levered Partners Fund VII, LP, Metropolitan Partners Fund VII, LP, Metropolitan Offshore Partners Fund VII, LP, and CEOF Holdings LP (collectively, the “</w:t>
      </w:r>
      <w:r>
        <w:rPr>
          <w:rFonts w:ascii="Times New Roman" w:cs="Times New Roman" w:eastAsia="Times New Roman" w:hAnsi="Times New Roman"/>
          <w:sz w:val="18"/>
          <w:szCs w:val="18"/>
          <w:b w:val="1"/>
          <w:bCs w:val="1"/>
          <w:color w:val="auto"/>
        </w:rPr>
        <w:t>Metropolitan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Entities</w:t>
      </w:r>
      <w:r>
        <w:rPr>
          <w:rFonts w:ascii="Times New Roman" w:cs="Times New Roman" w:eastAsia="Times New Roman" w:hAnsi="Times New Roman"/>
          <w:sz w:val="18"/>
          <w:szCs w:val="18"/>
          <w:color w:val="auto"/>
        </w:rPr>
        <w:t>”) may not exceed the requirements of Nasdaq Listing Rule 5635(d) (“</w:t>
      </w:r>
      <w:r>
        <w:rPr>
          <w:rFonts w:ascii="Times New Roman" w:cs="Times New Roman" w:eastAsia="Times New Roman" w:hAnsi="Times New Roman"/>
          <w:sz w:val="18"/>
          <w:szCs w:val="18"/>
          <w:b w:val="1"/>
          <w:bCs w:val="1"/>
          <w:color w:val="auto"/>
        </w:rPr>
        <w:t>Nasdaq 19.99% Cap</w:t>
      </w:r>
      <w:r>
        <w:rPr>
          <w:rFonts w:ascii="Times New Roman" w:cs="Times New Roman" w:eastAsia="Times New Roman" w:hAnsi="Times New Roman"/>
          <w:sz w:val="18"/>
          <w:szCs w:val="18"/>
          <w:color w:val="auto"/>
        </w:rPr>
        <w:t>”), except that such limitation will not apply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Approval (defined below). If the aggregate number of shares of Common Stock issuable upon conversion of the Notes and exercise of the Forbearance Warrants reaches the Nasdaq 19.99% Cap, so as not to violate the 20% limit established in Listing Rule 5635(d), the Company shall as soon as reasonably practicable take all action necessary to obtain stockholder approval for the issuance of shares of Common Stock in excess of the Nasdaq 19.99% Cape pursuant to the terms of this Note and the Forbearance Warrants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30 days after such occurrence, the Company shall use its reasonable best efforts to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issuance of Common Stock pursuant to the exercise of Forbearance Warrants, and (ii) issuances of Common Stock pursuant to the conversion of the Notes shall be made to the holders thereof as nearly as possible on a pro rata basis based on the total amount of shares of Common Stock issued or issuable to each party.</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873"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b w:val="1"/>
          <w:bCs w:val="1"/>
          <w:color w:val="auto"/>
        </w:rPr>
        <w:t>13.            DISTRIBUTION OF ASSETS.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any adjustments pursuant to Sections 5 and 6 above, if the Company shall declare or make any dividend or other distributions of its assets (or rights to acquire its assets) to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such Distribution or, if no such record is taken, the date as of which the record holders of Common Stock are to be determined for such Distributions.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14.            AMENDING THE TERMS OF THIS NOTE.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prior written consent of the Required Holders (as defined in the Securities Purchase Agreement) and the Company shall be required for any change, waiver or amendment to this Note. Any change, waiver or amendment so approved shall be binding upon all existing and future holders of this Note and any Other Notes; provided, however, that no such change, waiver or, as applied to any of the Notes held by any particular holder of Notes, shall, without the written consent of that particular holder, (i) reduce the amount of Principal, reduce the amount of accrued and unpaid Interest, or extend the Maturity Date, of the Notes, (ii) disproportionally and adversely affect any rights under the Notes of any holder of Notes; or (iii) modify any of the provisions of, or impair the right of any holder of Notes under, this Section 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            TRANSFER.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Note and any shares of Common Stock issued upon conversion of this Note may be offered, sold, assigned or transferred by the Holder without the consent of the Company, subject only to the provisions of Section 2(g) of the Securities Purchase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16.            REISSUANCE OF THIS NOTE.</w:t>
      </w:r>
    </w:p>
    <w:p>
      <w:pPr>
        <w:spacing w:after="0" w:line="22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If this Note is to be transferred, the Holder shall surrender this Note to the Company, whereupon the Company will forthwith issue and deliver upon the order of the Holder a new Note (in accordance with Section 16(d)), registered as the Holder may request, representing the outstanding Principal being transferred by the Holder and, if less than the entire outstanding Principal is being transferred, a new Note (in accordance with Section 16(d))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Note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16(d)) representing the outstanding Principal.</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Note Exchangeable for Different Denominations</w:t>
      </w:r>
      <w:r>
        <w:rPr>
          <w:rFonts w:ascii="Times New Roman" w:cs="Times New Roman" w:eastAsia="Times New Roman" w:hAnsi="Times New Roman"/>
          <w:sz w:val="18"/>
          <w:szCs w:val="18"/>
          <w:color w:val="auto"/>
        </w:rPr>
        <w:t>. This Note is exchangeable, upon the surrender hereof by the Holder at the principal office of the Company, for a new Note or Notes (in accordance with Section 16(d) and in principal amounts of at least $100,000) representing in the aggregate the outstanding Principal of this Note, and each such new Note will represent such portion of such outstanding Principal as is designated by the Holder at the time of such surrender.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Issuance of New Notes</w:t>
      </w:r>
      <w:r>
        <w:rPr>
          <w:rFonts w:ascii="Times New Roman" w:cs="Times New Roman" w:eastAsia="Times New Roman" w:hAnsi="Times New Roman"/>
          <w:sz w:val="17"/>
          <w:szCs w:val="17"/>
          <w:color w:val="auto"/>
        </w:rPr>
        <w:t>. Whenever the Company is required to issue a new Note pursuant to the terms of this Note, such new Note</w:t>
      </w:r>
    </w:p>
    <w:p>
      <w:pPr>
        <w:spacing w:after="0" w:line="39" w:lineRule="exact"/>
        <w:rPr>
          <w:sz w:val="20"/>
          <w:szCs w:val="20"/>
          <w:color w:val="auto"/>
        </w:rPr>
      </w:pPr>
    </w:p>
    <w:p>
      <w:pPr>
        <w:jc w:val="both"/>
        <w:ind w:left="660" w:hanging="4"/>
        <w:spacing w:after="0" w:line="252" w:lineRule="auto"/>
        <w:tabs>
          <w:tab w:leader="none" w:pos="8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like tenor with this Note, (ii) shall represent, as indicated on the face of such new Note, the Principal remaining outstanding (or in the case of a new Note being issued pursuant to Section 16(a) or Section 16(c),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17.            REMEDIES, CHARACTERIZATIONS, OTHER OBLIGATIONS, BREACHES AND INJUNCTIVE RELIEF.</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remedies provided in this Note shall be cumulative and in addition to all other remedies available under this Note and any of the other Transaction Documents at law or in equity (including a decree of specific performance and/or other injunctive relief), and nothing herein (other than the provisions of Section 11)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The Company shall provide all information and documentation to the Holder that is reasonably requested by the Holder to enable the Holder to confirm the Company’s compliance with the terms and conditions of this Note (including, without limitation, compliance with Section 6).</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b w:val="1"/>
          <w:bCs w:val="1"/>
          <w:color w:val="auto"/>
        </w:rPr>
        <w:t>18.            PAYMENT OF COLLECTION, ENFORCEMENT AND OTHER COSTS.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19.            CONSTRUCTION; HEADINGS.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Closing Date in such other Transaction Documents unless otherwise consented to in writing by the Holder.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            FAILURE OR INDULGENCE NOT WAIVER.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            NOTICES; CURRENCY; PAYMENTS.</w:t>
      </w:r>
    </w:p>
    <w:p>
      <w:pPr>
        <w:spacing w:after="0" w:line="229"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Whenever notice is required to be given under this Note, unless otherwise provided herein, such notice shall be given in accordance with Section 9(f) of the Securities Purchase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five (5) Trading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Strategic Change of Control, dissolution or liquidation, provided in each case that such information shall be made known to the public prior to or in conjunction with such notice being provided to the Holder.</w:t>
      </w:r>
    </w:p>
    <w:p>
      <w:pPr>
        <w:spacing w:after="0" w:line="173"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seven and one-half percent (7.5%) per annum from the date such amount was due until the same is paid in full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b w:val="1"/>
          <w:bCs w:val="1"/>
          <w:color w:val="auto"/>
        </w:rPr>
        <w:t>22.            CANCELLATION.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all Principal, accrued Interest, Late Charges and other amounts at any time owed on this Note have been paid in full, this Note shall automatically be deemed canceled, shall be surrendered to the Company for cancellation and shall not be reissued.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23.            WAIVER OF NOTICE.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24.            GOVERNING LAW.</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IRREVOCABLY WAIVES ANY RIGHT IT MAY HAVE TO, AND AGREES NOT TO</w:t>
      </w:r>
    </w:p>
    <w:p>
      <w:pPr>
        <w:spacing w:after="0" w:line="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REQUEST, A JURY TRIAL FOR THE ADJUDICATION OF ANY DISPUTE HEREUNDER OR IN CONNECTION WITH OR ARISING OUT OF THIS NOTE OR ANY TRANSACTION CONTEMPLATED HEREBY.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25.            SEVERABILITY.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b w:val="1"/>
          <w:bCs w:val="1"/>
          <w:color w:val="auto"/>
        </w:rPr>
        <w:t>26.            MAXIMUM PAYMENTS.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27.            CERTAIN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Note, the following terms shall have the following meanings: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means Metropolitan Partners Group Administration, LLC, and its successors and assigns in such</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capacity.</w:t>
      </w:r>
    </w:p>
    <w:p>
      <w:pPr>
        <w:spacing w:after="0" w:line="203"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a majority of the stock having ordinary voting power for the election of directors of such Person or direct or cause the direction of the management and policies of such Person whether by contract or otherwise.</w:t>
      </w:r>
    </w:p>
    <w:p>
      <w:pPr>
        <w:spacing w:after="0" w:line="176"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w:t>
      </w:r>
    </w:p>
    <w:p>
      <w:pPr>
        <w:jc w:val="both"/>
        <w:ind w:left="660" w:hanging="4"/>
        <w:spacing w:after="0" w:line="253"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5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(i) a consolidation or merger of the Company or PAL with or into any other corporation or other Person, or any other corporate reorganization, other than (x) with an Excluded Person, or (y) any such consolidation, merger or reorganization in which the shares of capital stock of the Parent or PAL immediately prior to such consolidation, merger or reorganization continue to represent a majority of the voting power of the surviving entity immediately after such consolidation, merger or reorganization; (ii) any transaction or series of related transactions to which the Parent or PAL is a party in which in excess of 20% of the Parent’s or PAL’s voting power is transferred (other than to an Excluded Person); (iii) any transaction or series of transactions in which a “person” or a “group” (as such terms are used in Sections 13(d) and 14(d) of the Exchange Act) (other than an Excluded Person) shall (A) become, or obtain rights (whether by means of common stock, warrants options or otherwise) to become, the “beneficial owner” (as defined in Rules 13(d)-3 and 13(d)-5 under the Exchange Act), directly or indirectly, of 25% or more of the ordinary voting power or economic interests of Parent or PAL (determined on a fully diluted basis) or (B) have obtained the power (whether exercised or not) to elect a majority of the members of the board of directors (or any similar governing body) of Parent or PAL, as applicable; or (iv) the sale or transfer of all or substantially all of the Parent’s or PAL’s assets, or the exclusive license of all or substantially all of the Parent’s or PAL’s material assets and/or material intellectual property, in each case, other than to an Excluded Person. A transaction (other than a Restructuring Transaction) that would otherwise be a Change of Control but for the involvement of an Excluded Person is referred to as a “</w:t>
      </w:r>
      <w:r>
        <w:rPr>
          <w:rFonts w:ascii="Times New Roman" w:cs="Times New Roman" w:eastAsia="Times New Roman" w:hAnsi="Times New Roman"/>
          <w:sz w:val="18"/>
          <w:szCs w:val="18"/>
          <w:b w:val="1"/>
          <w:bCs w:val="1"/>
          <w:color w:val="auto"/>
        </w:rPr>
        <w:t>Strategic Change of Control.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ind w:left="644"/>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set forth in the Securities Purchase Agreement.</w:t>
      </w:r>
    </w:p>
    <w:p>
      <w:pPr>
        <w:spacing w:after="0" w:line="225"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$0.0001 par value per share, and (ii) any capital stock into which such common stock shall have been changed or any share capital resulting from a reclassification of such common stock.</w:t>
      </w:r>
    </w:p>
    <w:p>
      <w:pPr>
        <w:spacing w:after="0" w:line="15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71"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means that certain Credit Agreement, dated as of September 21, 2022, by and among the Company, PAL, as borrower, the Lenders, and the Administrative Agent, as amended, restated, refinanced, modified or supplemented through the date hereof and hereafter and in effect from time to time.</w:t>
      </w:r>
    </w:p>
    <w:p>
      <w:pPr>
        <w:spacing w:after="0" w:line="171"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or the Principal Market.</w:t>
      </w:r>
    </w:p>
    <w:p>
      <w:pPr>
        <w:spacing w:after="0" w:line="155"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Excluded Person</w:t>
      </w:r>
      <w:r>
        <w:rPr>
          <w:rFonts w:ascii="Times New Roman" w:cs="Times New Roman" w:eastAsia="Times New Roman" w:hAnsi="Times New Roman"/>
          <w:sz w:val="18"/>
          <w:szCs w:val="18"/>
          <w:color w:val="auto"/>
        </w:rPr>
        <w:t>” means a Person other than a Financial Investor.</w:t>
      </w:r>
    </w:p>
    <w:p>
      <w:pPr>
        <w:spacing w:after="0" w:line="22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(i) any shares of Common Stock, options, warrants or convertible securities issued or issuable in connection with (A) any equity compensation plan of the Company as in effect on the date hereof or (B) any Restructuring Transaction, or (ii) any other securities outstanding as of the Effective Date.</w:t>
      </w:r>
    </w:p>
    <w:p>
      <w:pPr>
        <w:spacing w:after="0" w:line="17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Financial Investor</w:t>
      </w:r>
      <w:r>
        <w:rPr>
          <w:rFonts w:ascii="Times New Roman" w:cs="Times New Roman" w:eastAsia="Times New Roman" w:hAnsi="Times New Roman"/>
          <w:sz w:val="18"/>
          <w:szCs w:val="18"/>
          <w:color w:val="auto"/>
        </w:rPr>
        <w:t>” means a Person that (i) does not have any strategic or commercial relationship with the Company, and</w:t>
      </w:r>
    </w:p>
    <w:p>
      <w:pPr>
        <w:spacing w:after="0" w:line="31" w:lineRule="exact"/>
        <w:rPr>
          <w:sz w:val="20"/>
          <w:szCs w:val="20"/>
          <w:color w:val="auto"/>
        </w:rPr>
      </w:pPr>
    </w:p>
    <w:p>
      <w:pPr>
        <w:jc w:val="both"/>
        <w:ind w:left="4" w:hanging="4"/>
        <w:spacing w:after="0" w:line="255" w:lineRule="auto"/>
        <w:tabs>
          <w:tab w:leader="none" w:pos="2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itself operate in the Company’s line of business or a line of business that would be considered competitive or synergistic with the Company’s line of business, it being understood that merely holding an investment in another Person that operates in any such line of business shall not cause any Person that would otherwise constitute a Financial Investor to be excluded as a Financial Investor.</w:t>
      </w:r>
    </w:p>
    <w:p>
      <w:pPr>
        <w:spacing w:after="0" w:line="18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shall have the meaning ascribed to such term in the Securities Purchase Agreement.</w:t>
      </w:r>
    </w:p>
    <w:p>
      <w:pPr>
        <w:spacing w:after="0" w:line="200" w:lineRule="exact"/>
        <w:rPr>
          <w:sz w:val="20"/>
          <w:szCs w:val="20"/>
          <w:color w:val="auto"/>
        </w:rPr>
      </w:pPr>
    </w:p>
    <w:p>
      <w:pPr>
        <w:spacing w:after="0" w:line="24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52" w:name="page53"/>
    <w:bookmarkEnd w:id="52"/>
    <w:p>
      <w:pPr>
        <w:ind w:left="64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means collectively the Cash Interest and the PIK Interest.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means, with respect to any given calendar month the last Trading Day in such calendar month.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means the lenders from time to time party to the Credit Agreement or otherwise holding Senior Indebtedness.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the Credit Agreement and the other Loan Documents (as defined in the Credit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March 30, 2026.</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(x)            “</w:t>
      </w:r>
      <w:r>
        <w:rPr>
          <w:rFonts w:ascii="Times New Roman" w:cs="Times New Roman" w:eastAsia="Times New Roman" w:hAnsi="Times New Roman"/>
          <w:sz w:val="17"/>
          <w:szCs w:val="17"/>
          <w:b w:val="1"/>
          <w:bCs w:val="1"/>
          <w:color w:val="auto"/>
        </w:rPr>
        <w:t>Options</w:t>
      </w:r>
      <w:r>
        <w:rPr>
          <w:rFonts w:ascii="Times New Roman" w:cs="Times New Roman" w:eastAsia="Times New Roman" w:hAnsi="Times New Roman"/>
          <w:sz w:val="17"/>
          <w:szCs w:val="17"/>
          <w:color w:val="auto"/>
        </w:rPr>
        <w:t>” means any rights, warrants or options to subscribe for or purchase shares of Common Stock or Convertible Securities.</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PAL</w:t>
      </w:r>
      <w:r>
        <w:rPr>
          <w:rFonts w:ascii="Times New Roman" w:cs="Times New Roman" w:eastAsia="Times New Roman" w:hAnsi="Times New Roman"/>
          <w:sz w:val="18"/>
          <w:szCs w:val="18"/>
          <w:color w:val="auto"/>
        </w:rPr>
        <w:t>” means Presto Automation LLC (f/k/a E La Carte, LLC, f/k/a Ventoux Merger Sub II LLC).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a Strategic Change of Control.</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PIK Interest</w:t>
      </w:r>
      <w:r>
        <w:rPr>
          <w:rFonts w:ascii="Times New Roman" w:cs="Times New Roman" w:eastAsia="Times New Roman" w:hAnsi="Times New Roman"/>
          <w:sz w:val="18"/>
          <w:szCs w:val="18"/>
          <w:color w:val="auto"/>
        </w:rPr>
        <w:t>” means the portion of the interest that accrues on the Principal of this Note as the PIK Interest Rate.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PIK Interest Rate</w:t>
      </w:r>
      <w:r>
        <w:rPr>
          <w:rFonts w:ascii="Times New Roman" w:cs="Times New Roman" w:eastAsia="Times New Roman" w:hAnsi="Times New Roman"/>
          <w:sz w:val="18"/>
          <w:szCs w:val="18"/>
          <w:color w:val="auto"/>
        </w:rPr>
        <w:t>” means 7.5% per annum.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has the meaning set forth in the Securities Purchase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b w:val="1"/>
          <w:bCs w:val="1"/>
          <w:color w:val="auto"/>
        </w:rPr>
        <w:t>Restructuring Transaction</w:t>
      </w:r>
      <w:r>
        <w:rPr>
          <w:rFonts w:ascii="Times New Roman" w:cs="Times New Roman" w:eastAsia="Times New Roman" w:hAnsi="Times New Roman"/>
          <w:sz w:val="18"/>
          <w:szCs w:val="18"/>
          <w:color w:val="auto"/>
        </w:rPr>
        <w:t>” means any transaction or series of transactions which has the effect of (i) forgiving, reducing, or modifying the principal balance of, or otherwise adjusting the amount of, the Senior Indebtedness, (ii) exchanging all or any portion of the Senior Indebtedness for any other instrument or security, (iii) the exercise of any rights or remedies by the Administrative Agent or any Lender under the Loan Documents, or (iv) replacing or refinancing the Senior Indebtedness, in whole or in part.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securities purchase agreement, dated as of the Subscription Date, by and among the Company and the initial holders of the Notes pursuant to which the Company issued the Notes, as may be amended from time to time.</w:t>
      </w:r>
    </w:p>
    <w:p>
      <w:pPr>
        <w:spacing w:after="0" w:line="3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873" w:right="339" w:bottom="1440" w:gutter="0" w:footer="0" w:header="0"/>
        </w:sectPr>
      </w:pPr>
    </w:p>
    <w:bookmarkStart w:id="53" w:name="page54"/>
    <w:bookmarkEnd w:id="53"/>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Senior Indebtedness</w:t>
      </w:r>
      <w:r>
        <w:rPr>
          <w:rFonts w:ascii="Times New Roman" w:cs="Times New Roman" w:eastAsia="Times New Roman" w:hAnsi="Times New Roman"/>
          <w:sz w:val="18"/>
          <w:szCs w:val="18"/>
          <w:color w:val="auto"/>
        </w:rPr>
        <w:t>” means all loans, advances, debts, liabilities, debit balances, covenants and duties at any time or times owed by Company or any other Loan Party to Administrative Agent or any Lender, whether direct or indirect, absolute or contingent, secured or unsecured, primary or secondary, joint or several, liquidated or unliquidated, due or to become due, now existing or hereafter arising, including</w:t>
      </w:r>
    </w:p>
    <w:p>
      <w:pPr>
        <w:jc w:val="both"/>
        <w:ind w:left="4" w:hanging="4"/>
        <w:spacing w:after="0" w:line="251" w:lineRule="auto"/>
        <w:tabs>
          <w:tab w:leader="none" w:pos="2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debts, liabilities and obligations now or hereafter owing by Company or any other Loan Party to Administrative Agent or any Lender under any of the Loan Documents, (b) all debts, liabilities or obligations owing by Company or any other Loan Party to others which Administrative Agent or any Lender may have obtained by assignment, pledge, purchase or otherwise, (c) all loans made or credit extended by Administrative Agent or any Lender to Company or any other Loan Party during the pendency of any bankruptcy or other insolvency proceeding of Company or any other Loan Party, (d) all interest, fees, charges, expenses and attorneys’ fees for which Company or any other Loan Party is now or hereafter becomes liable to pay to Administrative Agent or any Lender under any agreement or by law (including, all interest, legal fees and other charges that accrue or are incurred in connection with any of the Senior Indebtedness during the pendency of any bankruptcy case or other insolvency proceeding of Buyer, whether or not Administrative Agent or such Lender is authorized by 11 U.S.C. § 506 or otherwise to claim or collect any such interest, legal fees or other charges from Buyer), (e) all Obligations (as defined in the Credit Agreement), and (f) any renewals, extensions, replacements or refinancings of any of the foregoing.</w:t>
      </w:r>
    </w:p>
    <w:p>
      <w:pPr>
        <w:spacing w:after="0" w:line="18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sz w:val="20"/>
          <w:szCs w:val="20"/>
          <w:color w:val="auto"/>
        </w:rPr>
      </w:pPr>
    </w:p>
    <w:p>
      <w:pPr>
        <w:jc w:val="both"/>
        <w:ind w:left="4" w:right="20" w:firstLine="648"/>
        <w:spacing w:after="0" w:line="286"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means all amounts payable to the Holder pursuant to this Note or any other documents executed in connection herewith.</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has the meaning set forth in the Securities Purchase Agreement.</w:t>
      </w:r>
    </w:p>
    <w:p>
      <w:pPr>
        <w:spacing w:after="0" w:line="225" w:lineRule="exact"/>
        <w:rPr>
          <w:sz w:val="20"/>
          <w:szCs w:val="20"/>
          <w:color w:val="auto"/>
        </w:rPr>
      </w:pPr>
    </w:p>
    <w:p>
      <w:pPr>
        <w:jc w:val="both"/>
        <w:ind w:left="4" w:right="20" w:firstLine="648"/>
        <w:spacing w:after="0" w:line="268"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Strategic Change of Control or the Person (or, if so elected by the Holder, the Parent Entity) with which such Strategic Change of Control shall have been entered into.</w:t>
      </w:r>
    </w:p>
    <w:p>
      <w:pPr>
        <w:spacing w:after="0" w:line="171"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Nasdaq Stock Market (or any successor thereto) is open for trading of securities.</w:t>
      </w:r>
    </w:p>
    <w:p>
      <w:pPr>
        <w:spacing w:after="0" w:line="188"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b w:val="1"/>
          <w:bCs w:val="1"/>
          <w:color w:val="auto"/>
        </w:rPr>
        <w:t>Transaction Document</w:t>
      </w:r>
      <w:r>
        <w:rPr>
          <w:rFonts w:ascii="Times New Roman" w:cs="Times New Roman" w:eastAsia="Times New Roman" w:hAnsi="Times New Roman"/>
          <w:sz w:val="18"/>
          <w:szCs w:val="18"/>
          <w:color w:val="auto"/>
        </w:rPr>
        <w:t>” means this Note, the Securities Purchase Agreement, the Registration Rights Agreement, and any other document, certificate or notice executed by the Company or the Holder in connection with the issuance of this Note.</w:t>
      </w:r>
    </w:p>
    <w:p>
      <w:pPr>
        <w:spacing w:after="0" w:line="157"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Note to be duly executed as of the Issuance Date set out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Convertible Note – Signature Page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 CONVERSION NOTICE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Reference is made to the Subordinated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issued to the undersigned by 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and pursuant to the Note, the undersigned hereby elects to convert the Conversion Amount (as defined in the Note) of the Note indicated below into shares of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as of the date specified below. Capitalized terms not defined herein shall have the meaning as set forth in the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154305</wp:posOffset>
            </wp:positionV>
            <wp:extent cx="39173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154305</wp:posOffset>
            </wp:positionV>
            <wp:extent cx="39173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accrued and unpaid Interest and accrued and unpaid Late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with respect to such portion of the Aggregate Principal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Aggregate Interest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142875</wp:posOffset>
            </wp:positionV>
            <wp:extent cx="39173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154305</wp:posOffset>
            </wp:positionV>
            <wp:extent cx="39173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154305</wp:posOffset>
            </wp:positionV>
            <wp:extent cx="39173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154305</wp:posOffset>
            </wp:positionV>
            <wp:extent cx="39173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Please specify the amount of Restricted Principal (if any) being converted:</w:t>
            </w:r>
          </w:p>
        </w:tc>
        <w:tc>
          <w:tcPr>
            <w:tcW w:w="176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2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0"/>
              </w:rPr>
              <w:t>.</w:t>
            </w:r>
          </w:p>
        </w:tc>
      </w:tr>
      <w:tr>
        <w:trPr>
          <w:trHeight w:val="42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Please specify the amount of Restricted OID (if any) being converted:</w:t>
            </w:r>
          </w:p>
        </w:tc>
        <w:tc>
          <w:tcPr>
            <w:tcW w:w="580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r>
      <w:tr>
        <w:trPr>
          <w:trHeight w:val="642"/>
        </w:trPr>
        <w:tc>
          <w:tcPr>
            <w:tcW w:w="5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26</w:t>
            </w:r>
          </w:p>
        </w:tc>
        <w:tc>
          <w:tcPr>
            <w:tcW w:w="38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Please issue the Common Stock into which the Note is being converted to Holder, or for its benefit,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1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9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here if requesting delivery as a certificate to the following name and to the following address:</w:t>
            </w:r>
          </w:p>
        </w:tc>
        <w:tc>
          <w:tcPr>
            <w:tcW w:w="0" w:type="dxa"/>
            <w:vAlign w:val="bottom"/>
          </w:tcPr>
          <w:p>
            <w:pPr>
              <w:spacing w:after="0"/>
              <w:rPr>
                <w:sz w:val="1"/>
                <w:szCs w:val="1"/>
                <w:color w:val="auto"/>
              </w:rPr>
            </w:pPr>
          </w:p>
        </w:tc>
      </w:tr>
      <w:tr>
        <w:trPr>
          <w:trHeight w:val="404"/>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to:</w:t>
            </w:r>
          </w:p>
        </w:tc>
        <w:tc>
          <w:tcPr>
            <w:tcW w:w="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1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9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here if requesting delivery by Deposit/Withdrawal at Custodian as follows:</w:t>
            </w:r>
          </w:p>
        </w:tc>
        <w:tc>
          <w:tcPr>
            <w:tcW w:w="0" w:type="dxa"/>
            <w:vAlign w:val="bottom"/>
          </w:tcPr>
          <w:p>
            <w:pPr>
              <w:spacing w:after="0"/>
              <w:rPr>
                <w:sz w:val="1"/>
                <w:szCs w:val="1"/>
                <w:color w:val="auto"/>
              </w:rPr>
            </w:pPr>
          </w:p>
        </w:tc>
      </w:tr>
      <w:tr>
        <w:trPr>
          <w:trHeight w:val="404"/>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 Participant:</w:t>
            </w:r>
          </w:p>
        </w:tc>
        <w:tc>
          <w:tcPr>
            <w:tcW w:w="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DTC Number:</w:t>
            </w:r>
          </w:p>
        </w:tc>
        <w:tc>
          <w:tcPr>
            <w:tcW w:w="14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Account Number:</w:t>
            </w:r>
          </w:p>
        </w:tc>
        <w:tc>
          <w:tcPr>
            <w:tcW w:w="14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14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1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tcPr>
          <w:p>
            <w:pPr>
              <w:spacing w:after="0"/>
              <w:rPr>
                <w:sz w:val="15"/>
                <w:szCs w:val="15"/>
                <w:color w:val="auto"/>
              </w:rPr>
            </w:pPr>
          </w:p>
        </w:tc>
        <w:tc>
          <w:tcPr>
            <w:tcW w:w="5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ID:</w:t>
            </w:r>
          </w:p>
        </w:tc>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gridSpan w:val="3"/>
          </w:tcPr>
          <w:p>
            <w:pPr>
              <w:jc w:val="right"/>
              <w:ind w:right="55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 to issue the above indicated number of shares of Common Stock in accordance with the Transfer Agent Instructions dated               , 20__ from the Company and acknowledged and agreed to by____________________.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January 30, 2024, by and between Presto Automation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buyers signatory hereto (each such purchaser, a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Buyers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Buyer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Buyer hereby agrees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and not otherwise defined herein that are defined in the Purchase Agreement shall have the meanings given such terms in the Purchase Agreement. As used in this Agreement, the following terms shall have the following meanings: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6(c).</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means, with respect to the Initial Registration Statement required to be filed hereunder, the 90th calendar day following the date hereof and with respect to any additional Registration Statements which may be required pursuant to Section 2(c) or Section 3(c), the 30th calendar day following the date on which an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SEC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the 30th calendar day following the Closing Date (as such term is defined in the Purchase Agreement), and (2)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SEC pursuant to the 1933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all Conversion Shares, and (b)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SEC under the 1933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 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SEC pursuant to the 1933 Act, as such Rule may be amended or interpreted from time to time, or any similar rule or regulation hereafter adopted by the SEC having substantially the same purpose and effect as such Rule.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SEC pursuant to the 1933 Act, as such Rule may be amended or interpreted from time to time, or any similar rule or regulation hereafter adopted by the SEC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SEC staff, or any comments, requirements or requests of the SEC staff and (ii) the 1933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SHELF REGISTRATION.</w:t>
      </w:r>
    </w:p>
    <w:p>
      <w:pPr>
        <w:spacing w:after="0" w:line="22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7"/>
          <w:szCs w:val="17"/>
          <w:color w:val="auto"/>
        </w:rPr>
        <w:t>(a)            On or prior to each Filing Date, the Company shall prepare and file with the SEC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2(d)) and shall contain (unless otherwise directed by at least 50% in interest of the Holders) substantially the “</w:t>
      </w:r>
      <w:r>
        <w:rPr>
          <w:rFonts w:ascii="Times New Roman" w:cs="Times New Roman" w:eastAsia="Times New Roman" w:hAnsi="Times New Roman"/>
          <w:sz w:val="17"/>
          <w:szCs w:val="17"/>
          <w:u w:val="single" w:color="auto"/>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xml:space="preserve">” attached hereto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and substantially the “</w:t>
      </w:r>
      <w:r>
        <w:rPr>
          <w:rFonts w:ascii="Times New Roman" w:cs="Times New Roman" w:eastAsia="Times New Roman" w:hAnsi="Times New Roman"/>
          <w:sz w:val="17"/>
          <w:szCs w:val="17"/>
          <w:u w:val="single" w:color="auto"/>
          <w:color w:val="auto"/>
        </w:rPr>
        <w:t>Selling Stockholder</w:t>
      </w:r>
      <w:r>
        <w:rPr>
          <w:rFonts w:ascii="Times New Roman" w:cs="Times New Roman" w:eastAsia="Times New Roman" w:hAnsi="Times New Roman"/>
          <w:sz w:val="17"/>
          <w:szCs w:val="17"/>
          <w:color w:val="auto"/>
        </w:rPr>
        <w:t xml:space="preserve">” section attached hereto as </w:t>
      </w:r>
      <w:r>
        <w:rPr>
          <w:rFonts w:ascii="Times New Roman" w:cs="Times New Roman" w:eastAsia="Times New Roman" w:hAnsi="Times New Roman"/>
          <w:sz w:val="17"/>
          <w:szCs w:val="17"/>
          <w:u w:val="single" w:color="auto"/>
          <w:color w:val="auto"/>
        </w:rPr>
        <w:t>Annex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Holder shall be required to be named as an “underwriter” without such Holder’s express prior written consent. Subject to the terms of this Agreement, the Company shall use its reasonable best efforts to cause a Registration Statement filed under this Agreement (including, without limitation, under Section 3(c)) to be declared effective under the 1933 Act as promptly as possible after the filing thereof, but in any event no later than the applicable Effectiveness Date, and shall use its reasonable best efforts to keep such Registration Statement continuously effective under the 1933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7"/>
          <w:szCs w:val="17"/>
          <w:u w:val="single" w:color="auto"/>
          <w:color w:val="auto"/>
        </w:rPr>
        <w:t>Effectiveness Period</w:t>
      </w:r>
      <w:r>
        <w:rPr>
          <w:rFonts w:ascii="Times New Roman" w:cs="Times New Roman" w:eastAsia="Times New Roman" w:hAnsi="Times New Roman"/>
          <w:sz w:val="17"/>
          <w:szCs w:val="17"/>
          <w:color w:val="auto"/>
        </w:rPr>
        <w:t>”). The Company shall telephonically request effectiveness of a Registration Statement as of 5:00 p.m. (New York City time) on a Trading Day. The Company shall promptly notify the Holders via e-mail of the effectiveness of a Registration Statement on the same Trading Day that the Company telephonically confirms effectiveness with the SEC. The Company shall, by 9:30 a.m. (New York City time) on the Trading Day after the effective date of such Registration Statement, file a final Prospectus with the SEC as required by Rule 424. Failure to so notify the Holder within one</w:t>
      </w:r>
    </w:p>
    <w:p>
      <w:pPr>
        <w:spacing w:after="0" w:line="6" w:lineRule="exact"/>
        <w:rPr>
          <w:sz w:val="20"/>
          <w:szCs w:val="20"/>
          <w:color w:val="auto"/>
        </w:rPr>
      </w:pPr>
    </w:p>
    <w:p>
      <w:pPr>
        <w:ind w:left="5580" w:right="160" w:hanging="4924"/>
        <w:spacing w:after="0" w:line="761" w:lineRule="auto"/>
        <w:tabs>
          <w:tab w:leader="none" w:pos="90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of such notification of effectiveness or failure to file a final Prospectus as foresaid shall be deemed an Event under Section 2(d).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Notwithstanding the registration obligations set forth in Section 2(a), if the SEC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SEC, covering the maximum number of Registrable Securities permitted to be registered by the SEC, on Form S-3 or such other form available to register for resale the Registrable Securities as a secondary offering; with respect to filing on Form S-3 or other appropriate form, and subject to the provisions of 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SEC for the registration of all of the Registrable Securities in accordance with the SEC Guidance, including without limitation, Compliance and Disclosure Interpretation 612.09.</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Notwithstanding any other provision of this Agreement and subject to the payment of liquidated damages pursuant to Section 2(d), if the SEC or any SEC Guidance sets forth a limitation on the number of Registrable Securities permitted to be registered on a particular Registration Statement as a secondary offering (and notwithstanding that the Company used diligent efforts to advocate with the SEC for the registration of all or a greater portion of Registrable Securities), unless otherwise directed in writing by a Holder as to its Registrable Securities, the number of Registrable Securities to be registered on such Registration Statement will be reduced by the Company reducing or eliminating any securities to be included other than Registrable Securities.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reasonable best efforts to file with the SEC, as promptly as allowed by SEC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SEC.</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1" w:name="page62"/>
    <w:bookmarkEnd w:id="61"/>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(e)            Notwithstanding anything to the contrary contained herein, in no event shall the Company be permitted to name any Holder or affiliate of a Holder as any Underwriter without the prior written consent of such Holder.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              REGISTRATION PROCEDURES.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7"/>
          <w:szCs w:val="17"/>
          <w:color w:val="auto"/>
        </w:rPr>
        <w:t>(a)            Not less than three (3)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furnish to each Holder copies of all such documents proposed to be filed, which documents (other than those incorporated or deemed to be incorporated by reference) will be subject to the review of such Holders.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w:t>
      </w:r>
    </w:p>
    <w:p>
      <w:pPr>
        <w:spacing w:after="0" w:line="5" w:lineRule="exact"/>
        <w:rPr>
          <w:sz w:val="20"/>
          <w:szCs w:val="20"/>
          <w:color w:val="auto"/>
        </w:rPr>
      </w:pPr>
    </w:p>
    <w:p>
      <w:pPr>
        <w:jc w:val="both"/>
        <w:ind w:left="4" w:hanging="4"/>
        <w:spacing w:after="0" w:line="250" w:lineRule="auto"/>
        <w:tabs>
          <w:tab w:leader="none" w:pos="2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less than two</w:t>
      </w:r>
    </w:p>
    <w:p>
      <w:pPr>
        <w:spacing w:after="0" w:line="1" w:lineRule="exact"/>
        <w:rPr>
          <w:rFonts w:ascii="Times New Roman" w:cs="Times New Roman" w:eastAsia="Times New Roman" w:hAnsi="Times New Roman"/>
          <w:sz w:val="18"/>
          <w:szCs w:val="18"/>
          <w:color w:val="auto"/>
        </w:rPr>
      </w:pPr>
    </w:p>
    <w:p>
      <w:pPr>
        <w:ind w:left="4" w:right="20" w:hanging="4"/>
        <w:spacing w:after="0" w:line="260"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to the Filing Date or by the end of the second (2nd) Trading Day following the date on which such Holder receives draft materials in accordance with this Section.</w:t>
      </w:r>
    </w:p>
    <w:p>
      <w:pPr>
        <w:spacing w:after="0" w:line="181"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(b)            (i) Prepare and file with the SEC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SEC such additional Registration Statements in order to register for resale under the 1933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3" w:lineRule="exact"/>
        <w:rPr>
          <w:sz w:val="20"/>
          <w:szCs w:val="20"/>
          <w:color w:val="auto"/>
        </w:rPr>
      </w:pPr>
    </w:p>
    <w:p>
      <w:pPr>
        <w:jc w:val="both"/>
        <w:ind w:left="4" w:hanging="4"/>
        <w:spacing w:after="0" w:line="252" w:lineRule="auto"/>
        <w:tabs>
          <w:tab w:leader="none" w:pos="3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possible to any comments received from the SEC with respect to a Registration Statement or any amendment thereto and provide as promptly as reasonably possible to the Holders true and complete copies of all correspondence from and to the SEC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1933 Act and the 1934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8"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(c)            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2" w:name="page63"/>
    <w:bookmarkEnd w:id="6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clause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SEC notifies the Company whether there will be a “review” of such Registration Statement and whenever the SEC comments in writing on such Registration Statement, and (C) with respect to a Registration Statement or any post-effective amendment, when the same has become effective, (ii) of any request by the SEC or any other federal or state governmental authority for amendments or supplements to a Registration Statement or Prospectus or for additional information, (iii) of the issuance by the SEC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SEC, provided that any such item which is available on the EDGAR system (or successor thereto) need not be furnished in physical form.</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3" w:name="page64"/>
    <w:bookmarkEnd w:id="6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If requested by a Holder, cooperate with such Holder to facilitate the timely preparation and delivery of book entry notifications setting out the ownership of the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3(j) to suspend the availability of a Registration Statement and Prospectus for a period not to exceed an aggregate of 90 calendar days (which need not be consecutive days) in any 12- month period.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(k)            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            The Company may require each selling Holder to furnish to the Company a certified statement as to the number of shares of Common Stock beneficially owned by such Holder and, if required by the SEC,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b w:val="1"/>
          <w:bCs w:val="1"/>
          <w:color w:val="auto"/>
        </w:rPr>
        <w:t>4.              REGISTRATION EXPENSES.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SEC, (B) with respect to filings required to be made with any Eligible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1933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              INDEMNIFICATION.</w:t>
      </w:r>
    </w:p>
    <w:p>
      <w:pPr>
        <w:spacing w:after="0" w:line="229"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1933 Act or Section 20 of the 1934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“Losses”),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1933 Act, the 1934 Act or any state securities law, or any rule or regulation thereunder, in connection with the performance of its obligations under this Agreement, except to the extent, but only to the extent, that</w:t>
      </w:r>
    </w:p>
    <w:p>
      <w:pPr>
        <w:spacing w:after="0" w:line="12" w:lineRule="exact"/>
        <w:rPr>
          <w:sz w:val="20"/>
          <w:szCs w:val="20"/>
          <w:color w:val="auto"/>
        </w:rPr>
      </w:pPr>
    </w:p>
    <w:p>
      <w:pPr>
        <w:jc w:val="both"/>
        <w:ind w:left="660" w:hanging="4"/>
        <w:spacing w:after="0" w:line="250" w:lineRule="auto"/>
        <w:tabs>
          <w:tab w:leader="none" w:pos="8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w:t>
      </w:r>
    </w:p>
    <w:p>
      <w:pPr>
        <w:spacing w:after="0" w:line="1"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4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1933 Act and Section 20 of the 1934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9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“Indemnified Party”), such Indemnified Party shall promptly notify the Person from whom indemnity is sought (the “Indemnifying Party”)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thirty (30)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              MISCELLANEOUS.</w:t>
      </w:r>
    </w:p>
    <w:p>
      <w:pPr>
        <w:spacing w:after="0" w:line="22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“Advice”) by the Company that the use of the applicable Prospectus (as it may have been supplemented or amended) may be resumed. The Company will use its reasonable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6(c). No consideration shall be offered or paid to any Person to amend or consent to a waiver or modification of any provision of this Agreement unless the same consideration also is offered to all of the parties to this Agreement.</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2(g) of the Purchase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8" w:name="page69"/>
    <w:bookmarkEnd w:id="6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applicable provisions of the Purchase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3007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Holders follows.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Holders to Presto Automation Inc. RRA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66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Holder: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5"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Holders to Presto Automation Inc. RRA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1933 Act in connection with such sales. In such event, any commissions received by such broker-dealers or agents and any profit on the resale of the securities purchased by them may be deemed to be underwriting commissions or discounts under the 1933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1933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1933 Act or any other rule of similar effect or (ii) all of the securities have been sold pursuant to this prospectus or Rule 144 under the 1933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1934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1934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1933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common stock being offered by the selling shareholders are those issuable to the selling shareholders pursuant to the terms of certain of the Company’s promissory notes. For additional information regarding the issuances of those notes, see “Private Placement of Notes” above. We are registering the shares of common stock in order to permit the selling shareholders to offer the shares for resale from time to time. Except for the ownership of the notes, the selling shareholders have not had any material relationship with us within the past three years.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our shares of common stock by each of the selling shareholders. The second column lists the number of shares of common stock beneficially owned by each selling shareholder, based on its ownership of the notes, as of [●], 2024, assuming the conversion of the notes held by the selling shareholders on that date, without regard to any limitations on exercises.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shareholders, this prospectus generally covers the resale of the maximum number of shares of common stock issuable pursuant to the notes, determined as if the notes were converted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conversion or exercise, as applicable, in the notes. The fourth column assumes the sale of all of the shares offered by the selling shareholders pursuant to this prospectus.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 of Selling</w:t>
            </w:r>
          </w:p>
        </w:tc>
        <w:tc>
          <w:tcPr>
            <w:tcW w:w="2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Number of shares of</w:t>
            </w:r>
          </w:p>
        </w:tc>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Maximum Number of</w:t>
            </w:r>
          </w:p>
        </w:tc>
        <w:tc>
          <w:tcPr>
            <w:tcW w:w="35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Number of shares of</w:t>
            </w:r>
          </w:p>
        </w:tc>
      </w:tr>
      <w:tr>
        <w:trPr>
          <w:trHeight w:val="216"/>
        </w:trPr>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w:t>
            </w:r>
          </w:p>
        </w:tc>
        <w:tc>
          <w:tcPr>
            <w:tcW w:w="2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Common Stock</w:t>
            </w:r>
          </w:p>
        </w:tc>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shares of Common</w:t>
            </w:r>
          </w:p>
        </w:tc>
        <w:tc>
          <w:tcPr>
            <w:tcW w:w="35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 Stock Owned</w:t>
            </w:r>
          </w:p>
        </w:tc>
      </w:tr>
      <w:tr>
        <w:trPr>
          <w:trHeight w:val="216"/>
        </w:trPr>
        <w:tc>
          <w:tcPr>
            <w:tcW w:w="2000" w:type="dxa"/>
            <w:vAlign w:val="bottom"/>
          </w:tcPr>
          <w:p>
            <w:pPr>
              <w:spacing w:after="0"/>
              <w:rPr>
                <w:sz w:val="18"/>
                <w:szCs w:val="18"/>
                <w:color w:val="auto"/>
              </w:rPr>
            </w:pPr>
          </w:p>
        </w:tc>
        <w:tc>
          <w:tcPr>
            <w:tcW w:w="2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Owned Prior to</w:t>
            </w:r>
          </w:p>
        </w:tc>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to be Sold</w:t>
            </w:r>
          </w:p>
        </w:tc>
        <w:tc>
          <w:tcPr>
            <w:tcW w:w="35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After Offering</w:t>
            </w:r>
          </w:p>
        </w:tc>
      </w:tr>
      <w:tr>
        <w:trPr>
          <w:trHeight w:val="216"/>
        </w:trPr>
        <w:tc>
          <w:tcPr>
            <w:tcW w:w="2000" w:type="dxa"/>
            <w:vAlign w:val="bottom"/>
          </w:tcPr>
          <w:p>
            <w:pPr>
              <w:spacing w:after="0"/>
              <w:rPr>
                <w:sz w:val="18"/>
                <w:szCs w:val="18"/>
                <w:color w:val="auto"/>
              </w:rPr>
            </w:pPr>
          </w:p>
        </w:tc>
        <w:tc>
          <w:tcPr>
            <w:tcW w:w="2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Offering</w:t>
            </w:r>
          </w:p>
        </w:tc>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Pursuant to this</w:t>
            </w:r>
          </w:p>
        </w:tc>
        <w:tc>
          <w:tcPr>
            <w:tcW w:w="354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Prospectus</w:t>
            </w:r>
          </w:p>
        </w:tc>
        <w:tc>
          <w:tcPr>
            <w:tcW w:w="3540" w:type="dxa"/>
            <w:vAlign w:val="bottom"/>
          </w:tcPr>
          <w:p>
            <w:pPr>
              <w:spacing w:after="0"/>
              <w:rPr>
                <w:sz w:val="20"/>
                <w:szCs w:val="20"/>
                <w:color w:val="auto"/>
              </w:rPr>
            </w:pPr>
          </w:p>
        </w:tc>
      </w:tr>
      <w:tr>
        <w:trPr>
          <w:trHeight w:val="648"/>
        </w:trPr>
        <w:tc>
          <w:tcPr>
            <w:tcW w:w="20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16</w:t>
            </w: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beneficial owner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Presto Automation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9"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225" w:lineRule="exact"/>
        <w:rPr>
          <w:rFonts w:ascii="Times New Roman" w:cs="Times New Roman" w:eastAsia="Times New Roman" w:hAnsi="Times New Roman"/>
          <w:sz w:val="18"/>
          <w:szCs w:val="18"/>
          <w:color w:val="auto"/>
        </w:rPr>
      </w:pPr>
    </w:p>
    <w:p>
      <w:pPr>
        <w:ind w:left="1300" w:right="7000" w:hanging="644"/>
        <w:spacing w:after="0" w:line="500"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 [●]</w:t>
      </w:r>
    </w:p>
    <w:p>
      <w:pPr>
        <w:spacing w:after="0" w:line="1" w:lineRule="exact"/>
        <w:rPr>
          <w:rFonts w:ascii="Times New Roman" w:cs="Times New Roman" w:eastAsia="Times New Roman" w:hAnsi="Times New Roman"/>
          <w:sz w:val="18"/>
          <w:szCs w:val="18"/>
          <w:color w:val="auto"/>
        </w:rPr>
      </w:pPr>
    </w:p>
    <w:p>
      <w:pPr>
        <w:ind w:left="1300" w:right="1640" w:hanging="644"/>
        <w:spacing w:after="0" w:line="500"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 [●]</w:t>
      </w:r>
    </w:p>
    <w:p>
      <w:pPr>
        <w:spacing w:after="0" w:line="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to Selling Stockholder: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Contact Person: [●]</w:t>
      </w:r>
    </w:p>
    <w:p>
      <w:pPr>
        <w:spacing w:after="0" w:line="22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 Status: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If “no” to Section 3(b), the SEC’s staff has indicated that you should be identified as an underwriter in the Registration Statement.</w:t>
      </w:r>
    </w:p>
    <w:p>
      <w:pPr>
        <w:spacing w:after="0" w:line="225"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left="130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If “no” to Section 3(d), the SEC’s staff has indicated that you should be identified as an underwriter in the Registration Statement.</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Securities of the Company Owned by the Selling Stockholder.</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in this Item 4, the undersigned is not the beneficial or registered owner of any securities of the Company other than the securities issuable pursuant to the Purchase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PLEASE EMAIL A COPY OF THE COMPLETED AND EXECUTED NOTICE AND QUESTIONNAIRE TO:</w:t>
      </w: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FIFTH AMENDMENT TO CREDIT AGREEMENT AND ACKNOWLEDGMENT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Fifth Amendment to Credit Agreement and Acknowledgement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dated as of January 31, 2024, is by and among </w:t>
      </w:r>
      <w:r>
        <w:rPr>
          <w:rFonts w:ascii="Times New Roman" w:cs="Times New Roman" w:eastAsia="Times New Roman" w:hAnsi="Times New Roman"/>
          <w:sz w:val="18"/>
          <w:szCs w:val="18"/>
          <w:b w:val="1"/>
          <w:bCs w:val="1"/>
          <w:color w:val="auto"/>
        </w:rPr>
        <w:t>PRESTO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AUTOMATION LLC </w:t>
      </w:r>
      <w:r>
        <w:rPr>
          <w:rFonts w:ascii="Times New Roman" w:cs="Times New Roman" w:eastAsia="Times New Roman" w:hAnsi="Times New Roman"/>
          <w:sz w:val="18"/>
          <w:szCs w:val="18"/>
          <w:color w:val="auto"/>
        </w:rPr>
        <w:t>(f/k/a E La Carte, LLC, f/k/a Ventoux Merger Sub II LLC) a Delaware limited liability company (“</w:t>
      </w:r>
      <w:r>
        <w:rPr>
          <w:rFonts w:ascii="Times New Roman" w:cs="Times New Roman" w:eastAsia="Times New Roman" w:hAnsi="Times New Roman"/>
          <w:sz w:val="18"/>
          <w:szCs w:val="18"/>
          <w:u w:val="single" w:color="auto"/>
          <w:color w:val="auto"/>
        </w:rPr>
        <w:t>Presto</w:t>
      </w:r>
      <w:r>
        <w:rPr>
          <w:rFonts w:ascii="Times New Roman" w:cs="Times New Roman" w:eastAsia="Times New Roman" w:hAnsi="Times New Roman"/>
          <w:sz w:val="18"/>
          <w:szCs w:val="18"/>
          <w:color w:val="auto"/>
        </w:rPr>
        <w:t>”), each other Person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as a “Borrower” from time to time (each such Person, together with Presto, individually and collectively,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PRESTO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AUTOMATION INC. </w:t>
      </w:r>
      <w:r>
        <w:rPr>
          <w:rFonts w:ascii="Times New Roman" w:cs="Times New Roman" w:eastAsia="Times New Roman" w:hAnsi="Times New Roman"/>
          <w:sz w:val="18"/>
          <w:szCs w:val="18"/>
          <w:color w:val="auto"/>
        </w:rPr>
        <w:t>(f/k/a Ventoux CCM Acquisition Corp.),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together with each other Guarantor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party hereto,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together with Borrower, each a “</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each of the financial institutions from time to time party hereto (individually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METROPOLITAN PARTNERS GROUP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ADMINISTRATION, LLC</w:t>
      </w:r>
      <w:r>
        <w:rPr>
          <w:rFonts w:ascii="Times New Roman" w:cs="Times New Roman" w:eastAsia="Times New Roman" w:hAnsi="Times New Roman"/>
          <w:sz w:val="18"/>
          <w:szCs w:val="18"/>
          <w:color w:val="auto"/>
        </w:rPr>
        <w:t>, a Delaware limited liability company, as administrative, payment and collateral agent for the Lenders (in such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solely for purposes of Sections 10, 12, 13 and 16 through 19, the Significant Stakeholders (as defined below).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Parent, Agent, and the Lenders are party to that certain Credit Agreement dated as of September 21, 2022, as amended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certain Waiver and First Amendment to Credit Agreement dated as of March 31, 2023, that certain Second Amendment to Credit Agreement, dated as of May 22, 2023, that certain Third Amendment to Credit Agreement, dated as of October 10, 2023 and that certain Forbearance and Fourth Amendment to Credit Agreement, dated as of January 22, 2024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Loan Parties have informed the Agent and the Lenders that the Loan Parties anticipate an upcoming Event of Default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7.1(c)(i) of the Credit Agreement resulting from the Loan Parties’ failure to comply with the covenant set forth in Section 6.17(c) of the Credit Agreement for the period ending January 31, 2024 (the “</w:t>
      </w:r>
      <w:r>
        <w:rPr>
          <w:rFonts w:ascii="Times New Roman" w:cs="Times New Roman" w:eastAsia="Times New Roman" w:hAnsi="Times New Roman"/>
          <w:sz w:val="18"/>
          <w:szCs w:val="18"/>
          <w:u w:val="single" w:color="auto"/>
          <w:color w:val="auto"/>
        </w:rPr>
        <w:t>Additional Anticipated Default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Loan Parties have requested that Agent and Lenders (i) forbear from the Additional Anticipated Default and (ii) amend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Credit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Loan Parties have agreed to do so on the terms and conditions set forth herein; and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desire to enter into this Amendment to, among other things</w:t>
      </w:r>
      <w:r>
        <w:rPr>
          <w:rFonts w:ascii="Times New Roman" w:cs="Times New Roman" w:eastAsia="Times New Roman" w:hAnsi="Times New Roman"/>
          <w:sz w:val="18"/>
          <w:szCs w:val="18"/>
          <w:color w:val="231F1F"/>
        </w:rPr>
        <w:t>, amend and restate certain provisions of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1F"/>
        </w:rPr>
        <w:t>Agreement as further described below.</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terms, conditions and covenants set forth below,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of which is hereby acknowledged, the parties, intending to be legally bound hereby, promise and agree as follows. Capitalized terms used but not otherwise defined herein shall have the meanings given to such terms in the Credit Agreement as amended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Additional Anticipated Default</w:t>
      </w:r>
      <w:r>
        <w:rPr>
          <w:rFonts w:ascii="Times New Roman" w:cs="Times New Roman" w:eastAsia="Times New Roman" w:hAnsi="Times New Roman"/>
          <w:sz w:val="18"/>
          <w:szCs w:val="18"/>
          <w:color w:val="auto"/>
        </w:rPr>
        <w:t>. Each of the parties hereto acknowledges and agrees that (i) the Additional Anticipated Default will be an Event of Default under the Credit Agreement, and (ii) upon the occurrence of the Additional Anticipated Default, the Agent and the Lenders will be entitled to exercise their respective rights and remedies under the Loan Documents, applicable law, or otherwise. Subject to the terms and conditions in the Fourth Amendment, this Amendment and the other Loan Documents, the Agent and the Lenders hereby agree that the Additional Anticipated Default shall constitute an “Anticipated Default” and a “Forbearance Default” under the Fourth Amendment and the other Loan Documents The Agent and the Lenders have not waived and do not intend to waive the Additional Anticipated Default, and nothing contained herein or the transactions contemplated hereby shall be deemed to constitute such a waiver.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Amendments to Loan Documents</w:t>
      </w:r>
      <w:r>
        <w:rPr>
          <w:rFonts w:ascii="Times New Roman" w:cs="Times New Roman" w:eastAsia="Times New Roman" w:hAnsi="Times New Roman"/>
          <w:sz w:val="18"/>
          <w:szCs w:val="18"/>
          <w:color w:val="auto"/>
        </w:rPr>
        <w:t xml:space="preserve">. Upon satisfaction of the conditions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and in reliance upon the Loan Parties’ representations and warranties set forth in the Credit Agreement and this Amendment, the Loan Parties, Agent and the Lenders agree as follows: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Each of the amendments to the Credit Agreement set forth in Section 8(i)(1), (2), (3) and (5) of the Fourth Amendment shall become effective, and the Credit Agreement shall be deemed amended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reference to “February 29, 2024” in Section 8(i)(1) of the Fourth Amendment shall be deleted and replaced with “March 8, 2024”.</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          The definition of “Change of Control” shall be amended and restated by deleting the text thereof in its entirety and replacing it with:</w:t>
      </w:r>
    </w:p>
    <w:p>
      <w:pPr>
        <w:spacing w:after="0" w:line="221"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(i) a consolidation or merger of any Loan Party with or into any other corporation or other Person, or any other corporate reorganization, other than any such consolidation, merger or reorganization in which the shares of capital stock of the applicable Loan Party immediately prior to such consolidation, merger or reorganization continue to represent a majority of the voting power of the surviving entity immediately after such consolidation, merger or reorganization; (ii) any transaction or series of related transactions to which any Loan Party is a party in which in excess of 20% of any Loan Party’s voting power is transferred; (iii) any transaction or series of transactions in which a “person” or a “group” (as such terms are used in Sections 13(d) and 14(d) of the Exchange Act) shall (A) become, or obtain rights (whether by means of common stock, warrants options or otherwise) to become, the “beneficial owner” (as defined in Rules 13(d)-3 and 13(d)-5 under the Exchange Act), directly or indirectly, of 25% or more of the ordinary voting power or economic interests of any Loan Party (determined on a fully diluted basis) or (B) have obtained the power (whether exercised or not) to elect a majority of the members of the board of directors (or any similar Governing Body) of any Loan Party, as applicable;</w:t>
      </w:r>
    </w:p>
    <w:p>
      <w:pPr>
        <w:jc w:val="both"/>
        <w:ind w:left="1300" w:firstLine="4"/>
        <w:spacing w:after="0" w:line="252" w:lineRule="auto"/>
        <w:tabs>
          <w:tab w:leader="none" w:pos="16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transfer of all or substantially all of any Loan Party’s assets (individually or taken as a whole), or the exclusive license of all or substantially all of the any Loan Party’s material assets and/or material intellectual property (in each case, individually or taken as a whole); (v) Parent shall cease to beneficially own and control, on a fully diluted basis, 100% of the Equity Interests (including all economic and voting interests associated therewith) of the Borrower; or (vi) the Borrower shall cease to beneficially own and control, on a fully diluted basis, 100% of the Equity Interests (including all economic and voting interests associated therewith) of each of its Subsidiaries and the Collateral (except to the extent disposed of in accordance with the terms of this agreement and the other Loan Documents).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(c)          The definition of “Subordinated Debt” shall be amended and restated by deleting the text thereof in its entirety and replacing it with:</w:t>
      </w:r>
    </w:p>
    <w:p>
      <w:pPr>
        <w:spacing w:after="0" w:line="221"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Subordinated Indebtedness</w:t>
      </w:r>
      <w:r>
        <w:rPr>
          <w:rFonts w:ascii="Times New Roman" w:cs="Times New Roman" w:eastAsia="Times New Roman" w:hAnsi="Times New Roman"/>
          <w:sz w:val="18"/>
          <w:szCs w:val="18"/>
          <w:color w:val="auto"/>
        </w:rPr>
        <w:t>”: unsecured Indebtedness incurred with the prior written consent of the Agent in its sole discretion, the payment of which is subordinated as to right and time of payment and as to other rights and remedies thereunder and having such subordination and other terms as are, in each case, satisfactory to Agent in its sole discretion, including, without limitation, the January 2024 Parent Notes.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definition of “Warrants” shall be amended and restated by deleting the text thereof in its entirety and replacing it with:</w:t>
      </w:r>
    </w:p>
    <w:p>
      <w:pPr>
        <w:spacing w:after="0" w:line="221"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individually and collectively, the Closing Date Warrants, the First Amendment Warrants, the Conversion Warrants, the Second Amendment Warrants, the Third Amendment Warrants, the Third Amendment Conversion Warrants, and the Fifth Amendment Warrants, as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The following definition shall be inserted in appropriate alphabetical order:</w:t>
      </w:r>
    </w:p>
    <w:p>
      <w:pPr>
        <w:spacing w:after="0" w:line="221" w:lineRule="exact"/>
        <w:rPr>
          <w:sz w:val="20"/>
          <w:szCs w:val="20"/>
          <w:color w:val="auto"/>
        </w:rPr>
      </w:pPr>
    </w:p>
    <w:p>
      <w:pPr>
        <w:jc w:val="both"/>
        <w:ind w:left="64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Fifth Amendment</w:t>
      </w:r>
      <w:r>
        <w:rPr>
          <w:rFonts w:ascii="Times New Roman" w:cs="Times New Roman" w:eastAsia="Times New Roman" w:hAnsi="Times New Roman"/>
          <w:sz w:val="18"/>
          <w:szCs w:val="18"/>
          <w:color w:val="auto"/>
        </w:rPr>
        <w:t>”: that certain Fifth Amendment to Credit Agreement, dated as of the Fifth Amendment Effective Date between the Agent, the Lenders, the Loan Parties and the Significant Stakeholders (as defined therein).</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Fifth Amendment Effective Date</w:t>
      </w:r>
      <w:r>
        <w:rPr>
          <w:rFonts w:ascii="Times New Roman" w:cs="Times New Roman" w:eastAsia="Times New Roman" w:hAnsi="Times New Roman"/>
          <w:sz w:val="18"/>
          <w:szCs w:val="18"/>
          <w:color w:val="auto"/>
        </w:rPr>
        <w:t>”: January 30, 2024.</w:t>
      </w:r>
    </w:p>
    <w:p>
      <w:pPr>
        <w:spacing w:after="0" w:line="225"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Fifth Amendment Warrants</w:t>
      </w:r>
      <w:r>
        <w:rPr>
          <w:rFonts w:ascii="Times New Roman" w:cs="Times New Roman" w:eastAsia="Times New Roman" w:hAnsi="Times New Roman"/>
          <w:sz w:val="18"/>
          <w:szCs w:val="18"/>
          <w:color w:val="auto"/>
        </w:rPr>
        <w:t>”: those certain warrants to purchase, in the aggregate, 5,323,298 shares of the Parent’s common stock at a purchase price of $0.01 per share, issued by Parent in accordance with Section 8(i)(4) of the Fourth Amendment, as may be amended, restated, supplemented or otherwise modified from time to time.</w:t>
      </w:r>
    </w:p>
    <w:p>
      <w:pPr>
        <w:spacing w:after="0" w:line="39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0" w:name="page81"/>
    <w:bookmarkEnd w:id="80"/>
    <w:p>
      <w:pPr>
        <w:ind w:lef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January 2024 Parent Notes</w:t>
      </w:r>
      <w:r>
        <w:rPr>
          <w:rFonts w:ascii="Times New Roman" w:cs="Times New Roman" w:eastAsia="Times New Roman" w:hAnsi="Times New Roman"/>
          <w:sz w:val="18"/>
          <w:szCs w:val="18"/>
          <w:color w:val="auto"/>
        </w:rPr>
        <w:t>”: those certain Convertible Subordinated Notes in the aggregate initial principal amount of $9,000,000, issued by the Parent on January 30,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Section 5.1(i) of the Credit Agreement shall be amended and restated by deleting the text thereof in its entirety and replacing it with:</w:t>
      </w:r>
    </w:p>
    <w:p>
      <w:pPr>
        <w:spacing w:after="0" w:line="225" w:lineRule="exact"/>
        <w:rPr>
          <w:sz w:val="20"/>
          <w:szCs w:val="20"/>
          <w:color w:val="auto"/>
        </w:rPr>
      </w:pPr>
    </w:p>
    <w:p>
      <w:pPr>
        <w:jc w:val="both"/>
        <w:ind w:left="640" w:firstLine="4"/>
        <w:spacing w:after="0" w:line="255" w:lineRule="auto"/>
        <w:tabs>
          <w:tab w:leader="none" w:pos="8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by no later than Monday of each week, (i) an updated cash flow forecast for the Loan Parties and their Subsidiaries, by week and line item, showing the Loan Parties disbursements and expenses for the immediately upcoming thirteen (13) week period, in the form delivered to the Agent on the Fourth Amendment Effective Date, (ii) a report setting forth (A) for the immediately preceding calendar week (ending on the Sunday immediately preceding the applicable Monday reporting deadline) and</w:t>
      </w:r>
    </w:p>
    <w:p>
      <w:pPr>
        <w:spacing w:after="0" w:line="2"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for the cumulative period from the Fourth Amendment Effective Date through the immediately preceding Sunday, the actual and forecasted results for such calendar week and cumulative post-Fourth Amendment Effective Date time period, respectively, by line item in such Cash Flow Forecast, together with a reasonably detailed written explanation of all material variances (it being understood that a variance of at least 3% for any line item or in the aggregate shall be material for purposes hereof), (iii) an updated accounts payable aging report as of the close of business on the most recent Friday, together with a comparison to the most recently delivered aging report on a line item basis, and a calculation of the covenant set forth in </w:t>
      </w:r>
      <w:r>
        <w:rPr>
          <w:rFonts w:ascii="Times New Roman" w:cs="Times New Roman" w:eastAsia="Times New Roman" w:hAnsi="Times New Roman"/>
          <w:sz w:val="18"/>
          <w:szCs w:val="18"/>
          <w:u w:val="single" w:color="auto"/>
          <w:color w:val="auto"/>
        </w:rPr>
        <w:t>Section 6.17(b)</w:t>
      </w:r>
      <w:r>
        <w:rPr>
          <w:rFonts w:ascii="Times New Roman" w:cs="Times New Roman" w:eastAsia="Times New Roman" w:hAnsi="Times New Roman"/>
          <w:sz w:val="18"/>
          <w:szCs w:val="18"/>
          <w:color w:val="auto"/>
        </w:rPr>
        <w:t>, in form and substance satisfactory to the Agent, and (iv) a report of all Unrestricted Cash of the Loan Parties as of the close of business on the most recent Friday, in form and substance satisfactory to the Agent, including a comparison to the the Minimum Unrestricted Cash Amount.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Section 7.1(f) of the Credit Agreement shall be amended and restated by deleting the text thereof in its entirety and replacing it with:</w:t>
      </w:r>
    </w:p>
    <w:p>
      <w:pPr>
        <w:spacing w:after="0" w:line="225"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(f)            (i) the occurrence of any default or breach by Borrower or any Loan Party under the Nirvana Debt or any Subordinated Indebtedness, or any of the instruments or other documents executed in connection therewith and, in each case, such default or breach continues for more than any applicable grace period and permits the holder of any such indebtedness to accelerate the maturity thereof or cause a redemption thereof (whether or not the payment at maturity or upon such redemption is then permitted), (ii) the occurrence of any default or breach of any subordination agreements in respect of, or subordination provisions contained in, any Subordinated Indebtedness,</w:t>
      </w:r>
    </w:p>
    <w:p>
      <w:pPr>
        <w:spacing w:after="0" w:line="3" w:lineRule="exact"/>
        <w:rPr>
          <w:sz w:val="20"/>
          <w:szCs w:val="20"/>
          <w:color w:val="auto"/>
        </w:rPr>
      </w:pPr>
    </w:p>
    <w:p>
      <w:pPr>
        <w:ind w:left="640" w:firstLine="4"/>
        <w:spacing w:after="0" w:line="260" w:lineRule="auto"/>
        <w:tabs>
          <w:tab w:leader="none" w:pos="9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challenges any subordination agreement in respect of, or subordination provisions contained in, any Subordinated Indebtedness, or (iv) the January 2024 Parent Notes fail to constitute Parent Subordinated Indebtedness at any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Schedule C to the Fourth Amendment is amended and restated in its entirety as set forth on Exhibit 2(h).</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Acknowledgment</w:t>
      </w:r>
      <w:r>
        <w:rPr>
          <w:rFonts w:ascii="Times New Roman" w:cs="Times New Roman" w:eastAsia="Times New Roman" w:hAnsi="Times New Roman"/>
          <w:sz w:val="18"/>
          <w:szCs w:val="18"/>
          <w:color w:val="auto"/>
        </w:rPr>
        <w:t>. Each of the parties signatory hereto hereby acknowledge, confirm, and agree that: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receipt of gross cash proceeds of $6,000,000 in respect of those certain Convertible Subordinated Notes issued by the Parent in the aggregate initial principal amount of $9,000,000 on January 30, 2024 (the “J</w:t>
      </w:r>
      <w:r>
        <w:rPr>
          <w:rFonts w:ascii="Times New Roman" w:cs="Times New Roman" w:eastAsia="Times New Roman" w:hAnsi="Times New Roman"/>
          <w:sz w:val="18"/>
          <w:szCs w:val="18"/>
          <w:u w:val="single" w:color="auto"/>
          <w:color w:val="auto"/>
        </w:rPr>
        <w:t>anuary 2024 Parent Notes</w:t>
      </w:r>
      <w:r>
        <w:rPr>
          <w:rFonts w:ascii="Times New Roman" w:cs="Times New Roman" w:eastAsia="Times New Roman" w:hAnsi="Times New Roman"/>
          <w:sz w:val="18"/>
          <w:szCs w:val="18"/>
          <w:color w:val="auto"/>
        </w:rPr>
        <w:t>”) shall constitute $6,000,000 of gross cash proceeds in respect of a Capital Raise, pursuant to Section 8(i) of the Fourth Amendment;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solely in connection with the Capital Raise, pursuant to Section 12(i) of the Fourth Amendment and Section 5.19(b) of the Credit Agreement, Chardan Capital Markets LLC shall qualify as the “Investment Banker” in respect of the Capital Raise for purposes of the Fourth Amendment;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Loan Parties are unable to deliver the financial reporting required pursuant to Section 5.1(f) of the Credit Agreement which is due to be delivered in the calendar month ending January 31, 2024 (and not for any subsequent period or date of delivery), and such failure (solely for the month ending January 31, 2024 and not for any prior or subsequent period) is hereby waived by the Agent and the Lenders.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Shareholder Meeting of Parent</w:t>
      </w:r>
      <w:r>
        <w:rPr>
          <w:rFonts w:ascii="Times New Roman" w:cs="Times New Roman" w:eastAsia="Times New Roman" w:hAnsi="Times New Roman"/>
          <w:sz w:val="18"/>
          <w:szCs w:val="18"/>
          <w:color w:val="auto"/>
        </w:rPr>
        <w:t>. The Parent covenants and agrees that, on or prior to March 6, 2024, it shall cause a meeting of the shareholders of the Parent to take place, at which meeting the Parent shall seek approval of its shareholders to, among other things, (i) approve the issuance of certain shares issuable in connection with any securities subject to the 19.99% cap imposed by Nasdaq rules, including, without limitation, the Third Amendment Warrants, the Fifth Amendment Warrants and the January 2024 Parent Notes, and (ii) amend the Operating Documents of the Parent to increase the Parent’s authorized shares of its common stock to not less than 100,000,000,000 shares. The failure of such meeting of the shareholders of the Parent to occur on or before March 6, 2024 shall constitute an immediate Event of Default.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231F1F"/>
        </w:rPr>
        <w:t>Incorporation</w:t>
      </w:r>
      <w:r>
        <w:rPr>
          <w:rFonts w:ascii="Times New Roman" w:cs="Times New Roman" w:eastAsia="Times New Roman" w:hAnsi="Times New Roman"/>
          <w:sz w:val="18"/>
          <w:szCs w:val="18"/>
          <w:color w:val="231F1F"/>
        </w:rPr>
        <w:t>. This Amendment shall be a Loan Document (within the meaning of such term under the Credit Agreement), and shall inure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1F"/>
        </w:rPr>
        <w:t>the benefit of and be enforceable by the Agent and its successors and assigns. This Amendment and its attachments are hereby incorporated into the applicable Loan Document and made a part thereof.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Confirmation and Reaffirmation</w:t>
      </w:r>
      <w:r>
        <w:rPr>
          <w:rFonts w:ascii="Times New Roman" w:cs="Times New Roman" w:eastAsia="Times New Roman" w:hAnsi="Times New Roman"/>
          <w:sz w:val="18"/>
          <w:szCs w:val="18"/>
          <w:color w:val="auto"/>
        </w:rPr>
        <w:t>. The Loan Parties confirm that the Credit Agreement and each Loan Document is, and shall continue to be, in full force and effect. The Loan Parties further confirm and represents that the Collateral (within the meaning of such term under the Credit Agreement as amended hereby) remains free and clear of all Liens other than those in favor of Agent or as otherwise permitted in the Loan Documents. Nothing contained herein is intended to in any way impair or limit the validity, priority or extent of Agent’s security interest in and Liens upon the Collateral of any Loan Party. After giving effect to the amendments set forth herein, as of the date hereof, the outstanding principal balance of the Term Loan would be $51,723,666.35 and the accrued and unpaid interest thereon will be $688,212.72.</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Ratification</w:t>
      </w:r>
      <w:r>
        <w:rPr>
          <w:rFonts w:ascii="Times New Roman" w:cs="Times New Roman" w:eastAsia="Times New Roman" w:hAnsi="Times New Roman"/>
          <w:sz w:val="18"/>
          <w:szCs w:val="18"/>
          <w:color w:val="auto"/>
        </w:rPr>
        <w:t>. The terms and provisions set forth in this Amendment shall modify and supersede all inconsistent terms and provisions of the Credit Agreement, and shall not be deemed to be a consent to the modification or waiver of any other term or condition of the Credit Agreement or any other Loan Document. Except as expressly modified and superseded by this Amendment, the terms and provisions of the Credit Agreement and the other Loan Documents are ratified and confirmed and shall continue in full force and effect.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Conditions Precedent</w:t>
      </w:r>
      <w:r>
        <w:rPr>
          <w:rFonts w:ascii="Times New Roman" w:cs="Times New Roman" w:eastAsia="Times New Roman" w:hAnsi="Times New Roman"/>
          <w:sz w:val="18"/>
          <w:szCs w:val="18"/>
          <w:color w:val="auto"/>
        </w:rPr>
        <w:t>. This Amendment will become effective on the first date (the “</w:t>
      </w:r>
      <w:r>
        <w:rPr>
          <w:rFonts w:ascii="Times New Roman" w:cs="Times New Roman" w:eastAsia="Times New Roman" w:hAnsi="Times New Roman"/>
          <w:sz w:val="18"/>
          <w:szCs w:val="18"/>
          <w:u w:val="single" w:color="auto"/>
          <w:color w:val="auto"/>
        </w:rPr>
        <w:t>Fifth Amendment Effective Date</w:t>
      </w:r>
      <w:r>
        <w:rPr>
          <w:rFonts w:ascii="Times New Roman" w:cs="Times New Roman" w:eastAsia="Times New Roman" w:hAnsi="Times New Roman"/>
          <w:sz w:val="18"/>
          <w:szCs w:val="18"/>
          <w:color w:val="auto"/>
        </w:rPr>
        <w:t>”) that each of the following conditions precedent have been either satisfied or waived by the Agent in writing in its sole discretion: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Transaction Documents</w:t>
      </w:r>
      <w:r>
        <w:rPr>
          <w:rFonts w:ascii="Times New Roman" w:cs="Times New Roman" w:eastAsia="Times New Roman" w:hAnsi="Times New Roman"/>
          <w:sz w:val="18"/>
          <w:szCs w:val="18"/>
          <w:color w:val="auto"/>
        </w:rPr>
        <w:t>. Agent and the Lenders shall have received each of the following, each of which shall be in form and substance satisfactory to Agent and Lenders: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this Amendment, executed and delivered by Agent, each Lender, each Loan Party and each Significant Stakeholder (as defined below), as applicable;</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the Agent shall have received evidence satisfactory to it that Parent shall have received gross cash proceeds of the January 2024 Parent Notes in the amount of $6,000,000, which shall be contributed by Parent to Borrower to be used for working capital purposes and to pay fees, costs and expenses associated herewith and therewith;</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Concurrently with the closing and funding of the January 2024 Parent Notes, the Loan Parties shall have paid in cash all fees due as set forth in the Fee Letter to Agent and the reasonable expenses of the Agent and the Lenders, including, without limitation, the fees, costs and expenses of K&amp;L Gates LLP, as counsel to the Agent and the Lenders, by wire transfer of immediately available funds;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Forbearance Fee</w:t>
      </w:r>
      <w:r>
        <w:rPr>
          <w:rFonts w:ascii="Times New Roman" w:cs="Times New Roman" w:eastAsia="Times New Roman" w:hAnsi="Times New Roman"/>
          <w:sz w:val="18"/>
          <w:szCs w:val="18"/>
          <w:color w:val="auto"/>
        </w:rPr>
        <w:t>. Concurrently with the closing and funding of the January 2024 Parent Notes, the Loan Parties shall have paid the Forbearance Fee to the Agent in full, in cash, by wire transfer of immediately available funds.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Each of the representations and warranties made by each Loan Party in or pursuant to this Amendment are true and correct;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Default</w:t>
      </w:r>
      <w:r>
        <w:rPr>
          <w:rFonts w:ascii="Times New Roman" w:cs="Times New Roman" w:eastAsia="Times New Roman" w:hAnsi="Times New Roman"/>
          <w:sz w:val="18"/>
          <w:szCs w:val="18"/>
          <w:color w:val="auto"/>
        </w:rPr>
        <w:t>. Immediately after giving effect to this Amendment, no Default or Event of Default (other than the Forbearance Defaults, which remain outstanding) shall have occurred and be continuing as of or on such date that has not been waived by the Agent and the Lenders;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 Material Adverse Effect</w:t>
      </w:r>
      <w:r>
        <w:rPr>
          <w:rFonts w:ascii="Times New Roman" w:cs="Times New Roman" w:eastAsia="Times New Roman" w:hAnsi="Times New Roman"/>
          <w:sz w:val="18"/>
          <w:szCs w:val="18"/>
          <w:color w:val="auto"/>
        </w:rPr>
        <w:t>. There shall not have occurred since the Closing Date, any event or circumstance that has had or could be reasonably expected to have, individually or in the aggregate, a Material Adverse Effect;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firstLine="648"/>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Achievement of Milestones</w:t>
      </w:r>
      <w:r>
        <w:rPr>
          <w:rFonts w:ascii="Times New Roman" w:cs="Times New Roman" w:eastAsia="Times New Roman" w:hAnsi="Times New Roman"/>
          <w:sz w:val="18"/>
          <w:szCs w:val="18"/>
          <w:color w:val="auto"/>
        </w:rPr>
        <w:t>. With respect to the January 2024 Parent Notes, the conditions set forth in Sections 8(iv)(A), 8(iv)(B), 8(iv) (C) and 8(iv)(D) of the Fourth Amendment shall have been satisfied to the Agent’s satisfaction;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Additional Documents</w:t>
      </w:r>
      <w:r>
        <w:rPr>
          <w:rFonts w:ascii="Times New Roman" w:cs="Times New Roman" w:eastAsia="Times New Roman" w:hAnsi="Times New Roman"/>
          <w:sz w:val="18"/>
          <w:szCs w:val="18"/>
          <w:color w:val="auto"/>
        </w:rPr>
        <w:t>. The Lenders shall have received such documentation as Agent or any Lender shall reasonably request, all in form and substance satisfactory to the Agent and the Lenders;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Delivery of Fifth Amendment Warrants</w:t>
      </w:r>
      <w:r>
        <w:rPr>
          <w:rFonts w:ascii="Times New Roman" w:cs="Times New Roman" w:eastAsia="Times New Roman" w:hAnsi="Times New Roman"/>
          <w:sz w:val="17"/>
          <w:szCs w:val="17"/>
          <w:color w:val="auto"/>
        </w:rPr>
        <w:t>. The Loan Parties shall have delivered to the Agent and the Lenders the Fifth Amendment Warrants.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[Reserved]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Each Loan Party, and, with respect to clauses (b), (c) and (d), each Significant Stakeholder (for itself only, and not for any Loan Party), hereby represents and warrants that: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each of the representations and warranties made by or on behalf of such Loan Party to the Agent and Lenders in any of the Loan Documents was true and correct when made, and is true and correct in all material respects on and as of the date hereof (except for (x) representations and warranties which are already subject to materiality, which shall be true and correct in all respects, and those referring to an earlier date, which shall be true and correct in all material respects as of such date, (y) any representations and warranties that no Default or Event of Default exists, solely with respect to the Forbearance Defaults, and (z) those items specifically identified on Schedule C to the Fourth Amendment (as amended by this Amendment)), with the same full force and effect as if each of such representations and warranties had been made by such Loan Party on the date hereof and in this Amendment;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the consummation of the transactions contemplated by this </w:t>
      </w:r>
      <w:r>
        <w:rPr>
          <w:rFonts w:ascii="Times New Roman" w:cs="Times New Roman" w:eastAsia="Times New Roman" w:hAnsi="Times New Roman"/>
          <w:sz w:val="18"/>
          <w:szCs w:val="18"/>
          <w:color w:val="231F1F"/>
        </w:rPr>
        <w:t>Amendment</w:t>
      </w:r>
      <w:r>
        <w:rPr>
          <w:rFonts w:ascii="Times New Roman" w:cs="Times New Roman" w:eastAsia="Times New Roman" w:hAnsi="Times New Roman"/>
          <w:sz w:val="18"/>
          <w:szCs w:val="18"/>
          <w:color w:val="auto"/>
        </w:rPr>
        <w:t xml:space="preserve"> are within such party’s organizational powers and have been duly authorized by all necessary organizational actions and, if required, actions by equity holders;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the consummation of this Amendment does not and will not (i) require any consent or approval of, registration or filing with, or any other action by any Governmental Authority except such as have been obtained or made and are in full force and effect and except for filings necessary to perfect Liens created pursuant to the Loan Documents, (ii) violate any requirements of law applicable to any such party or any of its Subsidiaries except for such violations that would not reasonably be expected to result in a Material Adverse Effect, or (iii) violate the Operating Documents of any such party or any of their respective Subsidiaries;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          this Amendment has been duly executed and delivered by such party and is a legally valid and binding obligation of the parties party hereto, each enforceable against each of such parties, as applicable, in accordance with their respective terms, except as may be limited by bankruptcy, insolvency, reorganization, moratorium or other laws affecting, creditors’ rights generally and the effects of general principles of equity;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no Default or Event of Default has occurred or is continuing (other than the Forbearance Defaults, which remain outstanding).</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The Loan Parties agree to pay all reasonable costs and expenses in connection with the preparation, execution and delivery of this Amendment, including the fees and expenses of Agent’s legal counsel.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Release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In consideration of the agreements of the Agent and Lenders contained herein, and for other good and valuable consideration, the receipt and sufficiency of which are hereby acknowledged, each Loan Party, on behalf of itself and its past, present and future Subsidiaries, successors, assigns, managers, members, officers, directors, agents, employees, professionals and other representatives (solely in their capacity as such and not in any other capacity) (the “</w:t>
      </w:r>
      <w:r>
        <w:rPr>
          <w:rFonts w:ascii="Times New Roman" w:cs="Times New Roman" w:eastAsia="Times New Roman" w:hAnsi="Times New Roman"/>
          <w:sz w:val="18"/>
          <w:szCs w:val="18"/>
          <w:u w:val="single" w:color="auto"/>
          <w:color w:val="auto"/>
        </w:rPr>
        <w:t>Loan Party Releasing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Loan Party Releasing Party</w:t>
      </w:r>
      <w:r>
        <w:rPr>
          <w:rFonts w:ascii="Times New Roman" w:cs="Times New Roman" w:eastAsia="Times New Roman" w:hAnsi="Times New Roman"/>
          <w:sz w:val="18"/>
          <w:szCs w:val="18"/>
          <w:color w:val="auto"/>
        </w:rPr>
        <w:t>”), and each significant stakeholder identified on the signature pages hereto (each, a “</w:t>
      </w:r>
      <w:r>
        <w:rPr>
          <w:rFonts w:ascii="Times New Roman" w:cs="Times New Roman" w:eastAsia="Times New Roman" w:hAnsi="Times New Roman"/>
          <w:sz w:val="18"/>
          <w:szCs w:val="18"/>
          <w:u w:val="single" w:color="auto"/>
          <w:color w:val="auto"/>
        </w:rPr>
        <w:t>Significant Stakeholder</w:t>
      </w:r>
      <w:r>
        <w:rPr>
          <w:rFonts w:ascii="Times New Roman" w:cs="Times New Roman" w:eastAsia="Times New Roman" w:hAnsi="Times New Roman"/>
          <w:sz w:val="18"/>
          <w:szCs w:val="18"/>
          <w:color w:val="auto"/>
        </w:rPr>
        <w:t>”), on behalf of itself and its past, present and future successors and assigns (the “</w:t>
      </w:r>
      <w:r>
        <w:rPr>
          <w:rFonts w:ascii="Times New Roman" w:cs="Times New Roman" w:eastAsia="Times New Roman" w:hAnsi="Times New Roman"/>
          <w:sz w:val="18"/>
          <w:szCs w:val="18"/>
          <w:u w:val="single" w:color="auto"/>
          <w:color w:val="auto"/>
        </w:rPr>
        <w:t>Stockholder Releasing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Stockholder Releasing Party</w:t>
      </w:r>
      <w:r>
        <w:rPr>
          <w:rFonts w:ascii="Times New Roman" w:cs="Times New Roman" w:eastAsia="Times New Roman" w:hAnsi="Times New Roman"/>
          <w:sz w:val="18"/>
          <w:szCs w:val="18"/>
          <w:color w:val="auto"/>
        </w:rPr>
        <w:t>,” and together with the Loan Party Releasing Parties, the “</w:t>
      </w:r>
      <w:r>
        <w:rPr>
          <w:rFonts w:ascii="Times New Roman" w:cs="Times New Roman" w:eastAsia="Times New Roman" w:hAnsi="Times New Roman"/>
          <w:sz w:val="18"/>
          <w:szCs w:val="18"/>
          <w:u w:val="single" w:color="auto"/>
          <w:color w:val="auto"/>
        </w:rPr>
        <w:t>Releasing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Releasing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hereby absolutely, unconditionally, and irrevocably releases, remises, and forever discharges the Agent and each Lender and each of their respective past, present and future stockholders, members, partners, managers, principals, affiliates, subsidiaries, divisions, predecessors, directors, officers, attorneys, employees, professionals, agents, and other representatives, and their respective successors and assigns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Released Party</w:t>
      </w:r>
      <w:r>
        <w:rPr>
          <w:rFonts w:ascii="Times New Roman" w:cs="Times New Roman" w:eastAsia="Times New Roman" w:hAnsi="Times New Roman"/>
          <w:sz w:val="18"/>
          <w:szCs w:val="18"/>
          <w:color w:val="auto"/>
        </w:rPr>
        <w:t>”) of and from all demands, actions, causes of action, suits, covenants, contracts, controversies, agreements, promises, sums of money, accounts, bills, reckonings, damages, and any and all other claims, counterclaims, defenses, rights of set off, demands, and liabilities whatsoever (each, individually,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of every kind and nature, known or unknown, at law or in equity,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Released Parties, whether held in a personal or representative capacity, which any such Releasing Party may now or hereafter own, hold, have, or claim to have against any Released Party for, upon, or by reason of any circumstance, action, cause, omission, event or thing whatsoever which arises at any time on or prior to the date hereof, including, without limitation, for or on account of, or in relation to, or in any way in connection with this Amendment, the Loan Documents, or transactions contemplated hereunder or thereunder.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Each Releasing Party understands, acknowledges, confirms, and agrees that the release set forth above may be pleaded as a full and complete defense and may be used as a basis for an injunction against any action, suit, or other proceeding which may be instituted, prosecuted, or attempted in breach of the provisions of such release. Each of the parties acknowledges and agrees that the foregoing release is a material inducement to the Agent’s and the Lenders’ execution of this Amendment and, but for the foregoing release, the Agent and the Lenders would not be willing to enter into this Amendment.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Each Releasing Party agrees that no fact, event, circumstance, evidence, or transaction which could now be asserted or which may hereafter be discovered shall affect, in any manner, the final, absolute, and unconditional nature of the release set forth above.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Each Releasing Party covenants and agrees never to institute or cause to be instituted or continue prosecution of, or to support, cooperate with or induce any other Person in connection with, any suit or other form of action or proceeding of any kind or nature whatsoever against any Released Party by reason of or in connection with any of the Claims.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Each Releasing Party covenants and agrees that in any suit or other form of action or proceeding brought in violation of this Section 12,</w:t>
      </w:r>
    </w:p>
    <w:p>
      <w:pPr>
        <w:spacing w:after="0" w:line="27" w:lineRule="exact"/>
        <w:rPr>
          <w:sz w:val="20"/>
          <w:szCs w:val="20"/>
          <w:color w:val="auto"/>
        </w:rPr>
      </w:pPr>
    </w:p>
    <w:p>
      <w:pPr>
        <w:jc w:val="both"/>
        <w:ind w:firstLine="8"/>
        <w:spacing w:after="0" w:line="252" w:lineRule="auto"/>
        <w:tabs>
          <w:tab w:leader="none" w:pos="2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Released Parties shall be entitled to payment of all fees, costs and expenses (including fees, costs and expenses of attorneys) incurred in connection with such suit or other form of action or proceeding from the applicable Releasing Party, and (b) the Releasing Parties shall indemnify and hold harmless the Released Parties with respect thereto to the fullest extent provided to the Indemnitees under Section 8.5 of the Credit Agreement, which the signatories hereto each acknowledge and agree to be bound for purposes of this Amendment, as if fully set forth herein. Any such payments made pursuant to this Section 12(e) shall be made at the time such indemnified amounts are incurred, and in any event within ten (10) Business Days of written demand therefor. No obligations hereunder may be assigned without the prior written consent of the Agent.</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          Each Significant Stakeholder agrees that any notices to it under this Amendment shall be provided in the manner set forth in Section 8.2 of the Credit Agreement, to the address identified on Exhibit 12(f) hereof.</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Reviewed by Attorneys</w:t>
      </w:r>
      <w:r>
        <w:rPr>
          <w:rFonts w:ascii="Times New Roman" w:cs="Times New Roman" w:eastAsia="Times New Roman" w:hAnsi="Times New Roman"/>
          <w:sz w:val="18"/>
          <w:szCs w:val="18"/>
          <w:color w:val="auto"/>
        </w:rPr>
        <w:t>. Each Loan Party and each Significant Stakeholder represents and warrants to the Agent and each Lender that such party (i) understands fully the terms of this Amendment and the consequences of the execution and delivery of this Amendment, (ii) has been afforded the opportunity to discuss this Amendment with, and have this Amendment reviewed by, such attorneys and other persons as such party may wish, and (iii) has entered into this Amendment and executed and delivered all documents in connection here with of its own free will and accord and without threat, duress, or coercion of any kind by any person. Each Loan Party and each Significant Stakeholder acknowledges and agrees that neither this Amendment nor the other documents executed pursuant hereto shall be construed more favorably in favor of one party than another based upon which party drafted the same, it being acknowledged that all the parties hereto contributed substantially to the negotiation and preparation of this Amendment and the other documents executed pursuant hereto or in connection herewith.</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Except as expressly provided herein, nothing contained herein shall be construed as a waiver by any Lender or the Agent of any covenant or provision of the Loan Documents. Nothing contained herein shall constitute a waiver or forbearance of any Default or Event of Default now existing or hereafter occurring (other than the Agent’s and the Lenders’ Agreement to forbear with respect to the Forbearance Defaults, solely to the extent expressly set forth in the Fourth Amendment), or any of the Agent’s or any Lender’s rights or remedies in connection therewith. Failure of Agent or any Lender at any time or times hereafter to require strict performance by any party of any provision of the Loan Documents shall not waive, affect or diminish any right of Agent or any Lender with respect to any Default or Event of Default or to hereafter demand strict compliance with the Loan Documents. Agent and Lenders hereby reserve all rights granted under the Credit Agreement, the other Loan Documents, this Amendment and any other contract or instrument between any Person, on the one hand, and Agent or any Lender, on the other hand.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No Novation, etc.</w:t>
      </w:r>
      <w:r>
        <w:rPr>
          <w:rFonts w:ascii="Times New Roman" w:cs="Times New Roman" w:eastAsia="Times New Roman" w:hAnsi="Times New Roman"/>
          <w:sz w:val="18"/>
          <w:szCs w:val="18"/>
          <w:color w:val="auto"/>
        </w:rPr>
        <w:t xml:space="preserve"> This Amendment is not intended to be, nor shall it be construed to create, a novation or accord and satisfaction, and the Credit Agreement, as amended hereby, shall remain in full force and effect. Notwithstanding any prior mutual temporary disregard of any of the terms of the Credit Agreement, the parties agree that the terms of the Credit Agreement shall be strictly adhered to on and after the date hereof, except as expressly modified by this Amendment.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231F1F"/>
        </w:rPr>
        <w:t>Counterparts, Email and .pdf</w:t>
      </w:r>
      <w:r>
        <w:rPr>
          <w:rFonts w:ascii="Times New Roman" w:cs="Times New Roman" w:eastAsia="Times New Roman" w:hAnsi="Times New Roman"/>
          <w:sz w:val="18"/>
          <w:szCs w:val="18"/>
          <w:color w:val="231F1F"/>
        </w:rPr>
        <w:t>. Each of the parties hereto agree that at any time and from time to time, upon the written request of the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1F"/>
        </w:rPr>
        <w:t xml:space="preserve">it will execute and deliver such further documents and do such further acts as the Agent may reasonably request in accordance with the terms and conditions of the Loan Documents in order to effect the purposes of this Amendment. </w:t>
      </w:r>
      <w:r>
        <w:rPr>
          <w:rFonts w:ascii="Times New Roman" w:cs="Times New Roman" w:eastAsia="Times New Roman" w:hAnsi="Times New Roman"/>
          <w:sz w:val="18"/>
          <w:szCs w:val="18"/>
          <w:color w:val="000000"/>
        </w:rPr>
        <w:t>This Amendment (a) may be executed in two or more counterparts,</w:t>
      </w:r>
      <w:r>
        <w:rPr>
          <w:rFonts w:ascii="Times New Roman" w:cs="Times New Roman" w:eastAsia="Times New Roman" w:hAnsi="Times New Roman"/>
          <w:sz w:val="18"/>
          <w:szCs w:val="18"/>
          <w:color w:val="231F1F"/>
        </w:rPr>
        <w:t xml:space="preserve"> </w:t>
      </w:r>
      <w:r>
        <w:rPr>
          <w:rFonts w:ascii="Times New Roman" w:cs="Times New Roman" w:eastAsia="Times New Roman" w:hAnsi="Times New Roman"/>
          <w:sz w:val="18"/>
          <w:szCs w:val="18"/>
          <w:color w:val="000000"/>
        </w:rPr>
        <w:t>each of which shall constitute an original but all of which when taken together shall constitute one contract and (b) may, upon execution, be delivered by facsimile, electronic mail (including pdf) or as any electronic signature complying with the U.S. federal ESIGN Act of 2000 or the New York Electronic Signature and Records Act or any other similar state laws based on the Uniform Electronic Transactions Act or other transmission method and any counterpart so delivered shall be deemed to have been duly and validly delivered and electronic signatures or the keeping of records in electronic form shall be valid and effective for all purposes to the fullest extent permitted by applicable law.</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Relationship of Parties; No Third Party Beneficiaries</w:t>
      </w:r>
      <w:r>
        <w:rPr>
          <w:rFonts w:ascii="Times New Roman" w:cs="Times New Roman" w:eastAsia="Times New Roman" w:hAnsi="Times New Roman"/>
          <w:sz w:val="18"/>
          <w:szCs w:val="18"/>
          <w:color w:val="auto"/>
        </w:rPr>
        <w:t>. Nothing in this Amendment shall be construed to alter the existing debtor-creditor relationship between any Loan Party and any Lender. This Amendment is not intended, nor shall it be construed, to create a partnership or joint venture relationship between or among any of the parties hereto. No Person other than a party hereto is intended to be a beneficiary hereof and no Person other than a party hereto shall be authorized to rely upon or enforce the contents of this Amendment.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Amendment will be binding upon and inure to the benefit of the parties hereto and their respective successors and assigns.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231F1F"/>
        </w:rPr>
        <w:t>Governing Law</w:t>
      </w:r>
      <w:r>
        <w:rPr>
          <w:rFonts w:ascii="Times New Roman" w:cs="Times New Roman" w:eastAsia="Times New Roman" w:hAnsi="Times New Roman"/>
          <w:sz w:val="17"/>
          <w:szCs w:val="17"/>
          <w:color w:val="231F1F"/>
        </w:rPr>
        <w:t>. This Amendment shall be governed by and construed and enforced in accordance with the laws of the State of New York.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1F"/>
        </w:rPr>
        <w:t xml:space="preserve">The terms of Section 8.12 of the Credit Agreement are incorporated herein by reference, </w:t>
      </w:r>
      <w:r>
        <w:rPr>
          <w:rFonts w:ascii="Times New Roman" w:cs="Times New Roman" w:eastAsia="Times New Roman" w:hAnsi="Times New Roman"/>
          <w:sz w:val="18"/>
          <w:szCs w:val="18"/>
          <w:i w:val="1"/>
          <w:iCs w:val="1"/>
          <w:color w:val="231F1F"/>
        </w:rPr>
        <w:t>mutatis mutandis</w:t>
      </w:r>
      <w:r>
        <w:rPr>
          <w:rFonts w:ascii="Times New Roman" w:cs="Times New Roman" w:eastAsia="Times New Roman" w:hAnsi="Times New Roman"/>
          <w:sz w:val="18"/>
          <w:szCs w:val="18"/>
          <w:color w:val="231F1F"/>
        </w:rPr>
        <w:t>, and the parties hereto agree to such terms.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has caused this Amendment to be duly executed and delivered by its proper and duly authorized officer(s)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PRESTO AUTOMATION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(F/K/A E LA CARTE,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(F/K/A VENTOUX MERGER SUB II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(F/K/A VENTOUX CCM ACQUISITION CORP.)</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Fifth Amendment to Credit Agreement and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left="4520"/>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METROPOLITAN PARTNERS GROUP</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ADMINISTRATION,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Paul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 and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9" w:name="page90"/>
    <w:bookmarkEnd w:id="89"/>
    <w:p>
      <w:pPr>
        <w:ind w:left="4400"/>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METROPOLITAN LEVERED PARTNERS FUND VII, LP</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25"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18"/>
          <w:szCs w:val="18"/>
          <w:color w:val="auto"/>
        </w:rPr>
        <w:t>By:</w:t>
        <w:tab/>
        <w:t>/s/ 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33172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METROPOLITAN PARTNERS FUND VII, LP</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25"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18"/>
          <w:szCs w:val="18"/>
          <w:color w:val="auto"/>
        </w:rPr>
        <w:t>By:</w:t>
        <w:tab/>
        <w:t>/s/ 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33172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METROPOLITAN OFFSHORE PARTNERS FUND VII, LP</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25"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18"/>
          <w:szCs w:val="18"/>
          <w:color w:val="auto"/>
        </w:rPr>
        <w:t>By:</w:t>
        <w:tab/>
        <w:t>/s/ 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33172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CEOF HOLDINGS LP</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By: CORBIN CAPITAL PARTNERS, L.P., its Investment Manager:</w:t>
      </w:r>
    </w:p>
    <w:p>
      <w:pPr>
        <w:spacing w:after="0" w:line="237"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18"/>
          <w:szCs w:val="18"/>
          <w:color w:val="auto"/>
        </w:rPr>
        <w:t>By:</w:t>
        <w:tab/>
        <w:t>/s/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33172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Name:Daniel Friedman</w:t>
      </w:r>
    </w:p>
    <w:p>
      <w:pPr>
        <w:spacing w:after="0" w:line="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Signature Page to Fifth Amendment to Credit Agreement and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00"/>
          </w:cols>
          <w:pgMar w:left="1440" w:top="900" w:right="1159" w:bottom="1440" w:gutter="0" w:footer="0" w:header="0"/>
        </w:sectPr>
      </w:pPr>
    </w:p>
    <w:bookmarkStart w:id="90" w:name="page91"/>
    <w:bookmarkEnd w:id="90"/>
    <w:p>
      <w:pPr>
        <w:ind w:left="4520"/>
        <w:spacing w:after="0"/>
        <w:rPr>
          <w:sz w:val="20"/>
          <w:szCs w:val="20"/>
          <w:color w:val="auto"/>
        </w:rPr>
      </w:pPr>
      <w:r>
        <w:rPr>
          <w:rFonts w:ascii="Times New Roman" w:cs="Times New Roman" w:eastAsia="Times New Roman" w:hAnsi="Times New Roman"/>
          <w:sz w:val="18"/>
          <w:szCs w:val="18"/>
          <w:b w:val="1"/>
          <w:bCs w:val="1"/>
          <w:color w:val="auto"/>
        </w:rPr>
        <w:t>SIGNIFICANT STAKEHOLDERS: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ROMULUS CAPITAL 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Romulus Capital Partners I, LLC, its General Partner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ROMULUS CAPITAL 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Romulus Capital Partners II, LLC, its General Partner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ROMULUS CAPITAL III,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Romulus Capital Partners II, LLC, its General Partner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REMUS CAPITAL IV,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Remus Capital IV GP,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Fifth Amendment to Credit Agreement and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1" w:name="page92"/>
    <w:bookmarkEnd w:id="91"/>
    <w:p>
      <w:pPr>
        <w:ind w:left="4520"/>
        <w:spacing w:after="0"/>
        <w:rPr>
          <w:sz w:val="20"/>
          <w:szCs w:val="20"/>
          <w:color w:val="auto"/>
        </w:rPr>
      </w:pPr>
      <w:r>
        <w:rPr>
          <w:rFonts w:ascii="Times New Roman" w:cs="Times New Roman" w:eastAsia="Times New Roman" w:hAnsi="Times New Roman"/>
          <w:sz w:val="17"/>
          <w:szCs w:val="17"/>
          <w:color w:val="auto"/>
        </w:rPr>
        <w:t>ROMULUS ELC B3 SPECIAL OPPORTUNITY, L.P.</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Romulus GP, its General Partner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ZAFFRAN SPECIAL OPPORTUNITIES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KKG ENTERPRISES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PRESTO CA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Joseph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Joseph McCoy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REMUS CAPITAL SERIES B 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Remus Capital IV GP,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 and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2" w:name="page93"/>
    <w:bookmarkEnd w:id="92"/>
    <w:p>
      <w:pPr>
        <w:jc w:val="center"/>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Exhibit 2(h)</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Disclosures Regarding Select Representations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3.16 (Solvency)</w:t>
      </w:r>
      <w:r>
        <w:rPr>
          <w:rFonts w:ascii="Times New Roman" w:cs="Times New Roman" w:eastAsia="Times New Roman" w:hAnsi="Times New Roman"/>
          <w:sz w:val="18"/>
          <w:szCs w:val="18"/>
          <w:color w:val="auto"/>
        </w:rPr>
        <w:t xml:space="preserve"> - The Company refers the Agent to current financial information that the Company has provided regarding the Loan Parties’ 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388620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12(f)</w:t>
            </w:r>
          </w:p>
        </w:tc>
        <w:tc>
          <w:tcPr>
            <w:tcW w:w="5120" w:type="dxa"/>
            <w:vAlign w:val="bottom"/>
            <w:gridSpan w:val="2"/>
          </w:tcPr>
          <w:p>
            <w:pPr>
              <w:spacing w:after="0"/>
              <w:rPr>
                <w:sz w:val="17"/>
                <w:szCs w:val="17"/>
                <w:color w:val="auto"/>
              </w:rPr>
            </w:pPr>
          </w:p>
        </w:tc>
      </w:tr>
      <w:tr>
        <w:trPr>
          <w:trHeight w:val="412"/>
        </w:trPr>
        <w:tc>
          <w:tcPr>
            <w:tcW w:w="3600" w:type="dxa"/>
            <w:vAlign w:val="bottom"/>
          </w:tcPr>
          <w:p>
            <w:pPr>
              <w:spacing w:after="0"/>
              <w:rPr>
                <w:sz w:val="24"/>
                <w:szCs w:val="24"/>
                <w:color w:val="auto"/>
              </w:rPr>
            </w:pPr>
          </w:p>
        </w:tc>
        <w:tc>
          <w:tcPr>
            <w:tcW w:w="7640" w:type="dxa"/>
            <w:vAlign w:val="bottom"/>
            <w:gridSpan w:val="6"/>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Notice Address for Significant Stakeholders</w:t>
            </w:r>
          </w:p>
        </w:tc>
      </w:tr>
      <w:tr>
        <w:trPr>
          <w:trHeight w:val="237"/>
        </w:trPr>
        <w:tc>
          <w:tcPr>
            <w:tcW w:w="3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r>
      <w:tr>
        <w:trPr>
          <w:trHeight w:val="228"/>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Romulus Capital I, L.P.</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Romulus Capital II, L.P.</w:t>
            </w:r>
          </w:p>
        </w:tc>
      </w:tr>
      <w:tr>
        <w:trPr>
          <w:trHeight w:val="409"/>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 Arch Street, Boston, MA 02110</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101 Arch Street, Boston, MA 02110</w:t>
            </w:r>
          </w:p>
        </w:tc>
      </w:tr>
      <w:tr>
        <w:trPr>
          <w:trHeight w:val="216"/>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Attention: Krishna K. Gupta</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Attention: Krishna K. Gupta</w:t>
            </w:r>
          </w:p>
        </w:tc>
      </w:tr>
      <w:tr>
        <w:trPr>
          <w:trHeight w:val="234"/>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E-mail: krishnakgupta20@gmail.com</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E-mail: krishnakgupta20@gmail.com</w:t>
            </w:r>
          </w:p>
        </w:tc>
      </w:tr>
      <w:tr>
        <w:trPr>
          <w:trHeight w:val="68"/>
        </w:trPr>
        <w:tc>
          <w:tcPr>
            <w:tcW w:w="3600" w:type="dxa"/>
            <w:vAlign w:val="bottom"/>
            <w:tcBorders>
              <w:left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28"/>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Romulus Capital III, L.P.</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Remus Capital IV, L.P.</w:t>
            </w:r>
          </w:p>
        </w:tc>
      </w:tr>
      <w:tr>
        <w:trPr>
          <w:trHeight w:val="409"/>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 Arch Street, Boston, MA 02110</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101 Arch Street, Boston, MA 02110</w:t>
            </w:r>
          </w:p>
        </w:tc>
      </w:tr>
      <w:tr>
        <w:trPr>
          <w:trHeight w:val="216"/>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Attention: Krishna K. Gupta</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Attention: Krishna K. Gupta</w:t>
            </w:r>
          </w:p>
        </w:tc>
      </w:tr>
      <w:tr>
        <w:trPr>
          <w:trHeight w:val="234"/>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E-mail: krishnakgupta20@gmail.com</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E-mail: krishnakgupta20@gmail.com</w:t>
            </w:r>
          </w:p>
        </w:tc>
      </w:tr>
      <w:tr>
        <w:trPr>
          <w:trHeight w:val="68"/>
        </w:trPr>
        <w:tc>
          <w:tcPr>
            <w:tcW w:w="3600" w:type="dxa"/>
            <w:vAlign w:val="bottom"/>
            <w:tcBorders>
              <w:left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28"/>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Romulus ELC B3 Special Opportunity, L.P.</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Zaffran Special Opportunities LLC</w:t>
            </w:r>
          </w:p>
        </w:tc>
      </w:tr>
      <w:tr>
        <w:trPr>
          <w:trHeight w:val="409"/>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 Arch Street, Boston, MA 02110</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101 Arch Street, Boston, MA 02110</w:t>
            </w:r>
          </w:p>
        </w:tc>
      </w:tr>
      <w:tr>
        <w:trPr>
          <w:trHeight w:val="216"/>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Attention: Krishna K. Gupta</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Attention: Krishna K. Gupta</w:t>
            </w:r>
          </w:p>
        </w:tc>
      </w:tr>
      <w:tr>
        <w:trPr>
          <w:trHeight w:val="234"/>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E-mail: krishnakgupta20@gmail.com</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E-mail: krishnakgupta20@gmail.com</w:t>
            </w:r>
          </w:p>
        </w:tc>
      </w:tr>
      <w:tr>
        <w:trPr>
          <w:trHeight w:val="68"/>
        </w:trPr>
        <w:tc>
          <w:tcPr>
            <w:tcW w:w="3600" w:type="dxa"/>
            <w:vAlign w:val="bottom"/>
            <w:tcBorders>
              <w:left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28"/>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KKG Enterprises LLC</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Presto CA LLC</w:t>
            </w:r>
          </w:p>
        </w:tc>
      </w:tr>
      <w:tr>
        <w:trPr>
          <w:trHeight w:val="409"/>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 Arch Street, Boston, MA 02110</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222 N. Canal St., Chicago, IL 60606</w:t>
            </w:r>
          </w:p>
        </w:tc>
      </w:tr>
      <w:tr>
        <w:trPr>
          <w:trHeight w:val="216"/>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Attention: Krishna K. Gupta</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Attention: Joseph McCoy</w:t>
            </w:r>
          </w:p>
        </w:tc>
      </w:tr>
      <w:tr>
        <w:trPr>
          <w:trHeight w:val="234"/>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E-mail: krishnakgupta20@gmail.com</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E-mail: jmccoy@clevelandave.com</w:t>
            </w:r>
          </w:p>
        </w:tc>
      </w:tr>
      <w:tr>
        <w:trPr>
          <w:trHeight w:val="67"/>
        </w:trPr>
        <w:tc>
          <w:tcPr>
            <w:tcW w:w="3600" w:type="dxa"/>
            <w:vAlign w:val="bottom"/>
            <w:tcBorders>
              <w:left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28"/>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Remus Capital Series B II, L.P.</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r>
      <w:tr>
        <w:trPr>
          <w:trHeight w:val="409"/>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 Arch Street, Boston, MA 02110</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r>
      <w:tr>
        <w:trPr>
          <w:trHeight w:val="216"/>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Attention: Krishna K. Gupta</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r>
      <w:tr>
        <w:trPr>
          <w:trHeight w:val="234"/>
        </w:trPr>
        <w:tc>
          <w:tcPr>
            <w:tcW w:w="3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E-mail: krishnakgupta20@gmail.com</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r>
      <w:tr>
        <w:trPr>
          <w:trHeight w:val="67"/>
        </w:trPr>
        <w:tc>
          <w:tcPr>
            <w:tcW w:w="3600" w:type="dxa"/>
            <w:vAlign w:val="bottom"/>
            <w:tcBorders>
              <w:left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642"/>
        </w:trPr>
        <w:tc>
          <w:tcPr>
            <w:tcW w:w="3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4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2024-1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1,707,263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January 30, 2024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Metropolitan Levered Partners Fund VII, LP,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1,707,263 duly authorized, validly issued, fully paid, nonassessable shares of Common Stock,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18. The Warrant is being issued pursuant to Section 8(i)(4) of that certain Forbearance and Fourth Amendment to Credit Agreement, dated January 22, 2024, among Presto Automation LLC (f/k/a E La Carte, LLC, f/k/a Ventoux Merger Sub II LLC), the Company, Metropolitan Partners Group Administration, LLC, as agent, and the Lenders (as defined therein) (the “</w:t>
      </w:r>
      <w:r>
        <w:rPr>
          <w:rFonts w:ascii="Times New Roman" w:cs="Times New Roman" w:eastAsia="Times New Roman" w:hAnsi="Times New Roman"/>
          <w:sz w:val="18"/>
          <w:szCs w:val="18"/>
          <w:b w:val="1"/>
          <w:bCs w:val="1"/>
          <w:color w:val="auto"/>
        </w:rPr>
        <w:t>Forbearance Agreement</w:t>
      </w:r>
      <w:r>
        <w:rPr>
          <w:rFonts w:ascii="Times New Roman" w:cs="Times New Roman" w:eastAsia="Times New Roman" w:hAnsi="Times New Roman"/>
          <w:sz w:val="18"/>
          <w:szCs w:val="18"/>
          <w:color w:val="auto"/>
        </w:rPr>
        <w:t>”). Capitalized terms used herein and not otherwise defined shall have the definitions ascribed to such terms in the Forbearance Agreement or the Credit Agreement (as defined in the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5" w:name="page96"/>
    <w:bookmarkEnd w:id="95"/>
    <w:p>
      <w:pPr>
        <w:ind w:left="1960"/>
        <w:spacing w:after="0"/>
        <w:rPr>
          <w:sz w:val="20"/>
          <w:szCs w:val="20"/>
          <w:color w:val="auto"/>
        </w:rPr>
      </w:pPr>
      <w:r>
        <w:rPr>
          <w:rFonts w:ascii="Times New Roman" w:cs="Times New Roman" w:eastAsia="Times New Roman" w:hAnsi="Times New Roman"/>
          <w:sz w:val="18"/>
          <w:szCs w:val="18"/>
          <w:color w:val="auto"/>
        </w:rPr>
        <w:t>1.       EXERCISE OF WARRANT.</w:t>
      </w:r>
    </w:p>
    <w:p>
      <w:pPr>
        <w:spacing w:after="0" w:line="225" w:lineRule="exact"/>
        <w:rPr>
          <w:sz w:val="20"/>
          <w:szCs w:val="20"/>
          <w:color w:val="auto"/>
        </w:rPr>
      </w:pPr>
    </w:p>
    <w:p>
      <w:pPr>
        <w:jc w:val="both"/>
        <w:ind w:firstLine="2333"/>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third (3rd) Trading Day following the date on which the Company has received the Exercise Notice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23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$0.01, subject to adjustment as provided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7" w:lineRule="exact"/>
        <w:rPr>
          <w:sz w:val="20"/>
          <w:szCs w:val="20"/>
          <w:color w:val="auto"/>
        </w:rPr>
      </w:pPr>
    </w:p>
    <w:p>
      <w:pPr>
        <w:jc w:val="both"/>
        <w:ind w:firstLine="2333"/>
        <w:spacing w:after="0" w:line="25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ind w:firstLine="2333"/>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Forbearance Agreement.</w:t>
      </w:r>
    </w:p>
    <w:p>
      <w:pPr>
        <w:spacing w:after="0" w:line="176" w:lineRule="exact"/>
        <w:rPr>
          <w:sz w:val="20"/>
          <w:szCs w:val="20"/>
          <w:color w:val="auto"/>
        </w:rPr>
      </w:pPr>
    </w:p>
    <w:p>
      <w:pPr>
        <w:jc w:val="both"/>
        <w:ind w:firstLine="2333"/>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2333"/>
        <w:spacing w:after="0" w:line="267"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Limitations on Exercises</w:t>
      </w:r>
      <w:r>
        <w:rPr>
          <w:rFonts w:ascii="Times New Roman" w:cs="Times New Roman" w:eastAsia="Times New Roman" w:hAnsi="Times New Roman"/>
          <w:sz w:val="17"/>
          <w:szCs w:val="17"/>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7"/>
          <w:szCs w:val="17"/>
          <w:b w:val="1"/>
          <w:bCs w:val="1"/>
          <w:color w:val="auto"/>
        </w:rPr>
        <w:t>Reduction Shares</w:t>
      </w:r>
      <w:r>
        <w:rPr>
          <w:rFonts w:ascii="Times New Roman" w:cs="Times New Roman" w:eastAsia="Times New Roman" w:hAnsi="Times New Roman"/>
          <w:sz w:val="17"/>
          <w:szCs w:val="17"/>
          <w:color w:val="auto"/>
        </w:rPr>
        <w:t>”) and</w:t>
      </w:r>
    </w:p>
    <w:p>
      <w:pPr>
        <w:spacing w:after="0" w:line="203" w:lineRule="exact"/>
        <w:rPr>
          <w:sz w:val="20"/>
          <w:szCs w:val="20"/>
          <w:color w:val="auto"/>
        </w:rPr>
      </w:pPr>
    </w:p>
    <w:p>
      <w:pPr>
        <w:jc w:val="both"/>
        <w:ind w:firstLine="8"/>
        <w:spacing w:after="0" w:line="250" w:lineRule="auto"/>
        <w:tabs>
          <w:tab w:leader="none" w:pos="28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Forbearance Agreement (together with this Warrant, the “</w:t>
      </w:r>
      <w:r>
        <w:rPr>
          <w:rFonts w:ascii="Times New Roman" w:cs="Times New Roman" w:eastAsia="Times New Roman" w:hAnsi="Times New Roman"/>
          <w:sz w:val="18"/>
          <w:szCs w:val="18"/>
          <w:b w:val="1"/>
          <w:bCs w:val="1"/>
          <w:color w:val="auto"/>
        </w:rPr>
        <w:t>Forbearance Warrants</w:t>
      </w:r>
      <w:r>
        <w:rPr>
          <w:rFonts w:ascii="Times New Roman" w:cs="Times New Roman" w:eastAsia="Times New Roman" w:hAnsi="Times New Roman"/>
          <w:sz w:val="18"/>
          <w:szCs w:val="18"/>
          <w:color w:val="auto"/>
        </w:rPr>
        <w:t>”), together with the total number of shares of Common Stock issuable upon conversion of the Company’s Subordinated Convertible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sold by the Company on the date hereof to certain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may not exceed the requirements of Nasdaq Listing Rule 5635(d) (“</w:t>
      </w:r>
      <w:r>
        <w:rPr>
          <w:rFonts w:ascii="Times New Roman" w:cs="Times New Roman" w:eastAsia="Times New Roman" w:hAnsi="Times New Roman"/>
          <w:sz w:val="18"/>
          <w:szCs w:val="18"/>
          <w:b w:val="1"/>
          <w:bCs w:val="1"/>
          <w:color w:val="auto"/>
        </w:rPr>
        <w:t>Nasdaq 19.99%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issued to the holders of the Forbearance Warrants and the Notes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Forbearance Warrants and upon the conversion of the Notes, if necessary,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the conversion of the Notes shall be made between (x) the holders of the Forbearance Warrants, and (y) the Buyers as nearly as possible on a pro rata basis based on the total amount of shares of Common Stock issued or issuable to such party.</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2333"/>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and the failure to have such sufficient number of authorized and unreserved shares of Common Stock,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 (as defined in the Forbearance Agreement) or under any provision of the Forbearance Agreement.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ADJUSTMENT OF EXERCISE PRICE AND NUMBER OF WARRANT SHARES.</w:t>
      </w:r>
      <w:r>
        <w:rPr>
          <w:rFonts w:ascii="Times New Roman" w:cs="Times New Roman" w:eastAsia="Times New Roman" w:hAnsi="Times New Roman"/>
          <w:sz w:val="18"/>
          <w:szCs w:val="18"/>
          <w:color w:val="auto"/>
        </w:rPr>
        <w:t xml:space="preserve"> The Exercise Price and the number of Warrant Shares issuable upon exercise of this Warrant are subject to adjustments from time to time as set forth in this Section 2.</w:t>
      </w:r>
    </w:p>
    <w:p>
      <w:pPr>
        <w:spacing w:after="0" w:line="162" w:lineRule="exact"/>
        <w:rPr>
          <w:sz w:val="20"/>
          <w:szCs w:val="20"/>
          <w:color w:val="auto"/>
        </w:rPr>
      </w:pPr>
    </w:p>
    <w:p>
      <w:pPr>
        <w:jc w:val="both"/>
        <w:ind w:firstLine="2333"/>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Adjustment Upon Subdivision or Combination of Shares of Common Stock</w:t>
      </w:r>
      <w:r>
        <w:rPr>
          <w:rFonts w:ascii="Times New Roman" w:cs="Times New Roman" w:eastAsia="Times New Roman" w:hAnsi="Times New Roman"/>
          <w:sz w:val="18"/>
          <w:szCs w:val="18"/>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190" w:lineRule="exact"/>
        <w:rPr>
          <w:sz w:val="20"/>
          <w:szCs w:val="20"/>
          <w:color w:val="auto"/>
        </w:rPr>
      </w:pPr>
    </w:p>
    <w:p>
      <w:pPr>
        <w:jc w:val="both"/>
        <w:ind w:firstLine="2333"/>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Adjustment Upon Issuance of Shares of Common Stock</w:t>
      </w:r>
      <w:r>
        <w:rPr>
          <w:rFonts w:ascii="Times New Roman" w:cs="Times New Roman" w:eastAsia="Times New Roman" w:hAnsi="Times New Roman"/>
          <w:sz w:val="18"/>
          <w:szCs w:val="18"/>
          <w:color w:val="auto"/>
        </w:rPr>
        <w:t>. If and whenever on or after the Issuance Date but prior to April 1, 2024 (the “</w:t>
      </w:r>
      <w:r>
        <w:rPr>
          <w:rFonts w:ascii="Times New Roman" w:cs="Times New Roman" w:eastAsia="Times New Roman" w:hAnsi="Times New Roman"/>
          <w:sz w:val="18"/>
          <w:szCs w:val="18"/>
          <w:b w:val="1"/>
          <w:bCs w:val="1"/>
          <w:color w:val="auto"/>
        </w:rPr>
        <w:t>Anti-Dilution Period</w:t>
      </w:r>
      <w:r>
        <w:rPr>
          <w:rFonts w:ascii="Times New Roman" w:cs="Times New Roman" w:eastAsia="Times New Roman" w:hAnsi="Times New Roman"/>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$0.40 per share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and the foregoing a “</w:t>
      </w:r>
      <w:r>
        <w:rPr>
          <w:rFonts w:ascii="Times New Roman" w:cs="Times New Roman" w:eastAsia="Times New Roman" w:hAnsi="Times New Roman"/>
          <w:sz w:val="18"/>
          <w:szCs w:val="18"/>
          <w:b w:val="1"/>
          <w:bCs w:val="1"/>
          <w:color w:val="auto"/>
        </w:rPr>
        <w:t>Dilutive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w:t>
      </w:r>
      <w:r>
        <w:rPr>
          <w:rFonts w:ascii="Times New Roman" w:cs="Times New Roman" w:eastAsia="Times New Roman" w:hAnsi="Times New Roman"/>
          <w:sz w:val="18"/>
          <w:szCs w:val="18"/>
          <w:color w:val="auto"/>
        </w:rPr>
        <w:t>”), then immediately after such Dilutive Issuance, the number of Warrant Shares shall be increased to an amount equal to (x)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prior to such Dilutive Issuance, multiplied by (y) the quotient of the Applicable Price divided by the New Issuance Price. For all purposes of the foregoing (including, without limitation, determining the adjusted number of Warrant Shares and the New Issuance Price under this Section 2(b)), the following shall be applicable:</w:t>
      </w:r>
    </w:p>
    <w:p>
      <w:pPr>
        <w:spacing w:after="0" w:line="192" w:lineRule="exact"/>
        <w:rPr>
          <w:sz w:val="20"/>
          <w:szCs w:val="20"/>
          <w:color w:val="auto"/>
        </w:rPr>
      </w:pPr>
    </w:p>
    <w:p>
      <w:pPr>
        <w:jc w:val="both"/>
        <w:ind w:firstLine="3110"/>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Issuance of Options</w:t>
      </w:r>
      <w:r>
        <w:rPr>
          <w:rFonts w:ascii="Times New Roman" w:cs="Times New Roman" w:eastAsia="Times New Roman" w:hAnsi="Times New Roman"/>
          <w:sz w:val="18"/>
          <w:szCs w:val="18"/>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3110"/>
        <w:spacing w:after="0" w:line="25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195" w:lineRule="exact"/>
        <w:rPr>
          <w:sz w:val="20"/>
          <w:szCs w:val="20"/>
          <w:color w:val="auto"/>
        </w:rPr>
      </w:pPr>
    </w:p>
    <w:p>
      <w:pPr>
        <w:jc w:val="both"/>
        <w:ind w:firstLine="3110"/>
        <w:spacing w:after="0" w:line="253"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3110"/>
        <w:spacing w:after="0" w:line="267" w:lineRule="auto"/>
        <w:rPr>
          <w:sz w:val="20"/>
          <w:szCs w:val="20"/>
          <w:color w:val="auto"/>
        </w:rPr>
      </w:pPr>
      <w:r>
        <w:rPr>
          <w:rFonts w:ascii="Times New Roman" w:cs="Times New Roman" w:eastAsia="Times New Roman" w:hAnsi="Times New Roman"/>
          <w:sz w:val="17"/>
          <w:szCs w:val="17"/>
          <w:color w:val="auto"/>
        </w:rPr>
        <w:t xml:space="preserve">(iv)            </w:t>
      </w:r>
      <w:r>
        <w:rPr>
          <w:rFonts w:ascii="Times New Roman" w:cs="Times New Roman" w:eastAsia="Times New Roman" w:hAnsi="Times New Roman"/>
          <w:sz w:val="17"/>
          <w:szCs w:val="17"/>
          <w:u w:val="single" w:color="auto"/>
          <w:color w:val="auto"/>
        </w:rPr>
        <w:t>Calculation of Consideration Received</w:t>
      </w:r>
      <w:r>
        <w:rPr>
          <w:rFonts w:ascii="Times New Roman" w:cs="Times New Roman" w:eastAsia="Times New Roman" w:hAnsi="Times New Roman"/>
          <w:sz w:val="17"/>
          <w:szCs w:val="17"/>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7"/>
          <w:szCs w:val="17"/>
          <w:b w:val="1"/>
          <w:bCs w:val="1"/>
          <w:color w:val="auto"/>
        </w:rPr>
        <w:t>Primary Security</w:t>
      </w:r>
      <w:r>
        <w:rPr>
          <w:rFonts w:ascii="Times New Roman" w:cs="Times New Roman" w:eastAsia="Times New Roman" w:hAnsi="Times New Roman"/>
          <w:sz w:val="17"/>
          <w:szCs w:val="17"/>
          <w:color w:val="auto"/>
        </w:rPr>
        <w:t>”, and such Option and/or Convertible Security and/or Adjustment Right, the “</w:t>
      </w:r>
      <w:r>
        <w:rPr>
          <w:rFonts w:ascii="Times New Roman" w:cs="Times New Roman" w:eastAsia="Times New Roman" w:hAnsi="Times New Roman"/>
          <w:sz w:val="17"/>
          <w:szCs w:val="17"/>
          <w:b w:val="1"/>
          <w:bCs w:val="1"/>
          <w:color w:val="auto"/>
        </w:rPr>
        <w:t>Secondary Securities</w:t>
      </w:r>
      <w:r>
        <w:rPr>
          <w:rFonts w:ascii="Times New Roman" w:cs="Times New Roman" w:eastAsia="Times New Roman" w:hAnsi="Times New Roman"/>
          <w:sz w:val="17"/>
          <w:szCs w:val="17"/>
          <w:color w:val="auto"/>
        </w:rPr>
        <w:t>” and together with the Primary Security, each a “</w:t>
      </w:r>
      <w:r>
        <w:rPr>
          <w:rFonts w:ascii="Times New Roman" w:cs="Times New Roman" w:eastAsia="Times New Roman" w:hAnsi="Times New Roman"/>
          <w:sz w:val="17"/>
          <w:szCs w:val="17"/>
          <w:b w:val="1"/>
          <w:bCs w:val="1"/>
          <w:color w:val="auto"/>
        </w:rPr>
        <w:t>Unit</w:t>
      </w:r>
      <w:r>
        <w:rPr>
          <w:rFonts w:ascii="Times New Roman" w:cs="Times New Roman" w:eastAsia="Times New Roman" w:hAnsi="Times New Roman"/>
          <w:sz w:val="17"/>
          <w:szCs w:val="17"/>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w:t>
      </w:r>
    </w:p>
    <w:p>
      <w:pPr>
        <w:spacing w:after="0" w:line="2" w:lineRule="exact"/>
        <w:rPr>
          <w:sz w:val="20"/>
          <w:szCs w:val="20"/>
          <w:color w:val="auto"/>
        </w:rPr>
      </w:pPr>
    </w:p>
    <w:p>
      <w:pPr>
        <w:jc w:val="both"/>
        <w:ind w:firstLine="8"/>
        <w:spacing w:after="0" w:line="250" w:lineRule="auto"/>
        <w:tabs>
          <w:tab w:leader="none" w:pos="2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“Valuation Event”), the fair value of such consideration will be determined within five Trading Days after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jc w:val="both"/>
        <w:ind w:right="20" w:firstLine="3110"/>
        <w:spacing w:after="0" w:line="258"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sz w:val="20"/>
          <w:szCs w:val="20"/>
          <w:color w:val="auto"/>
        </w:rPr>
      </w:pPr>
    </w:p>
    <w:p>
      <w:pPr>
        <w:jc w:val="both"/>
        <w:ind w:right="20" w:firstLine="2333"/>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162" w:lineRule="exact"/>
        <w:rPr>
          <w:sz w:val="20"/>
          <w:szCs w:val="20"/>
          <w:color w:val="auto"/>
        </w:rPr>
      </w:pPr>
    </w:p>
    <w:p>
      <w:pPr>
        <w:jc w:val="both"/>
        <w:ind w:firstLine="2333"/>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PURCHASE RIGHTS; FUNDAMENTAL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333"/>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ind w:left="23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The Company shall not enter into or be party to a Fundamental Transaction unless:</w:t>
      </w:r>
    </w:p>
    <w:p>
      <w:pPr>
        <w:spacing w:after="0" w:line="225" w:lineRule="exact"/>
        <w:rPr>
          <w:sz w:val="20"/>
          <w:szCs w:val="20"/>
          <w:color w:val="auto"/>
        </w:rPr>
      </w:pPr>
    </w:p>
    <w:p>
      <w:pPr>
        <w:jc w:val="both"/>
        <w:ind w:firstLine="3110"/>
        <w:spacing w:after="0" w:line="256" w:lineRule="auto"/>
        <w:rPr>
          <w:sz w:val="20"/>
          <w:szCs w:val="20"/>
          <w:color w:val="auto"/>
        </w:rPr>
      </w:pPr>
      <w:r>
        <w:rPr>
          <w:rFonts w:ascii="Times New Roman" w:cs="Times New Roman" w:eastAsia="Times New Roman" w:hAnsi="Times New Roman"/>
          <w:sz w:val="18"/>
          <w:szCs w:val="18"/>
          <w:color w:val="auto"/>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87" w:lineRule="exact"/>
        <w:rPr>
          <w:sz w:val="20"/>
          <w:szCs w:val="20"/>
          <w:color w:val="auto"/>
        </w:rPr>
      </w:pPr>
    </w:p>
    <w:p>
      <w:pPr>
        <w:jc w:val="both"/>
        <w:ind w:firstLine="3110"/>
        <w:spacing w:after="0" w:line="251" w:lineRule="auto"/>
        <w:rPr>
          <w:sz w:val="20"/>
          <w:szCs w:val="20"/>
          <w:color w:val="auto"/>
        </w:rPr>
      </w:pPr>
      <w:r>
        <w:rPr>
          <w:rFonts w:ascii="Times New Roman" w:cs="Times New Roman" w:eastAsia="Times New Roman" w:hAnsi="Times New Roman"/>
          <w:sz w:val="18"/>
          <w:szCs w:val="18"/>
          <w:color w:val="auto"/>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 w:cs="Times New Roman" w:eastAsia="Times New Roman" w:hAnsi="Times New Roman"/>
          <w:sz w:val="18"/>
          <w:szCs w:val="18"/>
          <w:b w:val="1"/>
          <w:bCs w:val="1"/>
          <w:color w:val="auto"/>
        </w:rPr>
        <w:t>Public Fundamental Transaction</w:t>
      </w:r>
      <w:r>
        <w:rPr>
          <w:rFonts w:ascii="Times New Roman" w:cs="Times New Roman" w:eastAsia="Times New Roman" w:hAnsi="Times New Roman"/>
          <w:sz w:val="18"/>
          <w:szCs w:val="18"/>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2333"/>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Holder Optional Redemptions</w:t>
      </w:r>
      <w:r>
        <w:rPr>
          <w:rFonts w:ascii="Times New Roman" w:cs="Times New Roman" w:eastAsia="Times New Roman" w:hAnsi="Times New Roman"/>
          <w:sz w:val="18"/>
          <w:szCs w:val="18"/>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92" w:lineRule="exact"/>
        <w:rPr>
          <w:sz w:val="20"/>
          <w:szCs w:val="20"/>
          <w:color w:val="auto"/>
        </w:rPr>
      </w:pPr>
    </w:p>
    <w:p>
      <w:pPr>
        <w:jc w:val="both"/>
        <w:ind w:firstLine="2333"/>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83"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REISSUANCE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333"/>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 of Warrant</w:t>
      </w:r>
      <w:r>
        <w:rPr>
          <w:rFonts w:ascii="Times New Roman" w:cs="Times New Roman" w:eastAsia="Times New Roman" w:hAnsi="Times New Roman"/>
          <w:sz w:val="18"/>
          <w:szCs w:val="18"/>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92" w:lineRule="exact"/>
        <w:rPr>
          <w:sz w:val="20"/>
          <w:szCs w:val="20"/>
          <w:color w:val="auto"/>
        </w:rPr>
      </w:pPr>
    </w:p>
    <w:p>
      <w:pPr>
        <w:jc w:val="both"/>
        <w:ind w:firstLine="2333"/>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sz w:val="20"/>
          <w:szCs w:val="20"/>
          <w:color w:val="auto"/>
        </w:rPr>
      </w:pPr>
    </w:p>
    <w:p>
      <w:pPr>
        <w:jc w:val="both"/>
        <w:ind w:firstLine="2333"/>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warrants for fractional shares of Common Stock shall be given.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2333"/>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NOTICES OF CHANGES IN WARRANT</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8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83"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AND THE HOLDER EACH</w:t>
      </w:r>
    </w:p>
    <w:p>
      <w:pPr>
        <w:spacing w:after="0" w:line="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CONSTRUCTION; HEADINGS; BUSINESS DAYS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80"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spacing w:after="0" w:line="18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9" w:lineRule="exact"/>
        <w:rPr>
          <w:sz w:val="20"/>
          <w:szCs w:val="20"/>
          <w:color w:val="auto"/>
        </w:rPr>
      </w:pPr>
    </w:p>
    <w:p>
      <w:pPr>
        <w:jc w:val="both"/>
        <w:ind w:right="20" w:firstLine="1944"/>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NO DISCLOSURE</w:t>
      </w:r>
      <w:r>
        <w:rPr>
          <w:rFonts w:ascii="Times New Roman" w:cs="Times New Roman" w:eastAsia="Times New Roman" w:hAnsi="Times New Roman"/>
          <w:sz w:val="18"/>
          <w:szCs w:val="18"/>
          <w:color w:val="auto"/>
        </w:rPr>
        <w:t>. The Company shall not provide material, non-public information or confidential or proprietary information to the Holder without such Holder’s written consent.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REPRESENTATIONS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333"/>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 Each Holder represents and warrants that it is acquiring this Warrant and the Warrant Shares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76" w:lineRule="exact"/>
        <w:rPr>
          <w:sz w:val="20"/>
          <w:szCs w:val="20"/>
          <w:color w:val="auto"/>
        </w:rPr>
      </w:pPr>
    </w:p>
    <w:p>
      <w:pPr>
        <w:jc w:val="both"/>
        <w:ind w:right="20" w:firstLine="2333"/>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Unregistered Securities</w:t>
      </w:r>
      <w:r>
        <w:rPr>
          <w:rFonts w:ascii="Times New Roman" w:cs="Times New Roman" w:eastAsia="Times New Roman" w:hAnsi="Times New Roman"/>
          <w:sz w:val="18"/>
          <w:szCs w:val="18"/>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76" w:lineRule="exact"/>
        <w:rPr>
          <w:sz w:val="20"/>
          <w:szCs w:val="20"/>
          <w:color w:val="auto"/>
        </w:rPr>
      </w:pPr>
    </w:p>
    <w:p>
      <w:pPr>
        <w:jc w:val="both"/>
        <w:ind w:firstLine="2333"/>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Each Holder represents and warrants that it is an “accredited investor” as defined in 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501(a) under the Securities Act.</w:t>
      </w:r>
    </w:p>
    <w:p>
      <w:pPr>
        <w:spacing w:after="0" w:line="207" w:lineRule="exact"/>
        <w:rPr>
          <w:sz w:val="20"/>
          <w:szCs w:val="20"/>
          <w:color w:val="auto"/>
        </w:rPr>
      </w:pPr>
    </w:p>
    <w:p>
      <w:pPr>
        <w:jc w:val="both"/>
        <w:ind w:firstLine="2333"/>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Sophisticated Investor</w:t>
      </w:r>
      <w:r>
        <w:rPr>
          <w:rFonts w:ascii="Times New Roman" w:cs="Times New Roman" w:eastAsia="Times New Roman" w:hAnsi="Times New Roman"/>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6" w:lineRule="exact"/>
        <w:rPr>
          <w:sz w:val="20"/>
          <w:szCs w:val="20"/>
          <w:color w:val="auto"/>
        </w:rPr>
      </w:pPr>
    </w:p>
    <w:p>
      <w:pPr>
        <w:jc w:val="both"/>
        <w:ind w:firstLine="2333"/>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6" w:lineRule="exact"/>
        <w:rPr>
          <w:sz w:val="20"/>
          <w:szCs w:val="20"/>
          <w:color w:val="auto"/>
        </w:rPr>
      </w:pPr>
    </w:p>
    <w:p>
      <w:pPr>
        <w:jc w:val="both"/>
        <w:ind w:firstLine="2333"/>
        <w:spacing w:after="0" w:line="254"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2333"/>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Non-Reliance</w:t>
      </w:r>
      <w:r>
        <w:rPr>
          <w:rFonts w:ascii="Times New Roman" w:cs="Times New Roman" w:eastAsia="Times New Roman" w:hAnsi="Times New Roman"/>
          <w:sz w:val="18"/>
          <w:szCs w:val="18"/>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the Forbearance Agreement or any other Loan Document. Each Holder with respect to itself acknowledges that the Company would not enter into this Warrant in the absence of the agreements set forth in this Section 17.</w:t>
      </w:r>
    </w:p>
    <w:p>
      <w:pPr>
        <w:spacing w:after="0" w:line="18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REPRESENTATIONS OF THE COMPANY</w:t>
      </w:r>
      <w:r>
        <w:rPr>
          <w:rFonts w:ascii="Times New Roman" w:cs="Times New Roman" w:eastAsia="Times New Roman" w:hAnsi="Times New Roman"/>
          <w:sz w:val="18"/>
          <w:szCs w:val="18"/>
          <w:color w:val="auto"/>
        </w:rPr>
        <w:t>. The Company represents and warrants to the Holder that, except as set forth in the SEC Reports (as defined below):</w:t>
      </w:r>
    </w:p>
    <w:p>
      <w:pPr>
        <w:spacing w:after="0" w:line="162" w:lineRule="exact"/>
        <w:rPr>
          <w:sz w:val="20"/>
          <w:szCs w:val="20"/>
          <w:color w:val="auto"/>
        </w:rPr>
      </w:pPr>
    </w:p>
    <w:p>
      <w:pPr>
        <w:jc w:val="both"/>
        <w:ind w:firstLine="2333"/>
        <w:spacing w:after="0" w:line="253" w:lineRule="auto"/>
        <w:rPr>
          <w:sz w:val="20"/>
          <w:szCs w:val="20"/>
          <w:color w:val="auto"/>
        </w:rPr>
      </w:pPr>
      <w:r>
        <w:rPr>
          <w:rFonts w:ascii="Times New Roman" w:cs="Times New Roman" w:eastAsia="Times New Roman" w:hAnsi="Times New Roman"/>
          <w:sz w:val="18"/>
          <w:szCs w:val="18"/>
          <w:color w:val="auto"/>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94" w:lineRule="exact"/>
        <w:rPr>
          <w:sz w:val="20"/>
          <w:szCs w:val="20"/>
          <w:color w:val="auto"/>
        </w:rPr>
      </w:pPr>
    </w:p>
    <w:p>
      <w:pPr>
        <w:jc w:val="both"/>
        <w:ind w:firstLine="2333"/>
        <w:spacing w:after="0" w:line="281" w:lineRule="auto"/>
        <w:rPr>
          <w:sz w:val="20"/>
          <w:szCs w:val="20"/>
          <w:color w:val="auto"/>
        </w:rPr>
      </w:pPr>
      <w:r>
        <w:rPr>
          <w:rFonts w:ascii="Times New Roman" w:cs="Times New Roman" w:eastAsia="Times New Roman" w:hAnsi="Times New Roman"/>
          <w:sz w:val="17"/>
          <w:szCs w:val="17"/>
          <w:color w:val="auto"/>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7"/>
          <w:szCs w:val="17"/>
          <w:b w:val="1"/>
          <w:bCs w:val="1"/>
          <w:color w:val="auto"/>
        </w:rPr>
        <w:t>Enforceability Exceptions</w:t>
      </w:r>
      <w:r>
        <w:rPr>
          <w:rFonts w:ascii="Times New Roman" w:cs="Times New Roman" w:eastAsia="Times New Roman" w:hAnsi="Times New Roman"/>
          <w:sz w:val="17"/>
          <w:szCs w:val="17"/>
          <w:color w:val="auto"/>
        </w:rPr>
        <w:t>”), and has not been issued in violation of any preemptive rights created under the Company’s organizational documents or the laws of the State of Delaware.</w:t>
      </w:r>
    </w:p>
    <w:p>
      <w:pPr>
        <w:spacing w:after="0" w:line="164" w:lineRule="exact"/>
        <w:rPr>
          <w:sz w:val="20"/>
          <w:szCs w:val="20"/>
          <w:color w:val="auto"/>
        </w:rPr>
      </w:pPr>
    </w:p>
    <w:p>
      <w:pPr>
        <w:jc w:val="both"/>
        <w:ind w:firstLine="2333"/>
        <w:spacing w:after="0" w:line="266" w:lineRule="auto"/>
        <w:rPr>
          <w:sz w:val="20"/>
          <w:szCs w:val="20"/>
          <w:color w:val="auto"/>
        </w:rPr>
      </w:pPr>
      <w:r>
        <w:rPr>
          <w:rFonts w:ascii="Times New Roman" w:cs="Times New Roman" w:eastAsia="Times New Roman" w:hAnsi="Times New Roman"/>
          <w:sz w:val="18"/>
          <w:szCs w:val="18"/>
          <w:color w:val="auto"/>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2333"/>
        <w:spacing w:after="0" w:line="254" w:lineRule="auto"/>
        <w:rPr>
          <w:sz w:val="20"/>
          <w:szCs w:val="20"/>
          <w:color w:val="auto"/>
        </w:rPr>
      </w:pPr>
      <w:r>
        <w:rPr>
          <w:rFonts w:ascii="Times New Roman" w:cs="Times New Roman" w:eastAsia="Times New Roman" w:hAnsi="Times New Roman"/>
          <w:sz w:val="18"/>
          <w:szCs w:val="18"/>
          <w:color w:val="auto"/>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8" w:lineRule="exact"/>
        <w:rPr>
          <w:sz w:val="20"/>
          <w:szCs w:val="20"/>
          <w:color w:val="auto"/>
        </w:rPr>
      </w:pPr>
    </w:p>
    <w:p>
      <w:pPr>
        <w:jc w:val="both"/>
        <w:ind w:firstLine="2333"/>
        <w:spacing w:after="0" w:line="254" w:lineRule="auto"/>
        <w:rPr>
          <w:sz w:val="20"/>
          <w:szCs w:val="20"/>
          <w:color w:val="auto"/>
        </w:rPr>
      </w:pPr>
      <w:r>
        <w:rPr>
          <w:rFonts w:ascii="Times New Roman" w:cs="Times New Roman" w:eastAsia="Times New Roman" w:hAnsi="Times New Roman"/>
          <w:sz w:val="18"/>
          <w:szCs w:val="18"/>
          <w:color w:val="auto"/>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3" w:lineRule="exact"/>
        <w:rPr>
          <w:sz w:val="20"/>
          <w:szCs w:val="20"/>
          <w:color w:val="auto"/>
        </w:rPr>
      </w:pPr>
    </w:p>
    <w:p>
      <w:pPr>
        <w:ind w:right="20" w:firstLine="8"/>
        <w:spacing w:after="0" w:line="260" w:lineRule="auto"/>
        <w:tabs>
          <w:tab w:leader="none" w:pos="3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181" w:lineRule="exact"/>
        <w:rPr>
          <w:sz w:val="20"/>
          <w:szCs w:val="20"/>
          <w:color w:val="auto"/>
        </w:rPr>
      </w:pPr>
    </w:p>
    <w:p>
      <w:pPr>
        <w:jc w:val="both"/>
        <w:ind w:firstLine="2333"/>
        <w:spacing w:after="0" w:line="252" w:lineRule="auto"/>
        <w:rPr>
          <w:sz w:val="20"/>
          <w:szCs w:val="20"/>
          <w:color w:val="auto"/>
        </w:rPr>
      </w:pPr>
      <w:r>
        <w:rPr>
          <w:rFonts w:ascii="Times New Roman" w:cs="Times New Roman" w:eastAsia="Times New Roman" w:hAnsi="Times New Roman"/>
          <w:sz w:val="18"/>
          <w:szCs w:val="18"/>
          <w:color w:val="auto"/>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i w:val="1"/>
          <w:iCs w:val="1"/>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 w:cs="Times New Roman" w:eastAsia="Times New Roman" w:hAnsi="Times New Roman"/>
          <w:sz w:val="18"/>
          <w:szCs w:val="18"/>
          <w:b w:val="1"/>
          <w:bCs w:val="1"/>
          <w:color w:val="auto"/>
        </w:rPr>
        <w:t>2023 Form 10-K</w:t>
      </w:r>
      <w:r>
        <w:rPr>
          <w:rFonts w:ascii="Times New Roman" w:cs="Times New Roman" w:eastAsia="Times New Roman" w:hAnsi="Times New Roman"/>
          <w:sz w:val="18"/>
          <w:szCs w:val="18"/>
          <w:color w:val="auto"/>
        </w:rPr>
        <w:t xml:space="preserve">”)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 </w:t>
      </w:r>
      <w:r>
        <w:rPr>
          <w:rFonts w:ascii="Times New Roman" w:cs="Times New Roman" w:eastAsia="Times New Roman" w:hAnsi="Times New Roman"/>
          <w:sz w:val="18"/>
          <w:szCs w:val="18"/>
          <w:b w:val="1"/>
          <w:bCs w:val="1"/>
          <w:i w:val="1"/>
          <w:iCs w:val="1"/>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7" w:lineRule="exact"/>
        <w:rPr>
          <w:sz w:val="20"/>
          <w:szCs w:val="20"/>
          <w:color w:val="auto"/>
        </w:rPr>
      </w:pPr>
    </w:p>
    <w:p>
      <w:pPr>
        <w:jc w:val="both"/>
        <w:ind w:firstLine="2333"/>
        <w:spacing w:after="0" w:line="258" w:lineRule="auto"/>
        <w:rPr>
          <w:sz w:val="20"/>
          <w:szCs w:val="20"/>
          <w:color w:val="auto"/>
        </w:rPr>
      </w:pPr>
      <w:r>
        <w:rPr>
          <w:rFonts w:ascii="Times New Roman" w:cs="Times New Roman" w:eastAsia="Times New Roman" w:hAnsi="Times New Roman"/>
          <w:sz w:val="18"/>
          <w:szCs w:val="18"/>
          <w:color w:val="auto"/>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2333"/>
        <w:spacing w:after="0" w:line="256" w:lineRule="auto"/>
        <w:rPr>
          <w:sz w:val="20"/>
          <w:szCs w:val="20"/>
          <w:color w:val="auto"/>
        </w:rPr>
      </w:pPr>
      <w:r>
        <w:rPr>
          <w:rFonts w:ascii="Times New Roman" w:cs="Times New Roman" w:eastAsia="Times New Roman" w:hAnsi="Times New Roman"/>
          <w:sz w:val="18"/>
          <w:szCs w:val="18"/>
          <w:color w:val="auto"/>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7" w:lineRule="exact"/>
        <w:rPr>
          <w:sz w:val="20"/>
          <w:szCs w:val="20"/>
          <w:color w:val="auto"/>
        </w:rPr>
      </w:pPr>
    </w:p>
    <w:p>
      <w:pPr>
        <w:jc w:val="both"/>
        <w:ind w:firstLine="2333"/>
        <w:spacing w:after="0" w:line="266" w:lineRule="auto"/>
        <w:rPr>
          <w:sz w:val="20"/>
          <w:szCs w:val="20"/>
          <w:color w:val="auto"/>
        </w:rPr>
      </w:pPr>
      <w:r>
        <w:rPr>
          <w:rFonts w:ascii="Times New Roman" w:cs="Times New Roman" w:eastAsia="Times New Roman" w:hAnsi="Times New Roman"/>
          <w:sz w:val="18"/>
          <w:szCs w:val="18"/>
          <w:color w:val="auto"/>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76" w:lineRule="exact"/>
        <w:rPr>
          <w:sz w:val="20"/>
          <w:szCs w:val="20"/>
          <w:color w:val="auto"/>
        </w:rPr>
      </w:pPr>
    </w:p>
    <w:p>
      <w:pPr>
        <w:jc w:val="both"/>
        <w:ind w:firstLine="2333"/>
        <w:spacing w:after="0" w:line="261" w:lineRule="auto"/>
        <w:rPr>
          <w:sz w:val="20"/>
          <w:szCs w:val="20"/>
          <w:color w:val="auto"/>
        </w:rPr>
      </w:pPr>
      <w:r>
        <w:rPr>
          <w:rFonts w:ascii="Times New Roman" w:cs="Times New Roman" w:eastAsia="Times New Roman" w:hAnsi="Times New Roman"/>
          <w:sz w:val="18"/>
          <w:szCs w:val="18"/>
          <w:color w:val="auto"/>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0" w:lineRule="exact"/>
        <w:rPr>
          <w:sz w:val="20"/>
          <w:szCs w:val="20"/>
          <w:color w:val="auto"/>
        </w:rPr>
      </w:pPr>
    </w:p>
    <w:p>
      <w:pPr>
        <w:jc w:val="both"/>
        <w:ind w:firstLine="2333"/>
        <w:spacing w:after="0" w:line="255" w:lineRule="auto"/>
        <w:rPr>
          <w:sz w:val="20"/>
          <w:szCs w:val="20"/>
          <w:color w:val="auto"/>
        </w:rPr>
      </w:pPr>
      <w:r>
        <w:rPr>
          <w:rFonts w:ascii="Times New Roman" w:cs="Times New Roman" w:eastAsia="Times New Roman" w:hAnsi="Times New Roman"/>
          <w:sz w:val="18"/>
          <w:szCs w:val="18"/>
          <w:color w:val="auto"/>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sz w:val="20"/>
          <w:szCs w:val="20"/>
          <w:color w:val="auto"/>
        </w:rPr>
      </w:pPr>
    </w:p>
    <w:p>
      <w:pPr>
        <w:jc w:val="both"/>
        <w:ind w:firstLine="2333"/>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sz w:val="20"/>
          <w:szCs w:val="20"/>
          <w:color w:val="auto"/>
        </w:rPr>
      </w:pPr>
    </w:p>
    <w:p>
      <w:pPr>
        <w:jc w:val="both"/>
        <w:ind w:right="20" w:firstLine="2333"/>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2333"/>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71" w:lineRule="exact"/>
        <w:rPr>
          <w:sz w:val="20"/>
          <w:szCs w:val="20"/>
          <w:color w:val="auto"/>
        </w:rPr>
      </w:pPr>
    </w:p>
    <w:p>
      <w:pPr>
        <w:jc w:val="both"/>
        <w:ind w:firstLine="2333"/>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83" w:lineRule="exact"/>
        <w:rPr>
          <w:sz w:val="20"/>
          <w:szCs w:val="20"/>
          <w:color w:val="auto"/>
        </w:rPr>
      </w:pPr>
    </w:p>
    <w:p>
      <w:pPr>
        <w:jc w:val="both"/>
        <w:ind w:firstLine="2333"/>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Black Scholes Going Private Value</w:t>
      </w:r>
      <w:r>
        <w:rPr>
          <w:rFonts w:ascii="Times New Roman" w:cs="Times New Roman" w:eastAsia="Times New Roman" w:hAnsi="Times New Roman"/>
          <w:sz w:val="18"/>
          <w:szCs w:val="18"/>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7" w:lineRule="exact"/>
        <w:rPr>
          <w:sz w:val="20"/>
          <w:szCs w:val="20"/>
          <w:color w:val="auto"/>
        </w:rPr>
      </w:pPr>
    </w:p>
    <w:p>
      <w:pPr>
        <w:jc w:val="both"/>
        <w:ind w:firstLine="2333"/>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w:t>
      </w:r>
    </w:p>
    <w:p>
      <w:pPr>
        <w:spacing w:after="0" w:line="6" w:lineRule="exact"/>
        <w:rPr>
          <w:sz w:val="20"/>
          <w:szCs w:val="20"/>
          <w:color w:val="auto"/>
        </w:rPr>
      </w:pPr>
    </w:p>
    <w:p>
      <w:pPr>
        <w:ind w:right="20" w:firstLine="8"/>
        <w:spacing w:after="0" w:line="260" w:lineRule="auto"/>
        <w:tabs>
          <w:tab w:leader="none" w:pos="2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disclosure of the applicable Fundamental Transaction, (B) the consummation of the applicable Fundamental Transaction and (C) the date on which the Holder first became aware of the applicable Fundamental Transaction.</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ind w:left="234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sz w:val="20"/>
          <w:szCs w:val="20"/>
          <w:color w:val="auto"/>
        </w:rPr>
      </w:pPr>
    </w:p>
    <w:p>
      <w:pPr>
        <w:jc w:val="both"/>
        <w:ind w:firstLine="2333"/>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jc w:val="both"/>
        <w:ind w:firstLine="2333"/>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both"/>
        <w:ind w:firstLine="2333"/>
        <w:spacing w:after="0" w:line="28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55" w:lineRule="exact"/>
        <w:rPr>
          <w:sz w:val="20"/>
          <w:szCs w:val="20"/>
          <w:color w:val="auto"/>
        </w:rPr>
      </w:pPr>
    </w:p>
    <w:p>
      <w:pPr>
        <w:jc w:val="both"/>
        <w:ind w:firstLine="2333"/>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5" w:lineRule="exact"/>
        <w:rPr>
          <w:sz w:val="20"/>
          <w:szCs w:val="20"/>
          <w:color w:val="auto"/>
        </w:rPr>
      </w:pPr>
    </w:p>
    <w:p>
      <w:pPr>
        <w:jc w:val="both"/>
        <w:ind w:firstLine="2333"/>
        <w:spacing w:after="0" w:line="28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Nasdaq Capital Market, The Nasdaq Global Select Market, The Nasdaq Global Market, the NYSE American, or The New York Stock Exchange.</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both"/>
        <w:ind w:firstLine="2333"/>
        <w:spacing w:after="0" w:line="25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 w:cs="Times New Roman" w:eastAsia="Times New Roman" w:hAnsi="Times New Roman"/>
          <w:sz w:val="18"/>
          <w:szCs w:val="18"/>
          <w:b w:val="1"/>
          <w:bCs w:val="1"/>
          <w:color w:val="auto"/>
        </w:rPr>
        <w:t>Metropolitan Entities</w:t>
      </w:r>
      <w:r>
        <w:rPr>
          <w:rFonts w:ascii="Times New Roman" w:cs="Times New Roman" w:eastAsia="Times New Roman" w:hAnsi="Times New Roman"/>
          <w:sz w:val="18"/>
          <w:szCs w:val="18"/>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any warrant issued to the Metropolitan Entities in connection with the Third Amendment and (F) this Warrant and any other warrant issued to the Metropolitan Entities in connection with the Forbearance Agreement.</w:t>
      </w:r>
    </w:p>
    <w:p>
      <w:pPr>
        <w:spacing w:after="0" w:line="191" w:lineRule="exact"/>
        <w:rPr>
          <w:sz w:val="20"/>
          <w:szCs w:val="20"/>
          <w:color w:val="auto"/>
        </w:rPr>
      </w:pPr>
    </w:p>
    <w:p>
      <w:pPr>
        <w:jc w:val="both"/>
        <w:ind w:firstLine="2333"/>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55" w:lineRule="exact"/>
        <w:rPr>
          <w:sz w:val="20"/>
          <w:szCs w:val="20"/>
          <w:color w:val="auto"/>
        </w:rPr>
      </w:pPr>
    </w:p>
    <w:p>
      <w:pPr>
        <w:jc w:val="both"/>
        <w:ind w:firstLine="2333"/>
        <w:spacing w:after="0" w:line="251"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ind w:left="2340"/>
        <w:spacing w:after="0"/>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 means a “group” as that term is used in Section 13(d) of the Exchange Act and as defined in Rule 13d-5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Securities.</w:t>
      </w:r>
    </w:p>
    <w:p>
      <w:pPr>
        <w:spacing w:after="0" w:line="203" w:lineRule="exact"/>
        <w:rPr>
          <w:sz w:val="20"/>
          <w:szCs w:val="20"/>
          <w:color w:val="auto"/>
        </w:rPr>
      </w:pPr>
    </w:p>
    <w:p>
      <w:pPr>
        <w:jc w:val="both"/>
        <w:ind w:firstLine="2333"/>
        <w:spacing w:after="0" w:line="259"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9" w:lineRule="exact"/>
        <w:rPr>
          <w:sz w:val="20"/>
          <w:szCs w:val="20"/>
          <w:color w:val="auto"/>
        </w:rPr>
      </w:pPr>
    </w:p>
    <w:p>
      <w:pPr>
        <w:jc w:val="both"/>
        <w:ind w:firstLine="2333"/>
        <w:spacing w:after="0" w:line="28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right="20" w:firstLine="2333"/>
        <w:spacing w:after="0" w:line="28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OTC Bulletin Board or any other Eligible Market, or any national securities exchange, market or trading or quotation facility on which the Common Stock is then listed or quoted.</w:t>
      </w:r>
    </w:p>
    <w:p>
      <w:pPr>
        <w:spacing w:after="0" w:line="15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color w:val="auto"/>
        </w:rPr>
        <w:t>(v)              “</w:t>
      </w:r>
      <w:r>
        <w:rPr>
          <w:rFonts w:ascii="Times New Roman" w:cs="Times New Roman" w:eastAsia="Times New Roman" w:hAnsi="Times New Roman"/>
          <w:sz w:val="17"/>
          <w:szCs w:val="17"/>
          <w:b w:val="1"/>
          <w:bCs w:val="1"/>
          <w:color w:val="auto"/>
        </w:rPr>
        <w:t>Subject Entity</w:t>
      </w:r>
      <w:r>
        <w:rPr>
          <w:rFonts w:ascii="Times New Roman" w:cs="Times New Roman" w:eastAsia="Times New Roman" w:hAnsi="Times New Roman"/>
          <w:sz w:val="17"/>
          <w:szCs w:val="17"/>
          <w:color w:val="auto"/>
        </w:rPr>
        <w:t>” means any Person, Persons or Group or any Affiliate or associate of any such Person, Persons or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w:t>
      </w:r>
    </w:p>
    <w:p>
      <w:pPr>
        <w:spacing w:after="0" w:line="203" w:lineRule="exact"/>
        <w:rPr>
          <w:sz w:val="20"/>
          <w:szCs w:val="20"/>
          <w:color w:val="auto"/>
        </w:rPr>
      </w:pPr>
    </w:p>
    <w:p>
      <w:pPr>
        <w:jc w:val="both"/>
        <w:ind w:firstLine="2333"/>
        <w:spacing w:after="0" w:line="26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both"/>
        <w:ind w:firstLine="2333"/>
        <w:spacing w:after="0" w:line="257"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82" w:lineRule="exact"/>
        <w:rPr>
          <w:sz w:val="20"/>
          <w:szCs w:val="20"/>
          <w:color w:val="auto"/>
        </w:rPr>
      </w:pPr>
    </w:p>
    <w:p>
      <w:pPr>
        <w:jc w:val="both"/>
        <w:ind w:firstLine="2333"/>
        <w:spacing w:after="0" w:line="253"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ind w:left="102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purchase________________ of the shares 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Presto</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Warrant to Purchase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900" w:hanging="1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Exercise Price. The Holder intends that payment of the Exercise Price shall be made as:</w:t>
      </w:r>
    </w:p>
    <w:p>
      <w:pPr>
        <w:spacing w:after="0" w:line="225" w:lineRule="exact"/>
        <w:rPr>
          <w:rFonts w:ascii="Times New Roman" w:cs="Times New Roman" w:eastAsia="Times New Roman" w:hAnsi="Times New Roman"/>
          <w:sz w:val="18"/>
          <w:szCs w:val="18"/>
          <w:color w:val="auto"/>
        </w:rPr>
      </w:pPr>
    </w:p>
    <w:p>
      <w:pPr>
        <w:ind w:left="2860" w:right="3220" w:hanging="1555"/>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 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to_________________ Warrant Shares; and/or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to______________ Warrant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62" w:lineRule="exact"/>
        <w:rPr>
          <w:sz w:val="20"/>
          <w:szCs w:val="20"/>
          <w:color w:val="auto"/>
        </w:rPr>
      </w:pPr>
    </w:p>
    <w:p>
      <w:pPr>
        <w:jc w:val="both"/>
        <w:ind w:firstLine="721"/>
        <w:spacing w:after="0" w:line="266" w:lineRule="auto"/>
        <w:tabs>
          <w:tab w:leader="none" w:pos="9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 to the Company in accordance with the terms of the Warrant.</w:t>
      </w:r>
    </w:p>
    <w:p>
      <w:pPr>
        <w:spacing w:after="0" w:line="175" w:lineRule="exact"/>
        <w:rPr>
          <w:rFonts w:ascii="Times New Roman" w:cs="Times New Roman" w:eastAsia="Times New Roman" w:hAnsi="Times New Roman"/>
          <w:sz w:val="18"/>
          <w:szCs w:val="18"/>
          <w:color w:val="auto"/>
        </w:rPr>
      </w:pPr>
    </w:p>
    <w:p>
      <w:pPr>
        <w:ind w:left="900" w:hanging="1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The Company shall deliver to the holder_________________ Warrant Shares in accordance with the terms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 Electronic Delivery</w:t>
            </w:r>
          </w:p>
        </w:tc>
        <w:tc>
          <w:tcPr>
            <w:tcW w:w="772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DTC Participant:</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DTC Number:</w:t>
            </w:r>
          </w:p>
        </w:tc>
        <w:tc>
          <w:tcPr>
            <w:tcW w:w="5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 Name:</w:t>
            </w: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18"/>
                <w:szCs w:val="18"/>
                <w:color w:val="auto"/>
              </w:rPr>
            </w:pPr>
          </w:p>
        </w:tc>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 Number:</w:t>
            </w: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 Physical Delivery</w:t>
            </w:r>
          </w:p>
        </w:tc>
        <w:tc>
          <w:tcPr>
            <w:tcW w:w="772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09"/>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Date:____________ ____, ______</w:t>
            </w: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5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3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[TRANSFER AGENT] to issue the above indicated number of shares of Common Stock in accordance with the Transfer Agent Instructions dated_________________ from the Company and acknowledged and agreed to by [TRANSFER AGENT].</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974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49974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49974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Dated: ____________ ____, ______</w:t>
      </w:r>
    </w:p>
    <w:p>
      <w:pPr>
        <w:spacing w:after="0" w:line="2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1342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1342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3423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160020</wp:posOffset>
            </wp:positionV>
            <wp:extent cx="21342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4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2024-1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2,375,753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January 30, 2024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Metropolitan Partners Fund VII, LP,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2,375,753 duly authorized, validly issued, fully paid, nonassessable shares of Common Stock,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18. The Warrant is being issued pursuant to Section 8(i)(4) of that certain Forbearance and Fourth Amendment to Credit Agreement, dated January 22, 2024, among Presto Automation LLC (f/k/a E La Carte, LLC, f/k/a Ventoux Merger Sub II LLC), the Company, Metropolitan Partners Group Administration, LLC, as agent, and the Lenders (as defined therein) (the “</w:t>
      </w:r>
      <w:r>
        <w:rPr>
          <w:rFonts w:ascii="Times New Roman" w:cs="Times New Roman" w:eastAsia="Times New Roman" w:hAnsi="Times New Roman"/>
          <w:sz w:val="18"/>
          <w:szCs w:val="18"/>
          <w:b w:val="1"/>
          <w:bCs w:val="1"/>
          <w:color w:val="auto"/>
        </w:rPr>
        <w:t>Forbearance Agreement</w:t>
      </w:r>
      <w:r>
        <w:rPr>
          <w:rFonts w:ascii="Times New Roman" w:cs="Times New Roman" w:eastAsia="Times New Roman" w:hAnsi="Times New Roman"/>
          <w:sz w:val="18"/>
          <w:szCs w:val="18"/>
          <w:color w:val="auto"/>
        </w:rPr>
        <w:t>”). Capitalized terms used herein and not otherwise defined shall have the definitions ascribed to such terms in the Forbearance Agreement or the Credit Agreement (as defined in the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4" w:name="page125"/>
    <w:bookmarkEnd w:id="124"/>
    <w:p>
      <w:pPr>
        <w:ind w:left="1300"/>
        <w:spacing w:after="0"/>
        <w:rPr>
          <w:sz w:val="20"/>
          <w:szCs w:val="20"/>
          <w:color w:val="auto"/>
        </w:rPr>
      </w:pPr>
      <w:r>
        <w:rPr>
          <w:rFonts w:ascii="Times New Roman" w:cs="Times New Roman" w:eastAsia="Times New Roman" w:hAnsi="Times New Roman"/>
          <w:sz w:val="18"/>
          <w:szCs w:val="18"/>
          <w:color w:val="auto"/>
        </w:rPr>
        <w:t>1.          EXERCISE OF WARRANT.</w:t>
      </w:r>
    </w:p>
    <w:p>
      <w:pPr>
        <w:spacing w:after="0" w:line="225" w:lineRule="exact"/>
        <w:rPr>
          <w:sz w:val="20"/>
          <w:szCs w:val="20"/>
          <w:color w:val="auto"/>
        </w:rPr>
      </w:pPr>
    </w:p>
    <w:p>
      <w:pPr>
        <w:jc w:val="both"/>
        <w:ind w:firstLine="1814"/>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On or before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Trading Day following the date on which the Company has received the Exercise Notice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left="182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$0.01, subject to adjustment as provided herein.</w:t>
      </w:r>
    </w:p>
    <w:p>
      <w:pPr>
        <w:spacing w:after="0" w:line="229" w:lineRule="exact"/>
        <w:rPr>
          <w:sz w:val="20"/>
          <w:szCs w:val="20"/>
          <w:color w:val="auto"/>
        </w:rPr>
      </w:pPr>
    </w:p>
    <w:p>
      <w:pPr>
        <w:jc w:val="both"/>
        <w:ind w:firstLine="1814"/>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2" w:lineRule="exact"/>
        <w:rPr>
          <w:sz w:val="20"/>
          <w:szCs w:val="20"/>
          <w:color w:val="auto"/>
        </w:rPr>
      </w:pPr>
    </w:p>
    <w:p>
      <w:pPr>
        <w:jc w:val="both"/>
        <w:ind w:firstLine="1814"/>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Cashless Exercise</w:t>
      </w:r>
      <w:r>
        <w:rPr>
          <w:rFonts w:ascii="Times New Roman" w:cs="Times New Roman" w:eastAsia="Times New Roman" w:hAnsi="Times New Roman"/>
          <w:sz w:val="18"/>
          <w:szCs w:val="18"/>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Forbearance Agreement.</w:t>
      </w:r>
    </w:p>
    <w:p>
      <w:pPr>
        <w:spacing w:after="0" w:line="176"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jc w:val="both"/>
        <w:ind w:firstLine="1814"/>
        <w:spacing w:after="0" w:line="267"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Limitations on Exercises</w:t>
      </w:r>
      <w:r>
        <w:rPr>
          <w:rFonts w:ascii="Times New Roman" w:cs="Times New Roman" w:eastAsia="Times New Roman" w:hAnsi="Times New Roman"/>
          <w:sz w:val="17"/>
          <w:szCs w:val="17"/>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7"/>
          <w:szCs w:val="17"/>
          <w:b w:val="1"/>
          <w:bCs w:val="1"/>
          <w:color w:val="auto"/>
        </w:rPr>
        <w:t>Reduction Shares</w:t>
      </w:r>
      <w:r>
        <w:rPr>
          <w:rFonts w:ascii="Times New Roman" w:cs="Times New Roman" w:eastAsia="Times New Roman" w:hAnsi="Times New Roman"/>
          <w:sz w:val="17"/>
          <w:szCs w:val="17"/>
          <w:color w:val="auto"/>
        </w:rPr>
        <w:t>”) and</w:t>
      </w:r>
    </w:p>
    <w:p>
      <w:pPr>
        <w:spacing w:after="0" w:line="203" w:lineRule="exact"/>
        <w:rPr>
          <w:sz w:val="20"/>
          <w:szCs w:val="20"/>
          <w:color w:val="auto"/>
        </w:rPr>
      </w:pPr>
    </w:p>
    <w:p>
      <w:pPr>
        <w:jc w:val="both"/>
        <w:ind w:firstLine="8"/>
        <w:spacing w:after="0" w:line="250" w:lineRule="auto"/>
        <w:tabs>
          <w:tab w:leader="none" w:pos="2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Forbearance Agreement (together with this Warrant, the “</w:t>
      </w:r>
      <w:r>
        <w:rPr>
          <w:rFonts w:ascii="Times New Roman" w:cs="Times New Roman" w:eastAsia="Times New Roman" w:hAnsi="Times New Roman"/>
          <w:sz w:val="18"/>
          <w:szCs w:val="18"/>
          <w:b w:val="1"/>
          <w:bCs w:val="1"/>
          <w:color w:val="auto"/>
        </w:rPr>
        <w:t>Forbearance Warrants</w:t>
      </w:r>
      <w:r>
        <w:rPr>
          <w:rFonts w:ascii="Times New Roman" w:cs="Times New Roman" w:eastAsia="Times New Roman" w:hAnsi="Times New Roman"/>
          <w:sz w:val="18"/>
          <w:szCs w:val="18"/>
          <w:color w:val="auto"/>
        </w:rPr>
        <w:t>”), together with the total number of shares of Common Stock issuable upon conversion of the Company’s Subordinated Convertible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sold by the Company on the date hereof to certain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may not exceed the requirements of Nasdaq Listing Rule 5635(d) (“</w:t>
      </w:r>
      <w:r>
        <w:rPr>
          <w:rFonts w:ascii="Times New Roman" w:cs="Times New Roman" w:eastAsia="Times New Roman" w:hAnsi="Times New Roman"/>
          <w:sz w:val="18"/>
          <w:szCs w:val="18"/>
          <w:b w:val="1"/>
          <w:bCs w:val="1"/>
          <w:color w:val="auto"/>
        </w:rPr>
        <w:t>Nasdaq 19.99%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issued to the holders of the Forbearance Warrants and the Notes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Forbearance Warrants and upon the conversion of the Notes, if necessary,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the conversion of the Notes shall be made between (x) the holders of the Forbearance Warrants, and (y) the Buyers as nearly as possible on a pro rata basis based on the total amount of shares of Common Stock issued or issuable to such party.</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1814"/>
        <w:spacing w:after="0" w:line="25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and the failure to have such sufficient number of authorized and unreserved shares of Common Stock,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 (as defined in the Forbearance Agreement) or under any provision of the Forbearance Agreement.</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the number of Warrant Shares issuable upon exercise of this Warrant are subject to adjustments from time to time as set forth in this Section 2.</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1814"/>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 Upon Subdivision or Combination of Shares of Common Stock</w:t>
      </w:r>
      <w:r>
        <w:rPr>
          <w:rFonts w:ascii="Times New Roman" w:cs="Times New Roman" w:eastAsia="Times New Roman" w:hAnsi="Times New Roman"/>
          <w:sz w:val="18"/>
          <w:szCs w:val="18"/>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190" w:lineRule="exact"/>
        <w:rPr>
          <w:sz w:val="20"/>
          <w:szCs w:val="20"/>
          <w:color w:val="auto"/>
        </w:rPr>
      </w:pPr>
    </w:p>
    <w:p>
      <w:pPr>
        <w:jc w:val="both"/>
        <w:ind w:firstLine="1814"/>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Adjustment Upon Issuance of Shares of Common Stock</w:t>
      </w:r>
      <w:r>
        <w:rPr>
          <w:rFonts w:ascii="Times New Roman" w:cs="Times New Roman" w:eastAsia="Times New Roman" w:hAnsi="Times New Roman"/>
          <w:sz w:val="18"/>
          <w:szCs w:val="18"/>
          <w:color w:val="auto"/>
        </w:rPr>
        <w:t>. If and whenever on or after the Issuance Date but prior to April 1, 2024 (the “</w:t>
      </w:r>
      <w:r>
        <w:rPr>
          <w:rFonts w:ascii="Times New Roman" w:cs="Times New Roman" w:eastAsia="Times New Roman" w:hAnsi="Times New Roman"/>
          <w:sz w:val="18"/>
          <w:szCs w:val="18"/>
          <w:b w:val="1"/>
          <w:bCs w:val="1"/>
          <w:color w:val="auto"/>
        </w:rPr>
        <w:t>Anti-Dilution Period</w:t>
      </w:r>
      <w:r>
        <w:rPr>
          <w:rFonts w:ascii="Times New Roman" w:cs="Times New Roman" w:eastAsia="Times New Roman" w:hAnsi="Times New Roman"/>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$0.40 per share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and the foregoing a “</w:t>
      </w:r>
      <w:r>
        <w:rPr>
          <w:rFonts w:ascii="Times New Roman" w:cs="Times New Roman" w:eastAsia="Times New Roman" w:hAnsi="Times New Roman"/>
          <w:sz w:val="18"/>
          <w:szCs w:val="18"/>
          <w:b w:val="1"/>
          <w:bCs w:val="1"/>
          <w:color w:val="auto"/>
        </w:rPr>
        <w:t>Dilutive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w:t>
      </w:r>
      <w:r>
        <w:rPr>
          <w:rFonts w:ascii="Times New Roman" w:cs="Times New Roman" w:eastAsia="Times New Roman" w:hAnsi="Times New Roman"/>
          <w:sz w:val="18"/>
          <w:szCs w:val="18"/>
          <w:color w:val="auto"/>
        </w:rPr>
        <w:t>”), then immediately after such Dilutive Issuance, the number of Warrant Shares shall be increased to an amount equal to (x)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prior to such Dilutive Issuance, multiplied by (y) the quotient of the Applicable Price divided by the New Issuance Price. For all purposes of the foregoing (including, without limitation, determining the adjusted number of Warrant Shares and the New Issuance Price under this Section 2(b)), the following shall be applicable:</w:t>
      </w:r>
    </w:p>
    <w:p>
      <w:pPr>
        <w:spacing w:after="0" w:line="192" w:lineRule="exact"/>
        <w:rPr>
          <w:sz w:val="20"/>
          <w:szCs w:val="20"/>
          <w:color w:val="auto"/>
        </w:rPr>
      </w:pPr>
    </w:p>
    <w:p>
      <w:pPr>
        <w:jc w:val="both"/>
        <w:ind w:firstLine="2333"/>
        <w:spacing w:after="0" w:line="25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firstLine="2333"/>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Issuance of Convertible Securities</w:t>
      </w:r>
      <w:r>
        <w:rPr>
          <w:rFonts w:ascii="Times New Roman" w:cs="Times New Roman" w:eastAsia="Times New Roman" w:hAnsi="Times New Roman"/>
          <w:sz w:val="18"/>
          <w:szCs w:val="18"/>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195" w:lineRule="exact"/>
        <w:rPr>
          <w:sz w:val="20"/>
          <w:szCs w:val="20"/>
          <w:color w:val="auto"/>
        </w:rPr>
      </w:pPr>
    </w:p>
    <w:p>
      <w:pPr>
        <w:jc w:val="both"/>
        <w:ind w:firstLine="2333"/>
        <w:spacing w:after="0" w:line="253"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firstLine="2333"/>
        <w:spacing w:after="0" w:line="254"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 xml:space="preserve">Secondary Securities” </w:t>
      </w:r>
      <w:r>
        <w:rPr>
          <w:rFonts w:ascii="Times New Roman" w:cs="Times New Roman" w:eastAsia="Times New Roman" w:hAnsi="Times New Roman"/>
          <w:sz w:val="18"/>
          <w:szCs w:val="18"/>
          <w:color w:val="auto"/>
        </w:rPr>
        <w:t>and together with the Primary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w:t>
      </w:r>
    </w:p>
    <w:p>
      <w:pPr>
        <w:spacing w:after="0" w:line="3" w:lineRule="exact"/>
        <w:rPr>
          <w:sz w:val="20"/>
          <w:szCs w:val="20"/>
          <w:color w:val="auto"/>
        </w:rPr>
      </w:pPr>
    </w:p>
    <w:p>
      <w:pPr>
        <w:jc w:val="both"/>
        <w:ind w:firstLine="8"/>
        <w:spacing w:after="0" w:line="265" w:lineRule="auto"/>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w:t>
      </w:r>
    </w:p>
    <w:p>
      <w:pPr>
        <w:jc w:val="both"/>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“Valuation Event”), the fair value of such consideration will be determined within five Trading Days after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jc w:val="both"/>
        <w:ind w:firstLine="2333"/>
        <w:spacing w:after="0" w:line="258"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sz w:val="20"/>
          <w:szCs w:val="20"/>
          <w:color w:val="auto"/>
        </w:rPr>
      </w:pPr>
    </w:p>
    <w:p>
      <w:pPr>
        <w:jc w:val="both"/>
        <w:ind w:firstLine="1814"/>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162"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814"/>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2" w:name="page133"/>
    <w:bookmarkEnd w:id="132"/>
    <w:p>
      <w:pPr>
        <w:ind w:left="18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The Company shall not enter into or be party to a Fundamental Transaction unless:</w:t>
      </w:r>
    </w:p>
    <w:p>
      <w:pPr>
        <w:spacing w:after="0" w:line="225" w:lineRule="exact"/>
        <w:rPr>
          <w:sz w:val="20"/>
          <w:szCs w:val="20"/>
          <w:color w:val="auto"/>
        </w:rPr>
      </w:pPr>
    </w:p>
    <w:p>
      <w:pPr>
        <w:jc w:val="both"/>
        <w:ind w:firstLine="2333"/>
        <w:spacing w:after="0" w:line="256" w:lineRule="auto"/>
        <w:rPr>
          <w:sz w:val="20"/>
          <w:szCs w:val="20"/>
          <w:color w:val="auto"/>
        </w:rPr>
      </w:pPr>
      <w:r>
        <w:rPr>
          <w:rFonts w:ascii="Times New Roman" w:cs="Times New Roman" w:eastAsia="Times New Roman" w:hAnsi="Times New Roman"/>
          <w:sz w:val="18"/>
          <w:szCs w:val="18"/>
          <w:color w:val="auto"/>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87" w:lineRule="exact"/>
        <w:rPr>
          <w:sz w:val="20"/>
          <w:szCs w:val="20"/>
          <w:color w:val="auto"/>
        </w:rPr>
      </w:pPr>
    </w:p>
    <w:p>
      <w:pPr>
        <w:jc w:val="both"/>
        <w:ind w:firstLine="2333"/>
        <w:spacing w:after="0" w:line="251" w:lineRule="auto"/>
        <w:rPr>
          <w:sz w:val="20"/>
          <w:szCs w:val="20"/>
          <w:color w:val="auto"/>
        </w:rPr>
      </w:pPr>
      <w:r>
        <w:rPr>
          <w:rFonts w:ascii="Times New Roman" w:cs="Times New Roman" w:eastAsia="Times New Roman" w:hAnsi="Times New Roman"/>
          <w:sz w:val="18"/>
          <w:szCs w:val="18"/>
          <w:color w:val="auto"/>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 w:cs="Times New Roman" w:eastAsia="Times New Roman" w:hAnsi="Times New Roman"/>
          <w:sz w:val="18"/>
          <w:szCs w:val="18"/>
          <w:b w:val="1"/>
          <w:bCs w:val="1"/>
          <w:color w:val="auto"/>
        </w:rPr>
        <w:t>Public Fundamental Transaction</w:t>
      </w:r>
      <w:r>
        <w:rPr>
          <w:rFonts w:ascii="Times New Roman" w:cs="Times New Roman" w:eastAsia="Times New Roman" w:hAnsi="Times New Roman"/>
          <w:sz w:val="18"/>
          <w:szCs w:val="18"/>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94" w:lineRule="exact"/>
        <w:rPr>
          <w:sz w:val="20"/>
          <w:szCs w:val="20"/>
          <w:color w:val="auto"/>
        </w:rPr>
      </w:pPr>
    </w:p>
    <w:p>
      <w:pPr>
        <w:jc w:val="both"/>
        <w:ind w:firstLine="1814"/>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Holder Optional Redemptions</w:t>
      </w:r>
      <w:r>
        <w:rPr>
          <w:rFonts w:ascii="Times New Roman" w:cs="Times New Roman" w:eastAsia="Times New Roman" w:hAnsi="Times New Roman"/>
          <w:sz w:val="18"/>
          <w:szCs w:val="18"/>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92" w:lineRule="exact"/>
        <w:rPr>
          <w:sz w:val="20"/>
          <w:szCs w:val="20"/>
          <w:color w:val="auto"/>
        </w:rPr>
      </w:pPr>
    </w:p>
    <w:p>
      <w:pPr>
        <w:jc w:val="both"/>
        <w:ind w:firstLine="1814"/>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814"/>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92" w:lineRule="exact"/>
        <w:rPr>
          <w:sz w:val="20"/>
          <w:szCs w:val="20"/>
          <w:color w:val="auto"/>
        </w:rPr>
      </w:pPr>
    </w:p>
    <w:p>
      <w:pPr>
        <w:jc w:val="both"/>
        <w:ind w:firstLine="1814"/>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sz w:val="20"/>
          <w:szCs w:val="20"/>
          <w:color w:val="auto"/>
        </w:rPr>
      </w:pPr>
    </w:p>
    <w:p>
      <w:pPr>
        <w:jc w:val="both"/>
        <w:ind w:firstLine="1814"/>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warrants for fractional shares of Common Stock shall be given.</w:t>
      </w:r>
    </w:p>
    <w:p>
      <w:pPr>
        <w:spacing w:after="0" w:line="180" w:lineRule="exact"/>
        <w:rPr>
          <w:sz w:val="20"/>
          <w:szCs w:val="20"/>
          <w:color w:val="auto"/>
        </w:rPr>
      </w:pPr>
    </w:p>
    <w:p>
      <w:pPr>
        <w:jc w:val="both"/>
        <w:ind w:firstLine="1814"/>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8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AND THE HOLDER EACH</w:t>
      </w:r>
    </w:p>
    <w:p>
      <w:pPr>
        <w:spacing w:after="0" w:line="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CONSTRUCTION; HEADINGS; BUSINESS DAYS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NO DISCLOSURE</w:t>
      </w:r>
      <w:r>
        <w:rPr>
          <w:rFonts w:ascii="Times New Roman" w:cs="Times New Roman" w:eastAsia="Times New Roman" w:hAnsi="Times New Roman"/>
          <w:sz w:val="18"/>
          <w:szCs w:val="18"/>
          <w:color w:val="auto"/>
        </w:rPr>
        <w:t>. The Company shall not provide material, non-public information or confidential or proprietary information to the Holder without such Holder’s written consent.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ind w:left="130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REPRESENTATIONS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 Each Holder represents and warrants that it is acquiring this Warrant and the Warrant Shares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76"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Unregistered Securities</w:t>
      </w:r>
      <w:r>
        <w:rPr>
          <w:rFonts w:ascii="Times New Roman" w:cs="Times New Roman" w:eastAsia="Times New Roman" w:hAnsi="Times New Roman"/>
          <w:sz w:val="18"/>
          <w:szCs w:val="18"/>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76"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Each Holder represents and warrants that it is an “accredited investor” as defined in Rule 501(a)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Act.</w:t>
      </w:r>
    </w:p>
    <w:p>
      <w:pPr>
        <w:spacing w:after="0" w:line="207"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Sophisticated Investor</w:t>
      </w:r>
      <w:r>
        <w:rPr>
          <w:rFonts w:ascii="Times New Roman" w:cs="Times New Roman" w:eastAsia="Times New Roman" w:hAnsi="Times New Roman"/>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6"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6" w:lineRule="exact"/>
        <w:rPr>
          <w:sz w:val="20"/>
          <w:szCs w:val="20"/>
          <w:color w:val="auto"/>
        </w:rPr>
      </w:pPr>
    </w:p>
    <w:p>
      <w:pPr>
        <w:jc w:val="both"/>
        <w:ind w:firstLine="1814"/>
        <w:spacing w:after="0" w:line="254"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8" w:name="page139"/>
    <w:bookmarkEnd w:id="138"/>
    <w:p>
      <w:pPr>
        <w:jc w:val="both"/>
        <w:ind w:firstLine="1814"/>
        <w:spacing w:after="0" w:line="253"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the Forbearance Agreement or any other Loan Document. Each Holder with respect to itself acknowledges that the Company would not enter into this Warrant in the absence of the agreements set forth in this Section 17.</w:t>
      </w:r>
    </w:p>
    <w:p>
      <w:pPr>
        <w:spacing w:after="0" w:line="190" w:lineRule="exact"/>
        <w:rPr>
          <w:sz w:val="20"/>
          <w:szCs w:val="20"/>
          <w:color w:val="auto"/>
        </w:rPr>
      </w:pPr>
    </w:p>
    <w:p>
      <w:pPr>
        <w:ind w:firstLine="1239"/>
        <w:spacing w:after="0" w:line="282" w:lineRule="auto"/>
        <w:tabs>
          <w:tab w:leader="none" w:pos="15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The Company represents and warrants to the Holder that, except as set forth in the SEC Reports (as defined below):</w:t>
      </w:r>
    </w:p>
    <w:p>
      <w:pPr>
        <w:spacing w:after="0" w:line="16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       The Company (i) is duly organized, validly existing and in good standing under the laws of its jurisdiction of incorporation;</w:t>
      </w:r>
    </w:p>
    <w:p>
      <w:pPr>
        <w:spacing w:after="0" w:line="27" w:lineRule="exact"/>
        <w:rPr>
          <w:sz w:val="20"/>
          <w:szCs w:val="20"/>
          <w:color w:val="auto"/>
        </w:rPr>
      </w:pPr>
    </w:p>
    <w:p>
      <w:pPr>
        <w:jc w:val="both"/>
        <w:ind w:firstLine="8"/>
        <w:spacing w:after="0" w:line="251" w:lineRule="auto"/>
        <w:tabs>
          <w:tab w:leader="none" w:pos="2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93" w:lineRule="exact"/>
        <w:rPr>
          <w:sz w:val="20"/>
          <w:szCs w:val="20"/>
          <w:color w:val="auto"/>
        </w:rPr>
      </w:pPr>
    </w:p>
    <w:p>
      <w:pPr>
        <w:jc w:val="both"/>
        <w:ind w:firstLine="1814"/>
        <w:spacing w:after="0" w:line="261" w:lineRule="auto"/>
        <w:rPr>
          <w:sz w:val="20"/>
          <w:szCs w:val="20"/>
          <w:color w:val="auto"/>
        </w:rPr>
      </w:pPr>
      <w:r>
        <w:rPr>
          <w:rFonts w:ascii="Times New Roman" w:cs="Times New Roman" w:eastAsia="Times New Roman" w:hAnsi="Times New Roman"/>
          <w:sz w:val="18"/>
          <w:szCs w:val="18"/>
          <w:color w:val="auto"/>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has not been issued in violation of any preemptive rights created under the Company’s organizational documents or the laws of the State of Delaware.</w:t>
      </w:r>
    </w:p>
    <w:p>
      <w:pPr>
        <w:spacing w:after="0" w:line="180"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1814"/>
        <w:spacing w:after="0" w:line="254" w:lineRule="auto"/>
        <w:rPr>
          <w:sz w:val="20"/>
          <w:szCs w:val="20"/>
          <w:color w:val="auto"/>
        </w:rPr>
      </w:pPr>
      <w:r>
        <w:rPr>
          <w:rFonts w:ascii="Times New Roman" w:cs="Times New Roman" w:eastAsia="Times New Roman" w:hAnsi="Times New Roman"/>
          <w:sz w:val="18"/>
          <w:szCs w:val="18"/>
          <w:color w:val="auto"/>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8" w:lineRule="exact"/>
        <w:rPr>
          <w:sz w:val="20"/>
          <w:szCs w:val="20"/>
          <w:color w:val="auto"/>
        </w:rPr>
      </w:pPr>
    </w:p>
    <w:p>
      <w:pPr>
        <w:jc w:val="both"/>
        <w:ind w:firstLine="1814"/>
        <w:spacing w:after="0" w:line="254" w:lineRule="auto"/>
        <w:rPr>
          <w:sz w:val="20"/>
          <w:szCs w:val="20"/>
          <w:color w:val="auto"/>
        </w:rPr>
      </w:pPr>
      <w:r>
        <w:rPr>
          <w:rFonts w:ascii="Times New Roman" w:cs="Times New Roman" w:eastAsia="Times New Roman" w:hAnsi="Times New Roman"/>
          <w:sz w:val="18"/>
          <w:szCs w:val="18"/>
          <w:color w:val="auto"/>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3" w:lineRule="exact"/>
        <w:rPr>
          <w:sz w:val="20"/>
          <w:szCs w:val="20"/>
          <w:color w:val="auto"/>
        </w:rPr>
      </w:pPr>
    </w:p>
    <w:p>
      <w:pPr>
        <w:ind w:right="20" w:firstLine="8"/>
        <w:spacing w:after="0" w:line="260" w:lineRule="auto"/>
        <w:tabs>
          <w:tab w:leader="none" w:pos="3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181" w:lineRule="exact"/>
        <w:rPr>
          <w:sz w:val="20"/>
          <w:szCs w:val="20"/>
          <w:color w:val="auto"/>
        </w:rPr>
      </w:pPr>
    </w:p>
    <w:p>
      <w:pPr>
        <w:jc w:val="both"/>
        <w:ind w:firstLine="1814"/>
        <w:spacing w:after="0" w:line="252" w:lineRule="auto"/>
        <w:rPr>
          <w:sz w:val="20"/>
          <w:szCs w:val="20"/>
          <w:color w:val="auto"/>
        </w:rPr>
      </w:pPr>
      <w:r>
        <w:rPr>
          <w:rFonts w:ascii="Times New Roman" w:cs="Times New Roman" w:eastAsia="Times New Roman" w:hAnsi="Times New Roman"/>
          <w:sz w:val="18"/>
          <w:szCs w:val="18"/>
          <w:color w:val="auto"/>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i w:val="1"/>
          <w:iCs w:val="1"/>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 w:cs="Times New Roman" w:eastAsia="Times New Roman" w:hAnsi="Times New Roman"/>
          <w:sz w:val="18"/>
          <w:szCs w:val="18"/>
          <w:b w:val="1"/>
          <w:bCs w:val="1"/>
          <w:color w:val="auto"/>
        </w:rPr>
        <w:t>2023 Form 10-K</w:t>
      </w:r>
      <w:r>
        <w:rPr>
          <w:rFonts w:ascii="Times New Roman" w:cs="Times New Roman" w:eastAsia="Times New Roman" w:hAnsi="Times New Roman"/>
          <w:sz w:val="18"/>
          <w:szCs w:val="18"/>
          <w:color w:val="auto"/>
        </w:rPr>
        <w:t xml:space="preserve">”)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 </w:t>
      </w:r>
      <w:r>
        <w:rPr>
          <w:rFonts w:ascii="Times New Roman" w:cs="Times New Roman" w:eastAsia="Times New Roman" w:hAnsi="Times New Roman"/>
          <w:sz w:val="18"/>
          <w:szCs w:val="18"/>
          <w:b w:val="1"/>
          <w:bCs w:val="1"/>
          <w:i w:val="1"/>
          <w:iCs w:val="1"/>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7" w:lineRule="exact"/>
        <w:rPr>
          <w:sz w:val="20"/>
          <w:szCs w:val="20"/>
          <w:color w:val="auto"/>
        </w:rPr>
      </w:pPr>
    </w:p>
    <w:p>
      <w:pPr>
        <w:jc w:val="both"/>
        <w:ind w:firstLine="1814"/>
        <w:spacing w:after="0" w:line="258" w:lineRule="auto"/>
        <w:rPr>
          <w:sz w:val="20"/>
          <w:szCs w:val="20"/>
          <w:color w:val="auto"/>
        </w:rPr>
      </w:pPr>
      <w:r>
        <w:rPr>
          <w:rFonts w:ascii="Times New Roman" w:cs="Times New Roman" w:eastAsia="Times New Roman" w:hAnsi="Times New Roman"/>
          <w:sz w:val="18"/>
          <w:szCs w:val="18"/>
          <w:color w:val="auto"/>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1814"/>
        <w:spacing w:after="0" w:line="256" w:lineRule="auto"/>
        <w:rPr>
          <w:sz w:val="20"/>
          <w:szCs w:val="20"/>
          <w:color w:val="auto"/>
        </w:rPr>
      </w:pPr>
      <w:r>
        <w:rPr>
          <w:rFonts w:ascii="Times New Roman" w:cs="Times New Roman" w:eastAsia="Times New Roman" w:hAnsi="Times New Roman"/>
          <w:sz w:val="18"/>
          <w:szCs w:val="18"/>
          <w:color w:val="auto"/>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7"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76" w:lineRule="exact"/>
        <w:rPr>
          <w:sz w:val="20"/>
          <w:szCs w:val="20"/>
          <w:color w:val="auto"/>
        </w:rPr>
      </w:pPr>
    </w:p>
    <w:p>
      <w:pPr>
        <w:jc w:val="both"/>
        <w:ind w:firstLine="1814"/>
        <w:spacing w:after="0" w:line="261" w:lineRule="auto"/>
        <w:rPr>
          <w:sz w:val="20"/>
          <w:szCs w:val="20"/>
          <w:color w:val="auto"/>
        </w:rPr>
      </w:pPr>
      <w:r>
        <w:rPr>
          <w:rFonts w:ascii="Times New Roman" w:cs="Times New Roman" w:eastAsia="Times New Roman" w:hAnsi="Times New Roman"/>
          <w:sz w:val="18"/>
          <w:szCs w:val="18"/>
          <w:color w:val="auto"/>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0" w:lineRule="exact"/>
        <w:rPr>
          <w:sz w:val="20"/>
          <w:szCs w:val="20"/>
          <w:color w:val="auto"/>
        </w:rPr>
      </w:pPr>
    </w:p>
    <w:p>
      <w:pPr>
        <w:jc w:val="both"/>
        <w:ind w:firstLine="1814"/>
        <w:spacing w:after="0" w:line="255" w:lineRule="auto"/>
        <w:rPr>
          <w:sz w:val="20"/>
          <w:szCs w:val="20"/>
          <w:color w:val="auto"/>
        </w:rPr>
      </w:pPr>
      <w:r>
        <w:rPr>
          <w:rFonts w:ascii="Times New Roman" w:cs="Times New Roman" w:eastAsia="Times New Roman" w:hAnsi="Times New Roman"/>
          <w:sz w:val="18"/>
          <w:szCs w:val="18"/>
          <w:color w:val="auto"/>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sz w:val="20"/>
          <w:szCs w:val="20"/>
          <w:color w:val="auto"/>
        </w:rPr>
      </w:pPr>
    </w:p>
    <w:p>
      <w:pPr>
        <w:jc w:val="both"/>
        <w:ind w:firstLine="1814"/>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sz w:val="20"/>
          <w:szCs w:val="20"/>
          <w:color w:val="auto"/>
        </w:rPr>
      </w:pPr>
    </w:p>
    <w:p>
      <w:pPr>
        <w:jc w:val="both"/>
        <w:ind w:firstLine="1814"/>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5" w:lineRule="exact"/>
        <w:rPr>
          <w:sz w:val="20"/>
          <w:szCs w:val="20"/>
          <w:color w:val="auto"/>
        </w:rPr>
      </w:pPr>
    </w:p>
    <w:p>
      <w:pPr>
        <w:jc w:val="both"/>
        <w:ind w:firstLine="1814"/>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1814"/>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82" w:lineRule="exact"/>
        <w:rPr>
          <w:sz w:val="20"/>
          <w:szCs w:val="20"/>
          <w:color w:val="auto"/>
        </w:rPr>
      </w:pPr>
    </w:p>
    <w:p>
      <w:pPr>
        <w:jc w:val="both"/>
        <w:ind w:firstLine="1814"/>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Black Scholes Going Private Value</w:t>
      </w:r>
      <w:r>
        <w:rPr>
          <w:rFonts w:ascii="Times New Roman" w:cs="Times New Roman" w:eastAsia="Times New Roman" w:hAnsi="Times New Roman"/>
          <w:sz w:val="18"/>
          <w:szCs w:val="18"/>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7" w:lineRule="exact"/>
        <w:rPr>
          <w:sz w:val="20"/>
          <w:szCs w:val="20"/>
          <w:color w:val="auto"/>
        </w:rPr>
      </w:pPr>
    </w:p>
    <w:p>
      <w:pPr>
        <w:jc w:val="both"/>
        <w:ind w:firstLine="1814"/>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8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jc w:val="both"/>
        <w:ind w:firstLine="1814"/>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jc w:val="both"/>
        <w:ind w:firstLine="1814"/>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both"/>
        <w:ind w:right="20" w:firstLine="1814"/>
        <w:spacing w:after="0" w:line="28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55" w:lineRule="exact"/>
        <w:rPr>
          <w:sz w:val="20"/>
          <w:szCs w:val="20"/>
          <w:color w:val="auto"/>
        </w:rPr>
      </w:pPr>
    </w:p>
    <w:p>
      <w:pPr>
        <w:jc w:val="both"/>
        <w:ind w:firstLine="1814"/>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5" w:lineRule="exact"/>
        <w:rPr>
          <w:sz w:val="20"/>
          <w:szCs w:val="20"/>
          <w:color w:val="auto"/>
        </w:rPr>
      </w:pPr>
    </w:p>
    <w:p>
      <w:pPr>
        <w:jc w:val="both"/>
        <w:ind w:firstLine="1814"/>
        <w:spacing w:after="0" w:line="28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Nasdaq Capital Market, The Nasdaq Global Select Market, The Nasdaq Global Market, the NYSE American, or The New York Stock Exchange.</w:t>
      </w:r>
    </w:p>
    <w:p>
      <w:pPr>
        <w:spacing w:after="0" w:line="155" w:lineRule="exact"/>
        <w:rPr>
          <w:sz w:val="20"/>
          <w:szCs w:val="20"/>
          <w:color w:val="auto"/>
        </w:rPr>
      </w:pPr>
    </w:p>
    <w:p>
      <w:pPr>
        <w:jc w:val="both"/>
        <w:ind w:firstLine="1814"/>
        <w:spacing w:after="0" w:line="25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 w:cs="Times New Roman" w:eastAsia="Times New Roman" w:hAnsi="Times New Roman"/>
          <w:sz w:val="18"/>
          <w:szCs w:val="18"/>
          <w:b w:val="1"/>
          <w:bCs w:val="1"/>
          <w:color w:val="auto"/>
        </w:rPr>
        <w:t>Metropolitan Entities</w:t>
      </w:r>
      <w:r>
        <w:rPr>
          <w:rFonts w:ascii="Times New Roman" w:cs="Times New Roman" w:eastAsia="Times New Roman" w:hAnsi="Times New Roman"/>
          <w:sz w:val="18"/>
          <w:szCs w:val="18"/>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any warrant issued to the Metropolitan Entities in connection with the Third Amendment and (F) this Warrant and any other warrant issued to the Metropolitan Entities in connection with the Forbearance Agreement.</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jc w:val="both"/>
        <w:ind w:firstLine="1814"/>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55" w:lineRule="exact"/>
        <w:rPr>
          <w:sz w:val="20"/>
          <w:szCs w:val="20"/>
          <w:color w:val="auto"/>
        </w:rPr>
      </w:pPr>
    </w:p>
    <w:p>
      <w:pPr>
        <w:jc w:val="both"/>
        <w:ind w:firstLine="1814"/>
        <w:spacing w:after="0" w:line="251"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ind w:left="182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3" w:lineRule="exact"/>
        <w:rPr>
          <w:sz w:val="20"/>
          <w:szCs w:val="20"/>
          <w:color w:val="auto"/>
        </w:rPr>
      </w:pPr>
    </w:p>
    <w:p>
      <w:pPr>
        <w:jc w:val="both"/>
        <w:ind w:firstLine="1814"/>
        <w:spacing w:after="0" w:line="259"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9" w:lineRule="exact"/>
        <w:rPr>
          <w:sz w:val="20"/>
          <w:szCs w:val="20"/>
          <w:color w:val="auto"/>
        </w:rPr>
      </w:pPr>
    </w:p>
    <w:p>
      <w:pPr>
        <w:jc w:val="both"/>
        <w:ind w:firstLine="1814"/>
        <w:spacing w:after="0" w:line="28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firstLine="1814"/>
        <w:spacing w:after="0" w:line="28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OTC Bulletin Board or any other Eligible Market, or any national securities exchange, market or trading or quotation facility on which the Common Stock is then listed or quoted.</w:t>
      </w:r>
    </w:p>
    <w:p>
      <w:pPr>
        <w:spacing w:after="0" w:line="15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sz w:val="20"/>
          <w:szCs w:val="20"/>
          <w:color w:val="auto"/>
        </w:rPr>
      </w:pPr>
    </w:p>
    <w:p>
      <w:pPr>
        <w:jc w:val="both"/>
        <w:ind w:firstLine="1814"/>
        <w:spacing w:after="0" w:line="26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1" w:lineRule="exact"/>
        <w:rPr>
          <w:sz w:val="20"/>
          <w:szCs w:val="20"/>
          <w:color w:val="auto"/>
        </w:rPr>
      </w:pPr>
    </w:p>
    <w:p>
      <w:pPr>
        <w:jc w:val="both"/>
        <w:ind w:firstLine="1814"/>
        <w:spacing w:after="0" w:line="278" w:lineRule="auto"/>
        <w:rPr>
          <w:sz w:val="20"/>
          <w:szCs w:val="20"/>
          <w:color w:val="auto"/>
        </w:rPr>
      </w:pPr>
      <w:r>
        <w:rPr>
          <w:rFonts w:ascii="Times New Roman" w:cs="Times New Roman" w:eastAsia="Times New Roman" w:hAnsi="Times New Roman"/>
          <w:sz w:val="17"/>
          <w:szCs w:val="17"/>
          <w:color w:val="auto"/>
        </w:rPr>
        <w:t>(x)        “</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jc w:val="both"/>
        <w:ind w:firstLine="1814"/>
        <w:spacing w:after="0" w:line="253"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 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23"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 of the shares 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Presto</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Warrant to Purchase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900" w:hanging="1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Exercise Price. The Holder intends that payment of the Exercise Price shall be made as: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 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_________________ Warrant Shares;</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     and/or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 Warrant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62" w:lineRule="exact"/>
        <w:rPr>
          <w:sz w:val="20"/>
          <w:szCs w:val="20"/>
          <w:color w:val="auto"/>
        </w:rPr>
      </w:pPr>
    </w:p>
    <w:p>
      <w:pPr>
        <w:jc w:val="both"/>
        <w:ind w:firstLine="721"/>
        <w:spacing w:after="0" w:line="266" w:lineRule="auto"/>
        <w:tabs>
          <w:tab w:leader="none" w:pos="9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 to the Company in accordance with the terms of the Warrant.</w:t>
      </w:r>
    </w:p>
    <w:p>
      <w:pPr>
        <w:spacing w:after="0" w:line="175" w:lineRule="exact"/>
        <w:rPr>
          <w:rFonts w:ascii="Times New Roman" w:cs="Times New Roman" w:eastAsia="Times New Roman" w:hAnsi="Times New Roman"/>
          <w:sz w:val="18"/>
          <w:szCs w:val="18"/>
          <w:color w:val="auto"/>
        </w:rPr>
      </w:pPr>
    </w:p>
    <w:p>
      <w:pPr>
        <w:ind w:left="920" w:hanging="199"/>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The Company shall deliver to the holder _____________ Warrant Shares in accordance with the terms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Electronic Delivery</w:t>
            </w:r>
          </w:p>
        </w:tc>
        <w:tc>
          <w:tcPr>
            <w:tcW w:w="75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DTC Participant:</w:t>
            </w:r>
          </w:p>
        </w:tc>
        <w:tc>
          <w:tcPr>
            <w:tcW w:w="0" w:type="dxa"/>
            <w:vAlign w:val="bottom"/>
          </w:tcPr>
          <w:p>
            <w:pPr>
              <w:spacing w:after="0"/>
              <w:rPr>
                <w:sz w:val="1"/>
                <w:szCs w:val="1"/>
                <w:color w:val="auto"/>
              </w:rPr>
            </w:pPr>
          </w:p>
        </w:tc>
      </w:tr>
      <w:tr>
        <w:trPr>
          <w:trHeight w:val="210"/>
        </w:trPr>
        <w:tc>
          <w:tcPr>
            <w:tcW w:w="920" w:type="dxa"/>
            <w:vAlign w:val="bottom"/>
            <w:tcBorders>
              <w:top w:val="single" w:sz="8" w:color="auto"/>
            </w:tcBorders>
          </w:tcPr>
          <w:p>
            <w:pPr>
              <w:spacing w:after="0"/>
              <w:rPr>
                <w:sz w:val="18"/>
                <w:szCs w:val="18"/>
                <w:color w:val="auto"/>
              </w:rPr>
            </w:pPr>
          </w:p>
        </w:tc>
        <w:tc>
          <w:tcPr>
            <w:tcW w:w="2760" w:type="dxa"/>
            <w:vAlign w:val="bottom"/>
          </w:tcPr>
          <w:p>
            <w:pPr>
              <w:spacing w:after="0"/>
              <w:rPr>
                <w:sz w:val="18"/>
                <w:szCs w:val="18"/>
                <w:color w:val="auto"/>
              </w:rPr>
            </w:pPr>
          </w:p>
        </w:tc>
        <w:tc>
          <w:tcPr>
            <w:tcW w:w="28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DTC Number:</w:t>
            </w:r>
          </w:p>
        </w:tc>
        <w:tc>
          <w:tcPr>
            <w:tcW w:w="47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Account Name</w:t>
            </w:r>
            <w:r>
              <w:rPr>
                <w:rFonts w:ascii="Times New Roman" w:cs="Times New Roman" w:eastAsia="Times New Roman" w:hAnsi="Times New Roman"/>
                <w:sz w:val="18"/>
                <w:szCs w:val="18"/>
                <w:u w:val="single" w:color="auto"/>
                <w:color w:val="auto"/>
              </w:rPr>
              <w:t>:</w:t>
            </w:r>
          </w:p>
        </w:tc>
        <w:tc>
          <w:tcPr>
            <w:tcW w:w="4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Account Number:</w:t>
            </w:r>
          </w:p>
        </w:tc>
        <w:tc>
          <w:tcPr>
            <w:tcW w:w="4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920" w:type="dxa"/>
            <w:vAlign w:val="bottom"/>
            <w:tcBorders>
              <w:bottom w:val="single" w:sz="8" w:color="auto"/>
            </w:tcBorders>
          </w:tcPr>
          <w:p>
            <w:pPr>
              <w:spacing w:after="0"/>
              <w:rPr>
                <w:sz w:val="24"/>
                <w:szCs w:val="24"/>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Physical Delivery</w:t>
            </w:r>
          </w:p>
        </w:tc>
        <w:tc>
          <w:tcPr>
            <w:tcW w:w="28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Address:</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Date:______________ __, ______</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68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80" w:type="dxa"/>
            <w:vAlign w:val="bottom"/>
            <w:tcBorders>
              <w:bottom w:val="single" w:sz="8" w:color="auto"/>
            </w:tcBorders>
            <w:gridSpan w:val="2"/>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1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9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33515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9974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49974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49974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Date:______________ __, ______</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17830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17830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160020</wp:posOffset>
            </wp:positionV>
            <wp:extent cx="17830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4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2024-1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562,771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January 30, 2024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Metropolitan Offshore Partners Fund VII, LP,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562,771 duly authorized, validly issued, fully paid, nonassessable shares of Common Stock,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18. The Warrant is being issued pursuant to Section 8(i)(4) of that certain Forbearance and Fourth Amendment to Credit Agreement, dated January 22, 2024, among Presto Automation LLC (f/k/a E La Carte, LLC, f/k/a Ventoux Merger Sub II LLC), the Company, Metropolitan Partners Group Administration, LLC, as agent, and the Lenders (as defined therein) (the “</w:t>
      </w:r>
      <w:r>
        <w:rPr>
          <w:rFonts w:ascii="Times New Roman" w:cs="Times New Roman" w:eastAsia="Times New Roman" w:hAnsi="Times New Roman"/>
          <w:sz w:val="18"/>
          <w:szCs w:val="18"/>
          <w:b w:val="1"/>
          <w:bCs w:val="1"/>
          <w:color w:val="auto"/>
        </w:rPr>
        <w:t>Forbearance Agreement</w:t>
      </w:r>
      <w:r>
        <w:rPr>
          <w:rFonts w:ascii="Times New Roman" w:cs="Times New Roman" w:eastAsia="Times New Roman" w:hAnsi="Times New Roman"/>
          <w:sz w:val="18"/>
          <w:szCs w:val="18"/>
          <w:color w:val="auto"/>
        </w:rPr>
        <w:t>”). Capitalized terms used herein and not otherwise defined shall have the definitions ascribed to such terms in the Forbearance Agreement or the Credit Agreement (as defined in the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2" w:name="page153"/>
    <w:bookmarkEnd w:id="152"/>
    <w:p>
      <w:pPr>
        <w:ind w:left="1560"/>
        <w:spacing w:after="0"/>
        <w:rPr>
          <w:sz w:val="20"/>
          <w:szCs w:val="20"/>
          <w:color w:val="auto"/>
        </w:rPr>
      </w:pPr>
      <w:r>
        <w:rPr>
          <w:rFonts w:ascii="Times New Roman" w:cs="Times New Roman" w:eastAsia="Times New Roman" w:hAnsi="Times New Roman"/>
          <w:sz w:val="18"/>
          <w:szCs w:val="18"/>
          <w:color w:val="auto"/>
        </w:rPr>
        <w:t>1.      EXERCISE OF WARRANT.</w:t>
      </w:r>
    </w:p>
    <w:p>
      <w:pPr>
        <w:spacing w:after="0" w:line="225"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On or before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Trading Day following the date on which the Company has received the Exercise Notice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xml:space="preserve">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$0.01, subject to adjustment as provided herein.</w:t>
      </w:r>
    </w:p>
    <w:p>
      <w:pPr>
        <w:spacing w:after="0" w:line="229"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4" w:name="page155"/>
    <w:bookmarkEnd w:id="154"/>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ind w:left="1440" w:right="20"/>
        <w:spacing w:after="0" w:line="282" w:lineRule="auto"/>
        <w:rPr>
          <w:sz w:val="20"/>
          <w:szCs w:val="20"/>
          <w:color w:val="auto"/>
        </w:rPr>
      </w:pPr>
      <w:r>
        <w:rPr>
          <w:rFonts w:ascii="Times New Roman" w:cs="Times New Roman" w:eastAsia="Times New Roman" w:hAnsi="Times New Roman"/>
          <w:sz w:val="18"/>
          <w:szCs w:val="18"/>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Forbearance Agreement.</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firstLine="1944"/>
        <w:spacing w:after="0" w:line="267"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Limitations on Exercises</w:t>
      </w:r>
      <w:r>
        <w:rPr>
          <w:rFonts w:ascii="Times New Roman" w:cs="Times New Roman" w:eastAsia="Times New Roman" w:hAnsi="Times New Roman"/>
          <w:sz w:val="17"/>
          <w:szCs w:val="17"/>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7"/>
          <w:szCs w:val="17"/>
          <w:b w:val="1"/>
          <w:bCs w:val="1"/>
          <w:color w:val="auto"/>
        </w:rPr>
        <w:t>Reduction Shares</w:t>
      </w:r>
      <w:r>
        <w:rPr>
          <w:rFonts w:ascii="Times New Roman" w:cs="Times New Roman" w:eastAsia="Times New Roman" w:hAnsi="Times New Roman"/>
          <w:sz w:val="17"/>
          <w:szCs w:val="17"/>
          <w:color w:val="auto"/>
        </w:rPr>
        <w:t>”) and</w:t>
      </w:r>
    </w:p>
    <w:p>
      <w:pPr>
        <w:spacing w:after="0" w:line="203" w:lineRule="exact"/>
        <w:rPr>
          <w:sz w:val="20"/>
          <w:szCs w:val="20"/>
          <w:color w:val="auto"/>
        </w:rPr>
      </w:pPr>
    </w:p>
    <w:p>
      <w:pPr>
        <w:jc w:val="both"/>
        <w:ind w:firstLine="8"/>
        <w:spacing w:after="0" w:line="250" w:lineRule="auto"/>
        <w:tabs>
          <w:tab w:leader="none" w:pos="2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Forbearance Agreement (together with this Warrant, the “</w:t>
      </w:r>
      <w:r>
        <w:rPr>
          <w:rFonts w:ascii="Times New Roman" w:cs="Times New Roman" w:eastAsia="Times New Roman" w:hAnsi="Times New Roman"/>
          <w:sz w:val="18"/>
          <w:szCs w:val="18"/>
          <w:b w:val="1"/>
          <w:bCs w:val="1"/>
          <w:color w:val="auto"/>
        </w:rPr>
        <w:t>Forbearance Warrants</w:t>
      </w:r>
      <w:r>
        <w:rPr>
          <w:rFonts w:ascii="Times New Roman" w:cs="Times New Roman" w:eastAsia="Times New Roman" w:hAnsi="Times New Roman"/>
          <w:sz w:val="18"/>
          <w:szCs w:val="18"/>
          <w:color w:val="auto"/>
        </w:rPr>
        <w:t>”), together with the total number of shares of Common Stock issuable upon conversion of the Company’s Subordinated Convertible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sold by the Company on the date hereof to certain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may not exceed the requirements of Nasdaq Listing Rule 5635(d) (“</w:t>
      </w:r>
      <w:r>
        <w:rPr>
          <w:rFonts w:ascii="Times New Roman" w:cs="Times New Roman" w:eastAsia="Times New Roman" w:hAnsi="Times New Roman"/>
          <w:sz w:val="18"/>
          <w:szCs w:val="18"/>
          <w:b w:val="1"/>
          <w:bCs w:val="1"/>
          <w:color w:val="auto"/>
        </w:rPr>
        <w:t>Nasdaq 19.99%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issued to the holders of the Forbearance Warrants and the Notes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Forbearance Warrants and upon the conversion of the Notes, if necessary,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the conversion of the Notes shall be made between (x) the holders of the Forbearance Warrants, and (y) the Buyers as nearly as possible on a pro rata basis based on the total amount of shares of Common Stock issued or issuable to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and the failure to have such sufficient number of authorized and unreserved shares of Common Stock,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 (as defined in the Forbearance Agreement) or under any provision of the Forbearance Agreement.</w:t>
      </w:r>
    </w:p>
    <w:p>
      <w:pPr>
        <w:spacing w:after="0" w:line="188" w:lineRule="exact"/>
        <w:rPr>
          <w:sz w:val="20"/>
          <w:szCs w:val="20"/>
          <w:color w:val="auto"/>
        </w:rPr>
      </w:pPr>
    </w:p>
    <w:p>
      <w:pPr>
        <w:jc w:val="both"/>
        <w:ind w:firstLine="1555"/>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ADJUSTMENT OF EXERCISE PRICE AND NUMBER OF WARRANT SHARES</w:t>
      </w:r>
      <w:r>
        <w:rPr>
          <w:rFonts w:ascii="Times New Roman" w:cs="Times New Roman" w:eastAsia="Times New Roman" w:hAnsi="Times New Roman"/>
          <w:sz w:val="18"/>
          <w:szCs w:val="18"/>
          <w:color w:val="auto"/>
        </w:rPr>
        <w:t>. The Exercise Price and the number of Warrant Shares issuable upon exercise of this Warrant are subject to adjustments from time to time as set forth in this Section 2.</w:t>
      </w:r>
    </w:p>
    <w:p>
      <w:pPr>
        <w:spacing w:after="0" w:line="162"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 Upon Subdivision or Combination of Shares of Common Stock</w:t>
      </w:r>
      <w:r>
        <w:rPr>
          <w:rFonts w:ascii="Times New Roman" w:cs="Times New Roman" w:eastAsia="Times New Roman" w:hAnsi="Times New Roman"/>
          <w:sz w:val="18"/>
          <w:szCs w:val="18"/>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Adjustment Upon Issuance of Shares of Common Stock</w:t>
      </w:r>
      <w:r>
        <w:rPr>
          <w:rFonts w:ascii="Times New Roman" w:cs="Times New Roman" w:eastAsia="Times New Roman" w:hAnsi="Times New Roman"/>
          <w:sz w:val="18"/>
          <w:szCs w:val="18"/>
          <w:color w:val="auto"/>
        </w:rPr>
        <w:t>. If and whenever on or after the Issuance Date but prior to April 1, 2024 (the “</w:t>
      </w:r>
      <w:r>
        <w:rPr>
          <w:rFonts w:ascii="Times New Roman" w:cs="Times New Roman" w:eastAsia="Times New Roman" w:hAnsi="Times New Roman"/>
          <w:sz w:val="18"/>
          <w:szCs w:val="18"/>
          <w:b w:val="1"/>
          <w:bCs w:val="1"/>
          <w:color w:val="auto"/>
        </w:rPr>
        <w:t>Anti-Dilution Period</w:t>
      </w:r>
      <w:r>
        <w:rPr>
          <w:rFonts w:ascii="Times New Roman" w:cs="Times New Roman" w:eastAsia="Times New Roman" w:hAnsi="Times New Roman"/>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$0.40 per share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and the foregoing a “</w:t>
      </w:r>
      <w:r>
        <w:rPr>
          <w:rFonts w:ascii="Times New Roman" w:cs="Times New Roman" w:eastAsia="Times New Roman" w:hAnsi="Times New Roman"/>
          <w:sz w:val="18"/>
          <w:szCs w:val="18"/>
          <w:b w:val="1"/>
          <w:bCs w:val="1"/>
          <w:color w:val="auto"/>
        </w:rPr>
        <w:t>Dilutive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w:t>
      </w:r>
      <w:r>
        <w:rPr>
          <w:rFonts w:ascii="Times New Roman" w:cs="Times New Roman" w:eastAsia="Times New Roman" w:hAnsi="Times New Roman"/>
          <w:sz w:val="18"/>
          <w:szCs w:val="18"/>
          <w:color w:val="auto"/>
        </w:rPr>
        <w:t>”), then immediately after such Dilutive Issuance, the number of Warrant Shares shall be increased to an amount equal to (x)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prior to such Dilutive Issuance, multiplied by (y) the quotient of the Applicable Price divided by the New Issuance Price. For all purposes of the foregoing (including, without limitation, determining the adjusted number of Warrant Shares and the New Issuance Price under this Section 2(b)), the following shall be applicable:</w:t>
      </w:r>
    </w:p>
    <w:p>
      <w:pPr>
        <w:spacing w:after="0" w:line="192" w:lineRule="exact"/>
        <w:rPr>
          <w:sz w:val="20"/>
          <w:szCs w:val="20"/>
          <w:color w:val="auto"/>
        </w:rPr>
      </w:pPr>
    </w:p>
    <w:p>
      <w:pPr>
        <w:jc w:val="both"/>
        <w:ind w:firstLine="2333"/>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Issuance of Options</w:t>
      </w:r>
      <w:r>
        <w:rPr>
          <w:rFonts w:ascii="Times New Roman" w:cs="Times New Roman" w:eastAsia="Times New Roman" w:hAnsi="Times New Roman"/>
          <w:sz w:val="18"/>
          <w:szCs w:val="18"/>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2333"/>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Issuance of Convertible Securities</w:t>
      </w:r>
      <w:r>
        <w:rPr>
          <w:rFonts w:ascii="Times New Roman" w:cs="Times New Roman" w:eastAsia="Times New Roman" w:hAnsi="Times New Roman"/>
          <w:sz w:val="18"/>
          <w:szCs w:val="18"/>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195" w:lineRule="exact"/>
        <w:rPr>
          <w:sz w:val="20"/>
          <w:szCs w:val="20"/>
          <w:color w:val="auto"/>
        </w:rPr>
      </w:pPr>
    </w:p>
    <w:p>
      <w:pPr>
        <w:jc w:val="both"/>
        <w:ind w:firstLine="2333"/>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firstLine="2333"/>
        <w:spacing w:after="0" w:line="25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and together with the Primary Security,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“Valuation Event”), the fair value of such consideration will be determined within five Trading Days after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jc w:val="both"/>
        <w:ind w:firstLine="2333"/>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Voluntary Adjustment by Company</w:t>
      </w:r>
      <w:r>
        <w:rPr>
          <w:rFonts w:ascii="Times New Roman" w:cs="Times New Roman" w:eastAsia="Times New Roman" w:hAnsi="Times New Roman"/>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6" w:lineRule="exact"/>
        <w:rPr>
          <w:sz w:val="20"/>
          <w:szCs w:val="20"/>
          <w:color w:val="auto"/>
        </w:rPr>
      </w:pPr>
    </w:p>
    <w:p>
      <w:pPr>
        <w:jc w:val="both"/>
        <w:ind w:firstLine="1555"/>
        <w:spacing w:after="0" w:line="25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ind w:left="15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Rights</w:t>
      </w:r>
      <w:r>
        <w:rPr>
          <w:rFonts w:ascii="Times New Roman" w:cs="Times New Roman" w:eastAsia="Times New Roman" w:hAnsi="Times New Roman"/>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9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Fundamental Transactions</w:t>
      </w:r>
      <w:r>
        <w:rPr>
          <w:rFonts w:ascii="Times New Roman" w:cs="Times New Roman" w:eastAsia="Times New Roman" w:hAnsi="Times New Roman"/>
          <w:sz w:val="18"/>
          <w:szCs w:val="18"/>
          <w:color w:val="auto"/>
        </w:rPr>
        <w:t>. The Company shall not enter into or be party to a Fundamental Transaction unless:</w:t>
      </w:r>
    </w:p>
    <w:p>
      <w:pPr>
        <w:spacing w:after="0" w:line="225" w:lineRule="exact"/>
        <w:rPr>
          <w:sz w:val="20"/>
          <w:szCs w:val="20"/>
          <w:color w:val="auto"/>
        </w:rPr>
      </w:pPr>
    </w:p>
    <w:p>
      <w:pPr>
        <w:jc w:val="both"/>
        <w:ind w:firstLine="2333"/>
        <w:spacing w:after="0" w:line="256" w:lineRule="auto"/>
        <w:rPr>
          <w:sz w:val="20"/>
          <w:szCs w:val="20"/>
          <w:color w:val="auto"/>
        </w:rPr>
      </w:pPr>
      <w:r>
        <w:rPr>
          <w:rFonts w:ascii="Times New Roman" w:cs="Times New Roman" w:eastAsia="Times New Roman" w:hAnsi="Times New Roman"/>
          <w:sz w:val="18"/>
          <w:szCs w:val="18"/>
          <w:color w:val="auto"/>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firstLine="2333"/>
        <w:spacing w:after="0" w:line="251" w:lineRule="auto"/>
        <w:rPr>
          <w:sz w:val="20"/>
          <w:szCs w:val="20"/>
          <w:color w:val="auto"/>
        </w:rPr>
      </w:pPr>
      <w:r>
        <w:rPr>
          <w:rFonts w:ascii="Times New Roman" w:cs="Times New Roman" w:eastAsia="Times New Roman" w:hAnsi="Times New Roman"/>
          <w:sz w:val="18"/>
          <w:szCs w:val="18"/>
          <w:color w:val="auto"/>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 w:cs="Times New Roman" w:eastAsia="Times New Roman" w:hAnsi="Times New Roman"/>
          <w:sz w:val="18"/>
          <w:szCs w:val="18"/>
          <w:b w:val="1"/>
          <w:bCs w:val="1"/>
          <w:color w:val="auto"/>
        </w:rPr>
        <w:t>Public Fundamental Transaction</w:t>
      </w:r>
      <w:r>
        <w:rPr>
          <w:rFonts w:ascii="Times New Roman" w:cs="Times New Roman" w:eastAsia="Times New Roman" w:hAnsi="Times New Roman"/>
          <w:sz w:val="18"/>
          <w:szCs w:val="18"/>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Holder Optional Redemptions</w:t>
      </w:r>
      <w:r>
        <w:rPr>
          <w:rFonts w:ascii="Times New Roman" w:cs="Times New Roman" w:eastAsia="Times New Roman" w:hAnsi="Times New Roman"/>
          <w:sz w:val="18"/>
          <w:szCs w:val="18"/>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9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80" w:lineRule="exact"/>
        <w:rPr>
          <w:sz w:val="20"/>
          <w:szCs w:val="20"/>
          <w:color w:val="auto"/>
        </w:rPr>
      </w:pPr>
    </w:p>
    <w:p>
      <w:pPr>
        <w:jc w:val="both"/>
        <w:ind w:firstLine="1555"/>
        <w:spacing w:after="0" w:line="253"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7" w:lineRule="exact"/>
        <w:rPr>
          <w:sz w:val="20"/>
          <w:szCs w:val="20"/>
          <w:color w:val="auto"/>
        </w:rPr>
      </w:pPr>
    </w:p>
    <w:p>
      <w:pPr>
        <w:jc w:val="both"/>
        <w:ind w:firstLine="1555"/>
        <w:spacing w:after="0" w:line="253"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left="15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REISSUANCE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879"/>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92" w:lineRule="exact"/>
        <w:rPr>
          <w:sz w:val="20"/>
          <w:szCs w:val="20"/>
          <w:color w:val="auto"/>
        </w:rPr>
      </w:pPr>
    </w:p>
    <w:p>
      <w:pPr>
        <w:jc w:val="both"/>
        <w:ind w:firstLine="1879"/>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sz w:val="20"/>
          <w:szCs w:val="20"/>
          <w:color w:val="auto"/>
        </w:rPr>
      </w:pPr>
    </w:p>
    <w:p>
      <w:pPr>
        <w:jc w:val="both"/>
        <w:ind w:firstLine="1879"/>
        <w:spacing w:after="0" w:line="281"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Exchangeable for Multiple Warrants</w:t>
      </w:r>
      <w:r>
        <w:rPr>
          <w:rFonts w:ascii="Times New Roman" w:cs="Times New Roman" w:eastAsia="Times New Roman" w:hAnsi="Times New Roman"/>
          <w:sz w:val="17"/>
          <w:szCs w:val="17"/>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warrants for fractional shares of Common Stock shall be given.</w:t>
      </w:r>
    </w:p>
    <w:p>
      <w:pPr>
        <w:spacing w:after="0" w:line="164" w:lineRule="exact"/>
        <w:rPr>
          <w:sz w:val="20"/>
          <w:szCs w:val="20"/>
          <w:color w:val="auto"/>
        </w:rPr>
      </w:pPr>
    </w:p>
    <w:p>
      <w:pPr>
        <w:jc w:val="both"/>
        <w:ind w:firstLine="1879"/>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7" w:lineRule="exact"/>
        <w:rPr>
          <w:sz w:val="20"/>
          <w:szCs w:val="20"/>
          <w:color w:val="auto"/>
        </w:rPr>
      </w:pPr>
    </w:p>
    <w:p>
      <w:pPr>
        <w:jc w:val="both"/>
        <w:ind w:firstLine="1555"/>
        <w:spacing w:after="0" w:line="258"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NOTICES OF CHANGES IN WARRANT</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1555"/>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83" w:lineRule="exact"/>
        <w:rPr>
          <w:sz w:val="20"/>
          <w:szCs w:val="20"/>
          <w:color w:val="auto"/>
        </w:rPr>
      </w:pPr>
    </w:p>
    <w:p>
      <w:pPr>
        <w:jc w:val="both"/>
        <w:ind w:firstLine="1555"/>
        <w:spacing w:after="0" w:line="251"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AND THE HOLDER EACH</w:t>
      </w:r>
    </w:p>
    <w:p>
      <w:pPr>
        <w:spacing w:after="0" w:line="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6" w:lineRule="exact"/>
        <w:rPr>
          <w:sz w:val="20"/>
          <w:szCs w:val="20"/>
          <w:color w:val="auto"/>
        </w:rPr>
      </w:pPr>
    </w:p>
    <w:p>
      <w:pPr>
        <w:jc w:val="both"/>
        <w:ind w:firstLine="1555"/>
        <w:spacing w:after="0" w:line="26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CONSTRUCTION; HEADINGS; BUSINESS DAYS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80" w:lineRule="exact"/>
        <w:rPr>
          <w:sz w:val="20"/>
          <w:szCs w:val="20"/>
          <w:color w:val="auto"/>
        </w:rPr>
      </w:pPr>
    </w:p>
    <w:p>
      <w:pPr>
        <w:jc w:val="both"/>
        <w:ind w:firstLine="1555"/>
        <w:spacing w:after="0" w:line="253"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1555"/>
        <w:spacing w:after="0" w:line="255"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9" w:lineRule="exact"/>
        <w:rPr>
          <w:sz w:val="20"/>
          <w:szCs w:val="20"/>
          <w:color w:val="auto"/>
        </w:rPr>
      </w:pPr>
    </w:p>
    <w:p>
      <w:pPr>
        <w:jc w:val="both"/>
        <w:ind w:firstLine="1555"/>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0" w:lineRule="exact"/>
        <w:rPr>
          <w:sz w:val="20"/>
          <w:szCs w:val="20"/>
          <w:color w:val="auto"/>
        </w:rPr>
      </w:pPr>
    </w:p>
    <w:p>
      <w:pPr>
        <w:jc w:val="both"/>
        <w:ind w:firstLine="1555"/>
        <w:spacing w:after="0" w:line="254"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2" w:lineRule="exact"/>
        <w:rPr>
          <w:sz w:val="20"/>
          <w:szCs w:val="20"/>
          <w:color w:val="auto"/>
        </w:rPr>
      </w:pPr>
    </w:p>
    <w:p>
      <w:pPr>
        <w:jc w:val="both"/>
        <w:ind w:right="20" w:firstLine="1555"/>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NO DISCLOSURE</w:t>
      </w:r>
      <w:r>
        <w:rPr>
          <w:rFonts w:ascii="Times New Roman" w:cs="Times New Roman" w:eastAsia="Times New Roman" w:hAnsi="Times New Roman"/>
          <w:sz w:val="18"/>
          <w:szCs w:val="18"/>
          <w:color w:val="auto"/>
        </w:rPr>
        <w:t>. The Company shall not provide material, non-public information or confidential or proprietary information to the Holder without such Holder’s written consent.</w:t>
      </w:r>
    </w:p>
    <w:p>
      <w:pPr>
        <w:spacing w:after="0" w:line="16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REPRESENTATIONS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 Each Holder represents and warrants that it is acquiring this Warrant and the Warrant Shares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Unregistered Securities</w:t>
      </w:r>
      <w:r>
        <w:rPr>
          <w:rFonts w:ascii="Times New Roman" w:cs="Times New Roman" w:eastAsia="Times New Roman" w:hAnsi="Times New Roman"/>
          <w:sz w:val="18"/>
          <w:szCs w:val="18"/>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Reliance</w:t>
      </w:r>
      <w:r>
        <w:rPr>
          <w:rFonts w:ascii="Times New Roman" w:cs="Times New Roman" w:eastAsia="Times New Roman" w:hAnsi="Times New Roman"/>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Each Holder represents and warrants that it is an “accredited investor” as defined in Rule 501(a) under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Act.</w:t>
      </w:r>
    </w:p>
    <w:p>
      <w:pPr>
        <w:spacing w:after="0" w:line="207" w:lineRule="exact"/>
        <w:rPr>
          <w:sz w:val="20"/>
          <w:szCs w:val="20"/>
          <w:color w:val="auto"/>
        </w:rPr>
      </w:pPr>
    </w:p>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Sophisticated Investor</w:t>
      </w:r>
      <w:r>
        <w:rPr>
          <w:rFonts w:ascii="Times New Roman" w:cs="Times New Roman" w:eastAsia="Times New Roman" w:hAnsi="Times New Roman"/>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8" w:lineRule="exact"/>
        <w:rPr>
          <w:sz w:val="20"/>
          <w:szCs w:val="20"/>
          <w:color w:val="auto"/>
        </w:rPr>
      </w:pPr>
    </w:p>
    <w:p>
      <w:pPr>
        <w:jc w:val="both"/>
        <w:ind w:firstLine="1944"/>
        <w:spacing w:after="0" w:line="269" w:lineRule="auto"/>
        <w:rPr>
          <w:sz w:val="20"/>
          <w:szCs w:val="20"/>
          <w:color w:val="auto"/>
        </w:rPr>
      </w:pPr>
      <w:r>
        <w:rPr>
          <w:rFonts w:ascii="Times New Roman" w:cs="Times New Roman" w:eastAsia="Times New Roman" w:hAnsi="Times New Roman"/>
          <w:sz w:val="17"/>
          <w:szCs w:val="17"/>
          <w:color w:val="auto"/>
        </w:rPr>
        <w:t xml:space="preserve">(h)     </w:t>
      </w:r>
      <w:r>
        <w:rPr>
          <w:rFonts w:ascii="Times New Roman" w:cs="Times New Roman" w:eastAsia="Times New Roman" w:hAnsi="Times New Roman"/>
          <w:sz w:val="17"/>
          <w:szCs w:val="17"/>
          <w:u w:val="single" w:color="auto"/>
          <w:color w:val="auto"/>
        </w:rPr>
        <w:t>Non-Reliance</w:t>
      </w:r>
      <w:r>
        <w:rPr>
          <w:rFonts w:ascii="Times New Roman" w:cs="Times New Roman" w:eastAsia="Times New Roman" w:hAnsi="Times New Roman"/>
          <w:sz w:val="17"/>
          <w:szCs w:val="17"/>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the Forbearance Agreement or any other Loan Document. Each Holder with respect to itself acknowledges that the Company would not enter into this Warrant in the absence of the agreements set forth in this Section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ind w:firstLine="1563"/>
        <w:spacing w:after="0" w:line="282" w:lineRule="auto"/>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The Company represents and warrants to the Holder that, except as set forth in the SEC Reports (as defined below):</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The Company (i) is duly organized, validly existing and in good standing under the laws of its jurisdiction of incorporation;</w:t>
      </w:r>
    </w:p>
    <w:p>
      <w:pPr>
        <w:spacing w:after="0" w:line="39" w:lineRule="exact"/>
        <w:rPr>
          <w:sz w:val="20"/>
          <w:szCs w:val="20"/>
          <w:color w:val="auto"/>
        </w:rPr>
      </w:pPr>
    </w:p>
    <w:p>
      <w:pPr>
        <w:jc w:val="both"/>
        <w:ind w:firstLine="8"/>
        <w:spacing w:after="0" w:line="251" w:lineRule="auto"/>
        <w:tabs>
          <w:tab w:leader="none" w:pos="2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93"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has not been issued in violation of any preemptive rights created under the Company’s organizational documents or the laws of the State of Delaware.</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8"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3" w:lineRule="exact"/>
        <w:rPr>
          <w:sz w:val="20"/>
          <w:szCs w:val="20"/>
          <w:color w:val="auto"/>
        </w:rPr>
      </w:pPr>
    </w:p>
    <w:p>
      <w:pPr>
        <w:ind w:right="20" w:firstLine="8"/>
        <w:spacing w:after="0" w:line="260" w:lineRule="auto"/>
        <w:tabs>
          <w:tab w:leader="none" w:pos="3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i w:val="1"/>
          <w:iCs w:val="1"/>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 w:cs="Times New Roman" w:eastAsia="Times New Roman" w:hAnsi="Times New Roman"/>
          <w:sz w:val="18"/>
          <w:szCs w:val="18"/>
          <w:b w:val="1"/>
          <w:bCs w:val="1"/>
          <w:color w:val="auto"/>
        </w:rPr>
        <w:t>2023 Form 10-K</w:t>
      </w:r>
      <w:r>
        <w:rPr>
          <w:rFonts w:ascii="Times New Roman" w:cs="Times New Roman" w:eastAsia="Times New Roman" w:hAnsi="Times New Roman"/>
          <w:sz w:val="18"/>
          <w:szCs w:val="18"/>
          <w:color w:val="auto"/>
        </w:rPr>
        <w:t xml:space="preserve">”)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 </w:t>
      </w:r>
      <w:r>
        <w:rPr>
          <w:rFonts w:ascii="Times New Roman" w:cs="Times New Roman" w:eastAsia="Times New Roman" w:hAnsi="Times New Roman"/>
          <w:sz w:val="18"/>
          <w:szCs w:val="18"/>
          <w:b w:val="1"/>
          <w:bCs w:val="1"/>
          <w:i w:val="1"/>
          <w:iCs w:val="1"/>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83"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8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71"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Black Scholes Going Private Value</w:t>
      </w:r>
      <w:r>
        <w:rPr>
          <w:rFonts w:ascii="Times New Roman" w:cs="Times New Roman" w:eastAsia="Times New Roman" w:hAnsi="Times New Roman"/>
          <w:sz w:val="18"/>
          <w:szCs w:val="18"/>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1" w:name="page172"/>
    <w:bookmarkEnd w:id="171"/>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55"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5"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Nasdaq Capital Market, The Nasdaq Global Select Market, The Nasdaq Global Market, the NYSE American, or The New York Stock Exchange.</w:t>
      </w:r>
    </w:p>
    <w:p>
      <w:pPr>
        <w:spacing w:after="0" w:line="15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 w:cs="Times New Roman" w:eastAsia="Times New Roman" w:hAnsi="Times New Roman"/>
          <w:sz w:val="18"/>
          <w:szCs w:val="18"/>
          <w:b w:val="1"/>
          <w:bCs w:val="1"/>
          <w:color w:val="auto"/>
        </w:rPr>
        <w:t>Metropolitan Entities</w:t>
      </w:r>
      <w:r>
        <w:rPr>
          <w:rFonts w:ascii="Times New Roman" w:cs="Times New Roman" w:eastAsia="Times New Roman" w:hAnsi="Times New Roman"/>
          <w:sz w:val="18"/>
          <w:szCs w:val="18"/>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any warrant issued to the Metropolitan Entities in connection with the Third Amendment and (F) this Warrant and any other warrant issued to the Metropolitan Entities in connection with the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2" w:name="page173"/>
    <w:bookmarkEnd w:id="172"/>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55"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jc w:val="both"/>
        <w:ind w:firstLine="1944"/>
        <w:spacing w:after="0" w:line="259"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9"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OTC Bulletin Board or any other Eligible Market, or any national securities exchange, market or trading or quotation facility on which the Common Stock is then listed or quoted.</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1" w:lineRule="exact"/>
        <w:rPr>
          <w:sz w:val="20"/>
          <w:szCs w:val="20"/>
          <w:color w:val="auto"/>
        </w:rPr>
      </w:pPr>
    </w:p>
    <w:p>
      <w:pPr>
        <w:jc w:val="both"/>
        <w:ind w:firstLine="1944"/>
        <w:spacing w:after="0" w:line="278" w:lineRule="auto"/>
        <w:rPr>
          <w:sz w:val="20"/>
          <w:szCs w:val="20"/>
          <w:color w:val="auto"/>
        </w:rPr>
      </w:pPr>
      <w:r>
        <w:rPr>
          <w:rFonts w:ascii="Times New Roman" w:cs="Times New Roman" w:eastAsia="Times New Roman" w:hAnsi="Times New Roman"/>
          <w:sz w:val="17"/>
          <w:szCs w:val="17"/>
          <w:color w:val="auto"/>
        </w:rPr>
        <w:t>(x)     “</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64"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5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5" w:name="page176"/>
    <w:bookmarkEnd w:id="175"/>
    <w:p>
      <w:pPr>
        <w:ind w:left="102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purchase________________ of the shares 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Presto</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Warrant to Purchase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900" w:hanging="179"/>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Exercise Price. The Holder intends that payment of the Exercise Price shall be made as: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to_________________ Warrant Shares;</w:t>
      </w:r>
    </w:p>
    <w:p>
      <w:pPr>
        <w:spacing w:after="0" w:line="2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and/or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to______________ Warrant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62" w:lineRule="exact"/>
        <w:rPr>
          <w:sz w:val="20"/>
          <w:szCs w:val="20"/>
          <w:color w:val="auto"/>
        </w:rPr>
      </w:pPr>
    </w:p>
    <w:p>
      <w:pPr>
        <w:jc w:val="both"/>
        <w:ind w:firstLine="721"/>
        <w:spacing w:after="0" w:line="266" w:lineRule="auto"/>
        <w:tabs>
          <w:tab w:leader="none" w:pos="9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 to the Company in accordance with the terms of the Warrant.</w:t>
      </w:r>
    </w:p>
    <w:p>
      <w:pPr>
        <w:spacing w:after="0" w:line="175" w:lineRule="exact"/>
        <w:rPr>
          <w:rFonts w:ascii="Times New Roman" w:cs="Times New Roman" w:eastAsia="Times New Roman" w:hAnsi="Times New Roman"/>
          <w:sz w:val="18"/>
          <w:szCs w:val="18"/>
          <w:color w:val="auto"/>
        </w:rPr>
      </w:pPr>
    </w:p>
    <w:p>
      <w:pPr>
        <w:ind w:left="900" w:hanging="179"/>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The Company shall deliver to the holder_________________ Warrant Shares in accordance with the terms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 Electronic Delivery</w:t>
            </w:r>
          </w:p>
        </w:tc>
        <w:tc>
          <w:tcPr>
            <w:tcW w:w="772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DTC Participant:</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DTC Number:</w:t>
            </w:r>
          </w:p>
        </w:tc>
        <w:tc>
          <w:tcPr>
            <w:tcW w:w="5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 Name:</w:t>
            </w: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18"/>
                <w:szCs w:val="18"/>
                <w:color w:val="auto"/>
              </w:rPr>
            </w:pPr>
          </w:p>
        </w:tc>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 Number:</w:t>
            </w: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____________Physical Delivery</w:t>
            </w:r>
          </w:p>
        </w:tc>
        <w:tc>
          <w:tcPr>
            <w:tcW w:w="772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10"/>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Date:____________ ____, ______</w:t>
            </w: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5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3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[TRANSFER AGENT] to issue the above indicated number of shares of Common Stock in accordance with the Transfer Agent Instructions dated_________________ from the Company and acknowledged and agreed to by [TRANSFER AGENT].</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974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49974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97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49974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Dated: ____________ ____, ______</w:t>
      </w:r>
    </w:p>
    <w:p>
      <w:pPr>
        <w:spacing w:after="0" w:line="2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1342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1342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160020</wp:posOffset>
            </wp:positionV>
            <wp:extent cx="21342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5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2024-1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677,511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January 30, 2024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CEOF Holdings LP,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677,511 duly authorized, validly issued, fully paid, nonassessable shares of Common Stock,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18. The Warrant is being issued pursuant to Section 8(i)(4) of that certain Forbearance and Fourth Amendment to Credit Agreement, dated January 22, 2024, among Presto Automation LLC (f/k/a E La Carte, LLC, f/k/a Ventoux Merger Sub II LLC), the Company, Metropolitan Partners Group Administration, LLC, as agent, and the Lenders (as defined therein) (the “</w:t>
      </w:r>
      <w:r>
        <w:rPr>
          <w:rFonts w:ascii="Times New Roman" w:cs="Times New Roman" w:eastAsia="Times New Roman" w:hAnsi="Times New Roman"/>
          <w:sz w:val="18"/>
          <w:szCs w:val="18"/>
          <w:b w:val="1"/>
          <w:bCs w:val="1"/>
          <w:color w:val="auto"/>
        </w:rPr>
        <w:t>Forbearance Agreement</w:t>
      </w:r>
      <w:r>
        <w:rPr>
          <w:rFonts w:ascii="Times New Roman" w:cs="Times New Roman" w:eastAsia="Times New Roman" w:hAnsi="Times New Roman"/>
          <w:sz w:val="18"/>
          <w:szCs w:val="18"/>
          <w:color w:val="auto"/>
        </w:rPr>
        <w:t>”). Capitalized terms used herein and not otherwise defined shall have the definitions ascribed to such terms in the Forbearance Agreement or the Credit Agreement (as defined in the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0" w:name="page181"/>
    <w:bookmarkEnd w:id="180"/>
    <w:p>
      <w:pPr>
        <w:ind w:left="1300"/>
        <w:spacing w:after="0"/>
        <w:rPr>
          <w:sz w:val="20"/>
          <w:szCs w:val="20"/>
          <w:color w:val="auto"/>
        </w:rPr>
      </w:pPr>
      <w:r>
        <w:rPr>
          <w:rFonts w:ascii="Times New Roman" w:cs="Times New Roman" w:eastAsia="Times New Roman" w:hAnsi="Times New Roman"/>
          <w:sz w:val="18"/>
          <w:szCs w:val="18"/>
          <w:color w:val="auto"/>
        </w:rPr>
        <w:t>1.         EXERCISE OF WARRANT.</w:t>
      </w:r>
    </w:p>
    <w:p>
      <w:pPr>
        <w:spacing w:after="0" w:line="225" w:lineRule="exact"/>
        <w:rPr>
          <w:sz w:val="20"/>
          <w:szCs w:val="20"/>
          <w:color w:val="auto"/>
        </w:rPr>
      </w:pPr>
    </w:p>
    <w:p>
      <w:pPr>
        <w:jc w:val="both"/>
        <w:ind w:firstLine="1814"/>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On or before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Trading Day following the date on which the Company has received the Exercise Notice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ind w:left="182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$0.01, subject to adjustment as provided herein.</w:t>
      </w:r>
    </w:p>
    <w:p>
      <w:pPr>
        <w:spacing w:after="0" w:line="229" w:lineRule="exact"/>
        <w:rPr>
          <w:sz w:val="20"/>
          <w:szCs w:val="20"/>
          <w:color w:val="auto"/>
        </w:rPr>
      </w:pPr>
    </w:p>
    <w:p>
      <w:pPr>
        <w:jc w:val="both"/>
        <w:ind w:firstLine="1814"/>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2" w:name="page183"/>
    <w:bookmarkEnd w:id="182"/>
    <w:p>
      <w:pPr>
        <w:jc w:val="both"/>
        <w:ind w:firstLine="1814"/>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Cashless Exercise</w:t>
      </w:r>
      <w:r>
        <w:rPr>
          <w:rFonts w:ascii="Times New Roman" w:cs="Times New Roman" w:eastAsia="Times New Roman" w:hAnsi="Times New Roman"/>
          <w:sz w:val="18"/>
          <w:szCs w:val="18"/>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ind w:left="1440" w:right="20"/>
        <w:spacing w:after="0" w:line="282" w:lineRule="auto"/>
        <w:rPr>
          <w:sz w:val="20"/>
          <w:szCs w:val="20"/>
          <w:color w:val="auto"/>
        </w:rPr>
      </w:pPr>
      <w:r>
        <w:rPr>
          <w:rFonts w:ascii="Times New Roman" w:cs="Times New Roman" w:eastAsia="Times New Roman" w:hAnsi="Times New Roman"/>
          <w:sz w:val="18"/>
          <w:szCs w:val="18"/>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Forbearance Agreement.</w:t>
      </w:r>
    </w:p>
    <w:p>
      <w:pPr>
        <w:spacing w:after="0" w:line="176"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firstLine="1814"/>
        <w:spacing w:after="0" w:line="267"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Limitations on Exercises</w:t>
      </w:r>
      <w:r>
        <w:rPr>
          <w:rFonts w:ascii="Times New Roman" w:cs="Times New Roman" w:eastAsia="Times New Roman" w:hAnsi="Times New Roman"/>
          <w:sz w:val="17"/>
          <w:szCs w:val="17"/>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7"/>
          <w:szCs w:val="17"/>
          <w:b w:val="1"/>
          <w:bCs w:val="1"/>
          <w:color w:val="auto"/>
        </w:rPr>
        <w:t>Reduction Shares</w:t>
      </w:r>
      <w:r>
        <w:rPr>
          <w:rFonts w:ascii="Times New Roman" w:cs="Times New Roman" w:eastAsia="Times New Roman" w:hAnsi="Times New Roman"/>
          <w:sz w:val="17"/>
          <w:szCs w:val="17"/>
          <w:color w:val="auto"/>
        </w:rPr>
        <w:t>”) and</w:t>
      </w:r>
    </w:p>
    <w:p>
      <w:pPr>
        <w:spacing w:after="0" w:line="203" w:lineRule="exact"/>
        <w:rPr>
          <w:sz w:val="20"/>
          <w:szCs w:val="20"/>
          <w:color w:val="auto"/>
        </w:rPr>
      </w:pPr>
    </w:p>
    <w:p>
      <w:pPr>
        <w:jc w:val="both"/>
        <w:ind w:firstLine="8"/>
        <w:spacing w:after="0" w:line="250" w:lineRule="auto"/>
        <w:tabs>
          <w:tab w:leader="none" w:pos="2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Forbearance Agreement (together with this Warrant, the “</w:t>
      </w:r>
      <w:r>
        <w:rPr>
          <w:rFonts w:ascii="Times New Roman" w:cs="Times New Roman" w:eastAsia="Times New Roman" w:hAnsi="Times New Roman"/>
          <w:sz w:val="18"/>
          <w:szCs w:val="18"/>
          <w:b w:val="1"/>
          <w:bCs w:val="1"/>
          <w:color w:val="auto"/>
        </w:rPr>
        <w:t>Forbearance Warrants</w:t>
      </w:r>
      <w:r>
        <w:rPr>
          <w:rFonts w:ascii="Times New Roman" w:cs="Times New Roman" w:eastAsia="Times New Roman" w:hAnsi="Times New Roman"/>
          <w:sz w:val="18"/>
          <w:szCs w:val="18"/>
          <w:color w:val="auto"/>
        </w:rPr>
        <w:t>”), together with the total number of shares of Common Stock issuable upon conversion of the Company’s Subordinated Convertible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sold by the Company on the date hereof to certain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may not exceed the requirements of Nasdaq Listing Rule 5635(d) (“</w:t>
      </w:r>
      <w:r>
        <w:rPr>
          <w:rFonts w:ascii="Times New Roman" w:cs="Times New Roman" w:eastAsia="Times New Roman" w:hAnsi="Times New Roman"/>
          <w:sz w:val="18"/>
          <w:szCs w:val="18"/>
          <w:b w:val="1"/>
          <w:bCs w:val="1"/>
          <w:color w:val="auto"/>
        </w:rPr>
        <w:t>Nasdaq 19.99%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issued to the holders of the Forbearance Warrants and the Notes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Forbearance Warrants and upon the conversion of the Notes, if necessary,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the conversion of the Notes shall be made between (x) the holders of the Forbearance Warrants, and (y) the Buyers as nearly as possible on a pro rata basis based on the total amount of shares of Common Stock issued or issuable to such party.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firstLine="1814"/>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and the failure to have such sufficient number of authorized and unreserved shares of Common Stock,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 (as defined in the Forbearance Agreement) or under any provision of the Forbearance Agreement.</w:t>
      </w:r>
    </w:p>
    <w:p>
      <w:pPr>
        <w:spacing w:after="0" w:line="188"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ADJUSTMENT OF EXERCISE PRICE AND NUMBER OF WARRANT SHARES</w:t>
      </w:r>
      <w:r>
        <w:rPr>
          <w:rFonts w:ascii="Times New Roman" w:cs="Times New Roman" w:eastAsia="Times New Roman" w:hAnsi="Times New Roman"/>
          <w:sz w:val="18"/>
          <w:szCs w:val="18"/>
          <w:color w:val="auto"/>
        </w:rPr>
        <w:t>. The Exercise Price and the number of Warrant Shares issuable upon exercise of this Warrant are subject to adjustments from time to time as set forth in this Section 2.</w:t>
      </w:r>
    </w:p>
    <w:p>
      <w:pPr>
        <w:spacing w:after="0" w:line="162" w:lineRule="exact"/>
        <w:rPr>
          <w:sz w:val="20"/>
          <w:szCs w:val="20"/>
          <w:color w:val="auto"/>
        </w:rPr>
      </w:pPr>
    </w:p>
    <w:p>
      <w:pPr>
        <w:jc w:val="both"/>
        <w:ind w:firstLine="1814"/>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 Upon Subdivision or Combination of Shares of Common Stock</w:t>
      </w:r>
      <w:r>
        <w:rPr>
          <w:rFonts w:ascii="Times New Roman" w:cs="Times New Roman" w:eastAsia="Times New Roman" w:hAnsi="Times New Roman"/>
          <w:sz w:val="18"/>
          <w:szCs w:val="18"/>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ind w:firstLine="1814"/>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Adjustment Upon Issuance of Shares of Common Stock</w:t>
      </w:r>
      <w:r>
        <w:rPr>
          <w:rFonts w:ascii="Times New Roman" w:cs="Times New Roman" w:eastAsia="Times New Roman" w:hAnsi="Times New Roman"/>
          <w:sz w:val="18"/>
          <w:szCs w:val="18"/>
          <w:color w:val="auto"/>
        </w:rPr>
        <w:t>. If and whenever on or after the Issuance Date but prior to April 1, 2024 (the “</w:t>
      </w:r>
      <w:r>
        <w:rPr>
          <w:rFonts w:ascii="Times New Roman" w:cs="Times New Roman" w:eastAsia="Times New Roman" w:hAnsi="Times New Roman"/>
          <w:sz w:val="18"/>
          <w:szCs w:val="18"/>
          <w:b w:val="1"/>
          <w:bCs w:val="1"/>
          <w:color w:val="auto"/>
        </w:rPr>
        <w:t>Anti-Dilution Period</w:t>
      </w:r>
      <w:r>
        <w:rPr>
          <w:rFonts w:ascii="Times New Roman" w:cs="Times New Roman" w:eastAsia="Times New Roman" w:hAnsi="Times New Roman"/>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$0.40 per share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and the foregoing a “</w:t>
      </w:r>
      <w:r>
        <w:rPr>
          <w:rFonts w:ascii="Times New Roman" w:cs="Times New Roman" w:eastAsia="Times New Roman" w:hAnsi="Times New Roman"/>
          <w:sz w:val="18"/>
          <w:szCs w:val="18"/>
          <w:b w:val="1"/>
          <w:bCs w:val="1"/>
          <w:color w:val="auto"/>
        </w:rPr>
        <w:t>Dilutive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w:t>
      </w:r>
      <w:r>
        <w:rPr>
          <w:rFonts w:ascii="Times New Roman" w:cs="Times New Roman" w:eastAsia="Times New Roman" w:hAnsi="Times New Roman"/>
          <w:sz w:val="18"/>
          <w:szCs w:val="18"/>
          <w:color w:val="auto"/>
        </w:rPr>
        <w:t>”), then immediately after such Dilutive Issuance, the number of Warrant Shares shall be increased to an amount equal to (x)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prior to such Dilutive Issuance, multiplied by (y) the quotient of the Applicable Price divided by the New Issuance Price. For all purposes of the foregoing (including, without limitation, determining the adjusted number of Warrant Shares and the New Issuance Price under this Section 2(b)), the following shall be applicable:</w:t>
      </w:r>
    </w:p>
    <w:p>
      <w:pPr>
        <w:spacing w:after="0" w:line="192" w:lineRule="exact"/>
        <w:rPr>
          <w:sz w:val="20"/>
          <w:szCs w:val="20"/>
          <w:color w:val="auto"/>
        </w:rPr>
      </w:pPr>
    </w:p>
    <w:p>
      <w:pPr>
        <w:jc w:val="both"/>
        <w:ind w:firstLine="2333"/>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Issuance of Options</w:t>
      </w:r>
      <w:r>
        <w:rPr>
          <w:rFonts w:ascii="Times New Roman" w:cs="Times New Roman" w:eastAsia="Times New Roman" w:hAnsi="Times New Roman"/>
          <w:sz w:val="18"/>
          <w:szCs w:val="18"/>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2333"/>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Issuance of Convertible Securities</w:t>
      </w:r>
      <w:r>
        <w:rPr>
          <w:rFonts w:ascii="Times New Roman" w:cs="Times New Roman" w:eastAsia="Times New Roman" w:hAnsi="Times New Roman"/>
          <w:sz w:val="18"/>
          <w:szCs w:val="18"/>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195" w:lineRule="exact"/>
        <w:rPr>
          <w:sz w:val="20"/>
          <w:szCs w:val="20"/>
          <w:color w:val="auto"/>
        </w:rPr>
      </w:pPr>
    </w:p>
    <w:p>
      <w:pPr>
        <w:jc w:val="both"/>
        <w:ind w:firstLine="2333"/>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2333"/>
        <w:spacing w:after="0" w:line="25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and together with the Primary Security,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“Valuation Event”), the fair value of such consideration will be determined within five Trading Days after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jc w:val="both"/>
        <w:ind w:firstLine="2333"/>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sz w:val="20"/>
          <w:szCs w:val="20"/>
          <w:color w:val="auto"/>
        </w:rPr>
      </w:pPr>
    </w:p>
    <w:p>
      <w:pPr>
        <w:jc w:val="both"/>
        <w:ind w:firstLine="1814"/>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162"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Voluntary Adjustment by Company</w:t>
      </w:r>
      <w:r>
        <w:rPr>
          <w:rFonts w:ascii="Times New Roman" w:cs="Times New Roman" w:eastAsia="Times New Roman" w:hAnsi="Times New Roman"/>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ind w:left="130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PURCHASE RIGHTS; FUNDAMENTAL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814"/>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Rights</w:t>
      </w:r>
      <w:r>
        <w:rPr>
          <w:rFonts w:ascii="Times New Roman" w:cs="Times New Roman" w:eastAsia="Times New Roman" w:hAnsi="Times New Roman"/>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9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Fundamental Transactions</w:t>
      </w:r>
      <w:r>
        <w:rPr>
          <w:rFonts w:ascii="Times New Roman" w:cs="Times New Roman" w:eastAsia="Times New Roman" w:hAnsi="Times New Roman"/>
          <w:sz w:val="18"/>
          <w:szCs w:val="18"/>
          <w:color w:val="auto"/>
        </w:rPr>
        <w:t>. The Company shall not enter into or be party to a Fundamental Transaction unless:</w:t>
      </w:r>
    </w:p>
    <w:p>
      <w:pPr>
        <w:spacing w:after="0" w:line="225" w:lineRule="exact"/>
        <w:rPr>
          <w:sz w:val="20"/>
          <w:szCs w:val="20"/>
          <w:color w:val="auto"/>
        </w:rPr>
      </w:pPr>
    </w:p>
    <w:p>
      <w:pPr>
        <w:jc w:val="both"/>
        <w:ind w:firstLine="2333"/>
        <w:spacing w:after="0" w:line="256" w:lineRule="auto"/>
        <w:rPr>
          <w:sz w:val="20"/>
          <w:szCs w:val="20"/>
          <w:color w:val="auto"/>
        </w:rPr>
      </w:pPr>
      <w:r>
        <w:rPr>
          <w:rFonts w:ascii="Times New Roman" w:cs="Times New Roman" w:eastAsia="Times New Roman" w:hAnsi="Times New Roman"/>
          <w:sz w:val="18"/>
          <w:szCs w:val="18"/>
          <w:color w:val="auto"/>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both"/>
        <w:ind w:firstLine="2333"/>
        <w:spacing w:after="0" w:line="251" w:lineRule="auto"/>
        <w:rPr>
          <w:sz w:val="20"/>
          <w:szCs w:val="20"/>
          <w:color w:val="auto"/>
        </w:rPr>
      </w:pPr>
      <w:r>
        <w:rPr>
          <w:rFonts w:ascii="Times New Roman" w:cs="Times New Roman" w:eastAsia="Times New Roman" w:hAnsi="Times New Roman"/>
          <w:sz w:val="18"/>
          <w:szCs w:val="18"/>
          <w:color w:val="auto"/>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 w:cs="Times New Roman" w:eastAsia="Times New Roman" w:hAnsi="Times New Roman"/>
          <w:sz w:val="18"/>
          <w:szCs w:val="18"/>
          <w:b w:val="1"/>
          <w:bCs w:val="1"/>
          <w:color w:val="auto"/>
        </w:rPr>
        <w:t>Public Fundamental Transaction</w:t>
      </w:r>
      <w:r>
        <w:rPr>
          <w:rFonts w:ascii="Times New Roman" w:cs="Times New Roman" w:eastAsia="Times New Roman" w:hAnsi="Times New Roman"/>
          <w:sz w:val="18"/>
          <w:szCs w:val="18"/>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firstLine="1814"/>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Holder Optional Redemptions</w:t>
      </w:r>
      <w:r>
        <w:rPr>
          <w:rFonts w:ascii="Times New Roman" w:cs="Times New Roman" w:eastAsia="Times New Roman" w:hAnsi="Times New Roman"/>
          <w:sz w:val="18"/>
          <w:szCs w:val="18"/>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92" w:lineRule="exact"/>
        <w:rPr>
          <w:sz w:val="20"/>
          <w:szCs w:val="20"/>
          <w:color w:val="auto"/>
        </w:rPr>
      </w:pPr>
    </w:p>
    <w:p>
      <w:pPr>
        <w:jc w:val="both"/>
        <w:ind w:firstLine="1814"/>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ind w:left="130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REISSUANCE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814"/>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 of Warrant</w:t>
      </w:r>
      <w:r>
        <w:rPr>
          <w:rFonts w:ascii="Times New Roman" w:cs="Times New Roman" w:eastAsia="Times New Roman" w:hAnsi="Times New Roman"/>
          <w:sz w:val="18"/>
          <w:szCs w:val="18"/>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92" w:lineRule="exact"/>
        <w:rPr>
          <w:sz w:val="20"/>
          <w:szCs w:val="20"/>
          <w:color w:val="auto"/>
        </w:rPr>
      </w:pPr>
    </w:p>
    <w:p>
      <w:pPr>
        <w:jc w:val="both"/>
        <w:ind w:firstLine="1814"/>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sz w:val="20"/>
          <w:szCs w:val="20"/>
          <w:color w:val="auto"/>
        </w:rPr>
      </w:pPr>
    </w:p>
    <w:p>
      <w:pPr>
        <w:jc w:val="both"/>
        <w:ind w:firstLine="1814"/>
        <w:spacing w:after="0" w:line="281"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Exchangeable for Multiple Warrants</w:t>
      </w:r>
      <w:r>
        <w:rPr>
          <w:rFonts w:ascii="Times New Roman" w:cs="Times New Roman" w:eastAsia="Times New Roman" w:hAnsi="Times New Roman"/>
          <w:sz w:val="17"/>
          <w:szCs w:val="17"/>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warrants for fractional shares of Common Stock shall be given.</w:t>
      </w:r>
    </w:p>
    <w:p>
      <w:pPr>
        <w:spacing w:after="0" w:line="164" w:lineRule="exact"/>
        <w:rPr>
          <w:sz w:val="20"/>
          <w:szCs w:val="20"/>
          <w:color w:val="auto"/>
        </w:rPr>
      </w:pPr>
    </w:p>
    <w:p>
      <w:pPr>
        <w:jc w:val="both"/>
        <w:ind w:firstLine="1814"/>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NOTICES OF CHANGES IN WARRANT</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8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AND THE HOLDER EACH</w:t>
      </w:r>
    </w:p>
    <w:p>
      <w:pPr>
        <w:spacing w:after="0" w:line="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CONSTRUCTION; HEADINGS; BUSINESS DAYS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NO DISCLOSURE</w:t>
      </w:r>
      <w:r>
        <w:rPr>
          <w:rFonts w:ascii="Times New Roman" w:cs="Times New Roman" w:eastAsia="Times New Roman" w:hAnsi="Times New Roman"/>
          <w:sz w:val="18"/>
          <w:szCs w:val="18"/>
          <w:color w:val="auto"/>
        </w:rPr>
        <w:t>. The Company shall not provide material, non-public information or confidential or proprietary information to the Holder without such Holder’s written consent.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REPRESENTATIONS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Investment Intent</w:t>
      </w:r>
      <w:r>
        <w:rPr>
          <w:rFonts w:ascii="Times New Roman" w:cs="Times New Roman" w:eastAsia="Times New Roman" w:hAnsi="Times New Roman"/>
          <w:sz w:val="18"/>
          <w:szCs w:val="18"/>
          <w:color w:val="auto"/>
        </w:rPr>
        <w:t>. Each Holder represents and warrants that it is acquiring this Warrant and the Warrant Shares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76"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Unregistered Securities</w:t>
      </w:r>
      <w:r>
        <w:rPr>
          <w:rFonts w:ascii="Times New Roman" w:cs="Times New Roman" w:eastAsia="Times New Roman" w:hAnsi="Times New Roman"/>
          <w:sz w:val="18"/>
          <w:szCs w:val="18"/>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Reliance</w:t>
      </w:r>
      <w:r>
        <w:rPr>
          <w:rFonts w:ascii="Times New Roman" w:cs="Times New Roman" w:eastAsia="Times New Roman" w:hAnsi="Times New Roman"/>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Accredited Investor</w:t>
      </w:r>
      <w:r>
        <w:rPr>
          <w:rFonts w:ascii="Times New Roman" w:cs="Times New Roman" w:eastAsia="Times New Roman" w:hAnsi="Times New Roman"/>
          <w:sz w:val="17"/>
          <w:szCs w:val="17"/>
          <w:color w:val="auto"/>
        </w:rPr>
        <w:t>. Each Holder represents and warrants that it is an “accredited investor” as defined in Rule 501(a) under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Act.</w:t>
      </w:r>
    </w:p>
    <w:p>
      <w:pPr>
        <w:spacing w:after="0" w:line="207"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Sophisticated Investor</w:t>
      </w:r>
      <w:r>
        <w:rPr>
          <w:rFonts w:ascii="Times New Roman" w:cs="Times New Roman" w:eastAsia="Times New Roman" w:hAnsi="Times New Roman"/>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6"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Restricted Securities</w:t>
      </w:r>
      <w:r>
        <w:rPr>
          <w:rFonts w:ascii="Times New Roman" w:cs="Times New Roman" w:eastAsia="Times New Roman" w:hAnsi="Times New Roman"/>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6" w:lineRule="exact"/>
        <w:rPr>
          <w:sz w:val="20"/>
          <w:szCs w:val="20"/>
          <w:color w:val="auto"/>
        </w:rPr>
      </w:pPr>
    </w:p>
    <w:p>
      <w:pPr>
        <w:jc w:val="both"/>
        <w:ind w:firstLine="1814"/>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Information</w:t>
      </w:r>
      <w:r>
        <w:rPr>
          <w:rFonts w:ascii="Times New Roman" w:cs="Times New Roman" w:eastAsia="Times New Roman" w:hAnsi="Times New Roman"/>
          <w:sz w:val="18"/>
          <w:szCs w:val="18"/>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8" w:lineRule="exact"/>
        <w:rPr>
          <w:sz w:val="20"/>
          <w:szCs w:val="20"/>
          <w:color w:val="auto"/>
        </w:rPr>
      </w:pPr>
    </w:p>
    <w:p>
      <w:pPr>
        <w:jc w:val="both"/>
        <w:ind w:firstLine="1814"/>
        <w:spacing w:after="0" w:line="269"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u w:val="single" w:color="auto"/>
          <w:color w:val="auto"/>
        </w:rPr>
        <w:t>  Non-Reliance</w:t>
      </w:r>
      <w:r>
        <w:rPr>
          <w:rFonts w:ascii="Times New Roman" w:cs="Times New Roman" w:eastAsia="Times New Roman" w:hAnsi="Times New Roman"/>
          <w:sz w:val="17"/>
          <w:szCs w:val="17"/>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the Forbearance Agreement or any other Loan Document. Each Holder with respect to itself acknowledges that the Company would not enter into this Warrant in the absence of the agreements set forth in this Section 17.</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ind w:left="130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The Company represents and warrants to the Holder that, except as set forth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Reports (as defined below):</w:t>
      </w:r>
    </w:p>
    <w:p>
      <w:pPr>
        <w:spacing w:after="0" w:line="2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(a)         The Company (i) is duly organized, validly existing and in good standing under the laws of its jurisdiction of incorporation;</w:t>
      </w:r>
    </w:p>
    <w:p>
      <w:pPr>
        <w:spacing w:after="0" w:line="39" w:lineRule="exact"/>
        <w:rPr>
          <w:sz w:val="20"/>
          <w:szCs w:val="20"/>
          <w:color w:val="auto"/>
        </w:rPr>
      </w:pPr>
    </w:p>
    <w:p>
      <w:pPr>
        <w:jc w:val="both"/>
        <w:ind w:firstLine="8"/>
        <w:spacing w:after="0" w:line="251" w:lineRule="auto"/>
        <w:tabs>
          <w:tab w:leader="none" w:pos="2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93" w:lineRule="exact"/>
        <w:rPr>
          <w:sz w:val="20"/>
          <w:szCs w:val="20"/>
          <w:color w:val="auto"/>
        </w:rPr>
      </w:pPr>
    </w:p>
    <w:p>
      <w:pPr>
        <w:jc w:val="both"/>
        <w:ind w:firstLine="1814"/>
        <w:spacing w:after="0" w:line="261" w:lineRule="auto"/>
        <w:rPr>
          <w:sz w:val="20"/>
          <w:szCs w:val="20"/>
          <w:color w:val="auto"/>
        </w:rPr>
      </w:pPr>
      <w:r>
        <w:rPr>
          <w:rFonts w:ascii="Times New Roman" w:cs="Times New Roman" w:eastAsia="Times New Roman" w:hAnsi="Times New Roman"/>
          <w:sz w:val="18"/>
          <w:szCs w:val="18"/>
          <w:color w:val="auto"/>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has not been issued in violation of any preemptive rights created under the Company’s organizational documents or the laws of the State of Delaware.</w:t>
      </w:r>
    </w:p>
    <w:p>
      <w:pPr>
        <w:spacing w:after="0" w:line="180"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76" w:lineRule="exact"/>
        <w:rPr>
          <w:sz w:val="20"/>
          <w:szCs w:val="20"/>
          <w:color w:val="auto"/>
        </w:rPr>
      </w:pPr>
    </w:p>
    <w:p>
      <w:pPr>
        <w:jc w:val="both"/>
        <w:ind w:firstLine="1814"/>
        <w:spacing w:after="0" w:line="254" w:lineRule="auto"/>
        <w:rPr>
          <w:sz w:val="20"/>
          <w:szCs w:val="20"/>
          <w:color w:val="auto"/>
        </w:rPr>
      </w:pPr>
      <w:r>
        <w:rPr>
          <w:rFonts w:ascii="Times New Roman" w:cs="Times New Roman" w:eastAsia="Times New Roman" w:hAnsi="Times New Roman"/>
          <w:sz w:val="18"/>
          <w:szCs w:val="18"/>
          <w:color w:val="auto"/>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8" w:lineRule="exact"/>
        <w:rPr>
          <w:sz w:val="20"/>
          <w:szCs w:val="20"/>
          <w:color w:val="auto"/>
        </w:rPr>
      </w:pPr>
    </w:p>
    <w:p>
      <w:pPr>
        <w:jc w:val="both"/>
        <w:ind w:firstLine="1814"/>
        <w:spacing w:after="0" w:line="254" w:lineRule="auto"/>
        <w:rPr>
          <w:sz w:val="20"/>
          <w:szCs w:val="20"/>
          <w:color w:val="auto"/>
        </w:rPr>
      </w:pPr>
      <w:r>
        <w:rPr>
          <w:rFonts w:ascii="Times New Roman" w:cs="Times New Roman" w:eastAsia="Times New Roman" w:hAnsi="Times New Roman"/>
          <w:sz w:val="18"/>
          <w:szCs w:val="18"/>
          <w:color w:val="auto"/>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3" w:lineRule="exact"/>
        <w:rPr>
          <w:sz w:val="20"/>
          <w:szCs w:val="20"/>
          <w:color w:val="auto"/>
        </w:rPr>
      </w:pPr>
    </w:p>
    <w:p>
      <w:pPr>
        <w:ind w:right="20" w:firstLine="8"/>
        <w:spacing w:after="0" w:line="260" w:lineRule="auto"/>
        <w:tabs>
          <w:tab w:leader="none" w:pos="30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firstLine="1814"/>
        <w:spacing w:after="0" w:line="252" w:lineRule="auto"/>
        <w:rPr>
          <w:sz w:val="20"/>
          <w:szCs w:val="20"/>
          <w:color w:val="auto"/>
        </w:rPr>
      </w:pPr>
      <w:r>
        <w:rPr>
          <w:rFonts w:ascii="Times New Roman" w:cs="Times New Roman" w:eastAsia="Times New Roman" w:hAnsi="Times New Roman"/>
          <w:sz w:val="18"/>
          <w:szCs w:val="18"/>
          <w:color w:val="auto"/>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i w:val="1"/>
          <w:iCs w:val="1"/>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 w:cs="Times New Roman" w:eastAsia="Times New Roman" w:hAnsi="Times New Roman"/>
          <w:sz w:val="18"/>
          <w:szCs w:val="18"/>
          <w:b w:val="1"/>
          <w:bCs w:val="1"/>
          <w:color w:val="auto"/>
        </w:rPr>
        <w:t>2023 Form 10-K</w:t>
      </w:r>
      <w:r>
        <w:rPr>
          <w:rFonts w:ascii="Times New Roman" w:cs="Times New Roman" w:eastAsia="Times New Roman" w:hAnsi="Times New Roman"/>
          <w:sz w:val="18"/>
          <w:szCs w:val="18"/>
          <w:color w:val="auto"/>
        </w:rPr>
        <w:t xml:space="preserve">”)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 </w:t>
      </w:r>
      <w:r>
        <w:rPr>
          <w:rFonts w:ascii="Times New Roman" w:cs="Times New Roman" w:eastAsia="Times New Roman" w:hAnsi="Times New Roman"/>
          <w:sz w:val="18"/>
          <w:szCs w:val="18"/>
          <w:b w:val="1"/>
          <w:bCs w:val="1"/>
          <w:i w:val="1"/>
          <w:iCs w:val="1"/>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7" w:lineRule="exact"/>
        <w:rPr>
          <w:sz w:val="20"/>
          <w:szCs w:val="20"/>
          <w:color w:val="auto"/>
        </w:rPr>
      </w:pPr>
    </w:p>
    <w:p>
      <w:pPr>
        <w:jc w:val="both"/>
        <w:ind w:firstLine="1814"/>
        <w:spacing w:after="0" w:line="258" w:lineRule="auto"/>
        <w:rPr>
          <w:sz w:val="20"/>
          <w:szCs w:val="20"/>
          <w:color w:val="auto"/>
        </w:rPr>
      </w:pPr>
      <w:r>
        <w:rPr>
          <w:rFonts w:ascii="Times New Roman" w:cs="Times New Roman" w:eastAsia="Times New Roman" w:hAnsi="Times New Roman"/>
          <w:sz w:val="18"/>
          <w:szCs w:val="18"/>
          <w:color w:val="auto"/>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83" w:lineRule="exact"/>
        <w:rPr>
          <w:sz w:val="20"/>
          <w:szCs w:val="20"/>
          <w:color w:val="auto"/>
        </w:rPr>
      </w:pPr>
    </w:p>
    <w:p>
      <w:pPr>
        <w:jc w:val="both"/>
        <w:ind w:firstLine="1814"/>
        <w:spacing w:after="0" w:line="256" w:lineRule="auto"/>
        <w:rPr>
          <w:sz w:val="20"/>
          <w:szCs w:val="20"/>
          <w:color w:val="auto"/>
        </w:rPr>
      </w:pPr>
      <w:r>
        <w:rPr>
          <w:rFonts w:ascii="Times New Roman" w:cs="Times New Roman" w:eastAsia="Times New Roman" w:hAnsi="Times New Roman"/>
          <w:sz w:val="18"/>
          <w:szCs w:val="18"/>
          <w:color w:val="auto"/>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7" w:lineRule="exact"/>
        <w:rPr>
          <w:sz w:val="20"/>
          <w:szCs w:val="20"/>
          <w:color w:val="auto"/>
        </w:rPr>
      </w:pPr>
    </w:p>
    <w:p>
      <w:pPr>
        <w:jc w:val="both"/>
        <w:ind w:firstLine="1814"/>
        <w:spacing w:after="0" w:line="266" w:lineRule="auto"/>
        <w:rPr>
          <w:sz w:val="20"/>
          <w:szCs w:val="20"/>
          <w:color w:val="auto"/>
        </w:rPr>
      </w:pPr>
      <w:r>
        <w:rPr>
          <w:rFonts w:ascii="Times New Roman" w:cs="Times New Roman" w:eastAsia="Times New Roman" w:hAnsi="Times New Roman"/>
          <w:sz w:val="18"/>
          <w:szCs w:val="18"/>
          <w:color w:val="auto"/>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76" w:lineRule="exact"/>
        <w:rPr>
          <w:sz w:val="20"/>
          <w:szCs w:val="20"/>
          <w:color w:val="auto"/>
        </w:rPr>
      </w:pPr>
    </w:p>
    <w:p>
      <w:pPr>
        <w:jc w:val="both"/>
        <w:ind w:firstLine="1814"/>
        <w:spacing w:after="0" w:line="261" w:lineRule="auto"/>
        <w:rPr>
          <w:sz w:val="20"/>
          <w:szCs w:val="20"/>
          <w:color w:val="auto"/>
        </w:rPr>
      </w:pPr>
      <w:r>
        <w:rPr>
          <w:rFonts w:ascii="Times New Roman" w:cs="Times New Roman" w:eastAsia="Times New Roman" w:hAnsi="Times New Roman"/>
          <w:sz w:val="18"/>
          <w:szCs w:val="18"/>
          <w:color w:val="auto"/>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ind w:firstLine="1814"/>
        <w:spacing w:after="0" w:line="255" w:lineRule="auto"/>
        <w:rPr>
          <w:sz w:val="20"/>
          <w:szCs w:val="20"/>
          <w:color w:val="auto"/>
        </w:rPr>
      </w:pPr>
      <w:r>
        <w:rPr>
          <w:rFonts w:ascii="Times New Roman" w:cs="Times New Roman" w:eastAsia="Times New Roman" w:hAnsi="Times New Roman"/>
          <w:sz w:val="18"/>
          <w:szCs w:val="18"/>
          <w:color w:val="auto"/>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8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sz w:val="20"/>
          <w:szCs w:val="20"/>
          <w:color w:val="auto"/>
        </w:rPr>
      </w:pPr>
    </w:p>
    <w:p>
      <w:pPr>
        <w:jc w:val="both"/>
        <w:ind w:firstLine="1814"/>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sz w:val="20"/>
          <w:szCs w:val="20"/>
          <w:color w:val="auto"/>
        </w:rPr>
      </w:pPr>
    </w:p>
    <w:p>
      <w:pPr>
        <w:jc w:val="both"/>
        <w:ind w:firstLine="1814"/>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5" w:lineRule="exact"/>
        <w:rPr>
          <w:sz w:val="20"/>
          <w:szCs w:val="20"/>
          <w:color w:val="auto"/>
        </w:rPr>
      </w:pPr>
    </w:p>
    <w:p>
      <w:pPr>
        <w:jc w:val="both"/>
        <w:ind w:firstLine="1814"/>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71" w:lineRule="exact"/>
        <w:rPr>
          <w:sz w:val="20"/>
          <w:szCs w:val="20"/>
          <w:color w:val="auto"/>
        </w:rPr>
      </w:pPr>
    </w:p>
    <w:p>
      <w:pPr>
        <w:jc w:val="both"/>
        <w:ind w:firstLine="1814"/>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firstLine="1814"/>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Black Scholes Going Private Value</w:t>
      </w:r>
      <w:r>
        <w:rPr>
          <w:rFonts w:ascii="Times New Roman" w:cs="Times New Roman" w:eastAsia="Times New Roman" w:hAnsi="Times New Roman"/>
          <w:sz w:val="18"/>
          <w:szCs w:val="18"/>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7" w:lineRule="exact"/>
        <w:rPr>
          <w:sz w:val="20"/>
          <w:szCs w:val="20"/>
          <w:color w:val="auto"/>
        </w:rPr>
      </w:pPr>
    </w:p>
    <w:p>
      <w:pPr>
        <w:jc w:val="both"/>
        <w:ind w:firstLine="1814"/>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8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sz w:val="20"/>
          <w:szCs w:val="20"/>
          <w:color w:val="auto"/>
        </w:rPr>
      </w:pPr>
    </w:p>
    <w:p>
      <w:pPr>
        <w:jc w:val="both"/>
        <w:ind w:firstLine="1814"/>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jc w:val="both"/>
        <w:ind w:firstLine="1814"/>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9" w:name="page200"/>
    <w:bookmarkEnd w:id="199"/>
    <w:p>
      <w:pPr>
        <w:jc w:val="both"/>
        <w:ind w:firstLine="1814"/>
        <w:spacing w:after="0" w:line="28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55" w:lineRule="exact"/>
        <w:rPr>
          <w:sz w:val="20"/>
          <w:szCs w:val="20"/>
          <w:color w:val="auto"/>
        </w:rPr>
      </w:pPr>
    </w:p>
    <w:p>
      <w:pPr>
        <w:jc w:val="both"/>
        <w:ind w:firstLine="1814"/>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5" w:lineRule="exact"/>
        <w:rPr>
          <w:sz w:val="20"/>
          <w:szCs w:val="20"/>
          <w:color w:val="auto"/>
        </w:rPr>
      </w:pPr>
    </w:p>
    <w:p>
      <w:pPr>
        <w:jc w:val="both"/>
        <w:ind w:right="20" w:firstLine="1814"/>
        <w:spacing w:after="0" w:line="28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Nasdaq Capital Market, The Nasdaq Global Select Market, The Nasdaq Global Market, the NYSE American, or The New York Stock Exchange.</w:t>
      </w:r>
    </w:p>
    <w:p>
      <w:pPr>
        <w:spacing w:after="0" w:line="155" w:lineRule="exact"/>
        <w:rPr>
          <w:sz w:val="20"/>
          <w:szCs w:val="20"/>
          <w:color w:val="auto"/>
        </w:rPr>
      </w:pPr>
    </w:p>
    <w:p>
      <w:pPr>
        <w:jc w:val="both"/>
        <w:ind w:firstLine="1814"/>
        <w:spacing w:after="0" w:line="25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 w:cs="Times New Roman" w:eastAsia="Times New Roman" w:hAnsi="Times New Roman"/>
          <w:sz w:val="18"/>
          <w:szCs w:val="18"/>
          <w:b w:val="1"/>
          <w:bCs w:val="1"/>
          <w:color w:val="auto"/>
        </w:rPr>
        <w:t>Metropolitan Entities</w:t>
      </w:r>
      <w:r>
        <w:rPr>
          <w:rFonts w:ascii="Times New Roman" w:cs="Times New Roman" w:eastAsia="Times New Roman" w:hAnsi="Times New Roman"/>
          <w:sz w:val="18"/>
          <w:szCs w:val="18"/>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any warrant issued to the Metropolitan Entities in connection with the Third Amendment and (F) this Warrant and any other warrant issued to the Metropolitan Entities in connection with the Forbearance Agreement.</w:t>
      </w:r>
    </w:p>
    <w:p>
      <w:pPr>
        <w:spacing w:after="0" w:line="191" w:lineRule="exact"/>
        <w:rPr>
          <w:sz w:val="20"/>
          <w:szCs w:val="20"/>
          <w:color w:val="auto"/>
        </w:rPr>
      </w:pPr>
    </w:p>
    <w:p>
      <w:pPr>
        <w:jc w:val="both"/>
        <w:ind w:right="20" w:firstLine="1814"/>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0" w:name="page201"/>
    <w:bookmarkEnd w:id="200"/>
    <w:p>
      <w:pPr>
        <w:jc w:val="both"/>
        <w:ind w:firstLine="1814"/>
        <w:spacing w:after="0" w:line="251"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1" w:name="page202"/>
    <w:bookmarkEnd w:id="201"/>
    <w:p>
      <w:pPr>
        <w:jc w:val="both"/>
        <w:ind w:firstLine="1814"/>
        <w:spacing w:after="0" w:line="259"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9" w:lineRule="exact"/>
        <w:rPr>
          <w:sz w:val="20"/>
          <w:szCs w:val="20"/>
          <w:color w:val="auto"/>
        </w:rPr>
      </w:pPr>
    </w:p>
    <w:p>
      <w:pPr>
        <w:jc w:val="both"/>
        <w:ind w:right="20" w:firstLine="1814"/>
        <w:spacing w:after="0" w:line="28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right="20" w:firstLine="1814"/>
        <w:spacing w:after="0" w:line="28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OTC Bulletin Board or any other Eligible Market, or any national securities exchange, market or trading or quotation facility on which the Common Stock is then listed or quoted.</w:t>
      </w:r>
    </w:p>
    <w:p>
      <w:pPr>
        <w:spacing w:after="0" w:line="15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sz w:val="20"/>
          <w:szCs w:val="20"/>
          <w:color w:val="auto"/>
        </w:rPr>
      </w:pPr>
    </w:p>
    <w:p>
      <w:pPr>
        <w:jc w:val="both"/>
        <w:ind w:firstLine="1814"/>
        <w:spacing w:after="0" w:line="26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1" w:lineRule="exact"/>
        <w:rPr>
          <w:sz w:val="20"/>
          <w:szCs w:val="20"/>
          <w:color w:val="auto"/>
        </w:rPr>
      </w:pPr>
    </w:p>
    <w:p>
      <w:pPr>
        <w:jc w:val="both"/>
        <w:ind w:firstLine="1814"/>
        <w:spacing w:after="0" w:line="278" w:lineRule="auto"/>
        <w:rPr>
          <w:sz w:val="20"/>
          <w:szCs w:val="20"/>
          <w:color w:val="auto"/>
        </w:rPr>
      </w:pPr>
      <w:r>
        <w:rPr>
          <w:rFonts w:ascii="Times New Roman" w:cs="Times New Roman" w:eastAsia="Times New Roman" w:hAnsi="Times New Roman"/>
          <w:sz w:val="17"/>
          <w:szCs w:val="17"/>
          <w:color w:val="auto"/>
        </w:rPr>
        <w:t>(x)         “</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64" w:lineRule="exact"/>
        <w:rPr>
          <w:sz w:val="20"/>
          <w:szCs w:val="20"/>
          <w:color w:val="auto"/>
        </w:rPr>
      </w:pPr>
    </w:p>
    <w:p>
      <w:pPr>
        <w:jc w:val="both"/>
        <w:ind w:firstLine="1814"/>
        <w:spacing w:after="0" w:line="253"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2" w:name="page203"/>
    <w:bookmarkEnd w:id="202"/>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3" w:name="page204"/>
    <w:bookmarkEnd w:id="203"/>
    <w:p>
      <w:pPr>
        <w:ind w:left="102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purchase________________ of the shares 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Presto</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Warrant to Purchase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1040" w:hanging="190"/>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Exercise Price. The Holder intends that payment of the Exercise Price shall be made as:</w:t>
      </w:r>
    </w:p>
    <w:p>
      <w:pPr>
        <w:spacing w:after="0" w:line="225"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to_________________ Warrant Shares;</w:t>
      </w:r>
    </w:p>
    <w:p>
      <w:pPr>
        <w:spacing w:after="0" w:line="2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and/or</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to______________ Warrant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62" w:lineRule="exact"/>
        <w:rPr>
          <w:sz w:val="20"/>
          <w:szCs w:val="20"/>
          <w:color w:val="auto"/>
        </w:rPr>
      </w:pPr>
    </w:p>
    <w:p>
      <w:pPr>
        <w:jc w:val="both"/>
        <w:ind w:firstLine="721"/>
        <w:spacing w:after="0" w:line="266" w:lineRule="auto"/>
        <w:tabs>
          <w:tab w:leader="none" w:pos="9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 to the Company in accordance with the terms of the Warrant.</w:t>
      </w:r>
    </w:p>
    <w:p>
      <w:pPr>
        <w:spacing w:after="0" w:line="175" w:lineRule="exact"/>
        <w:rPr>
          <w:rFonts w:ascii="Times New Roman" w:cs="Times New Roman" w:eastAsia="Times New Roman" w:hAnsi="Times New Roman"/>
          <w:sz w:val="18"/>
          <w:szCs w:val="18"/>
          <w:color w:val="auto"/>
        </w:rPr>
      </w:pPr>
    </w:p>
    <w:p>
      <w:pPr>
        <w:ind w:left="900" w:hanging="179"/>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of Warrant Shares. The Company shall deliver to the holder_____________________ Warrant Shares in accordance with the terms of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Warrant.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Borders>
              <w:bottom w:val="single" w:sz="8" w:color="auto"/>
            </w:tcBorders>
          </w:tcPr>
          <w:p>
            <w:pPr>
              <w:spacing w:after="0"/>
              <w:rPr>
                <w:sz w:val="20"/>
                <w:szCs w:val="20"/>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Electronic Delivery</w:t>
            </w: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DTC Participant:</w:t>
            </w:r>
          </w:p>
        </w:tc>
        <w:tc>
          <w:tcPr>
            <w:tcW w:w="580" w:type="dxa"/>
            <w:vAlign w:val="bottom"/>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DTC Number:</w:t>
            </w:r>
          </w:p>
        </w:tc>
        <w:tc>
          <w:tcPr>
            <w:tcW w:w="58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 Name:</w:t>
            </w:r>
          </w:p>
        </w:tc>
        <w:tc>
          <w:tcPr>
            <w:tcW w:w="58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 Number:</w:t>
            </w:r>
          </w:p>
        </w:tc>
        <w:tc>
          <w:tcPr>
            <w:tcW w:w="58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920" w:type="dxa"/>
            <w:vAlign w:val="bottom"/>
            <w:tcBorders>
              <w:bottom w:val="single" w:sz="8" w:color="auto"/>
            </w:tcBorders>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Physical Delivery</w:t>
            </w: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Address:</w:t>
            </w:r>
          </w:p>
        </w:tc>
        <w:tc>
          <w:tcPr>
            <w:tcW w:w="58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Date:______________ __, ______</w:t>
            </w: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gridSpan w:val="2"/>
            <w:vMerge w:val="continue"/>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240" w:type="dxa"/>
            <w:vAlign w:val="bottom"/>
            <w:gridSpan w:val="2"/>
            <w:vMerge w:val="continue"/>
          </w:tcPr>
          <w:p>
            <w:pPr>
              <w:spacing w:after="0"/>
              <w:rPr>
                <w:sz w:val="24"/>
                <w:szCs w:val="24"/>
                <w:color w:val="auto"/>
              </w:rPr>
            </w:pPr>
          </w:p>
        </w:tc>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40" w:type="dxa"/>
            <w:vAlign w:val="bottom"/>
            <w:tcBorders>
              <w:bottom w:val="single" w:sz="8" w:color="auto"/>
            </w:tcBorders>
            <w:gridSpan w:val="2"/>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2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4"/>
        </w:trPr>
        <w:tc>
          <w:tcPr>
            <w:tcW w:w="9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05" w:name="page206"/>
    <w:bookmarkEnd w:id="20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[TRANSFER AGENT] to issue the above indicated number of shares of Common Stock in accordance with the Transfer Agent Instructions dated_________________ from the Company and acknowledged and agreed to by [TRANSFER AGENT].</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70928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570928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570928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Dated:_______________, ______</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8890</wp:posOffset>
            </wp:positionV>
            <wp:extent cx="28460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28460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151765</wp:posOffset>
            </wp:positionV>
            <wp:extent cx="28460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24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2024-1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4,810,500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October 16, 2023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Amendment and Restatement: January 30, 2024</w:t>
      </w:r>
    </w:p>
    <w:p>
      <w:pPr>
        <w:spacing w:after="0" w:line="20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Metropolitan Levered Partners Fund VII, LP,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4,810,500 duly authorized, validly issued, fully paid, nonassessable shares of Common Stock,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Amended and Restated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and to Section 7 of that certain Third Amended and Restated Fee Letter, dated October 10, 2023, among E La Carte, LLC, the Company and Metropolitan Partners Group Administration (the “</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Capitalized terms used herein and not otherwise defined shall have the definitions ascribed to such terms in the Credit Agreement (as defined in the Fee Letter). This Warrant amends, restates and supersedes in its entirety that certain Warrant for 962,100 shares of Common Stock issued by the Company to the Holder on October 16, 2023 (the “</w:t>
      </w:r>
      <w:r>
        <w:rPr>
          <w:rFonts w:ascii="Times New Roman" w:cs="Times New Roman" w:eastAsia="Times New Roman" w:hAnsi="Times New Roman"/>
          <w:sz w:val="18"/>
          <w:szCs w:val="18"/>
          <w:b w:val="1"/>
          <w:bCs w:val="1"/>
          <w:color w:val="auto"/>
        </w:rPr>
        <w:t>Original Warrant</w:t>
      </w:r>
      <w:r>
        <w:rPr>
          <w:rFonts w:ascii="Times New Roman" w:cs="Times New Roman" w:eastAsia="Times New Roman" w:hAnsi="Times New Roman"/>
          <w:sz w:val="18"/>
          <w:szCs w:val="18"/>
          <w:color w:val="auto"/>
        </w:rPr>
        <w:t>”) and that certain Warrant for 1,924,200 shares of Common Stock issued by the Company to the Holder on November 21, 2023 (the “November 2023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8" w:name="page209"/>
    <w:bookmarkEnd w:id="208"/>
    <w:p>
      <w:pPr>
        <w:ind w:left="1300"/>
        <w:spacing w:after="0"/>
        <w:rPr>
          <w:sz w:val="20"/>
          <w:szCs w:val="20"/>
          <w:color w:val="auto"/>
        </w:rPr>
      </w:pPr>
      <w:r>
        <w:rPr>
          <w:rFonts w:ascii="Times New Roman" w:cs="Times New Roman" w:eastAsia="Times New Roman" w:hAnsi="Times New Roman"/>
          <w:sz w:val="18"/>
          <w:szCs w:val="18"/>
          <w:color w:val="auto"/>
        </w:rPr>
        <w:t>1.             EXERCISE OF WARRANT.</w:t>
      </w:r>
    </w:p>
    <w:p>
      <w:pPr>
        <w:spacing w:after="0" w:line="225"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On or before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Trading Day following the date on which the Company has received the Exercise Notice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$0.01, subject to adjustment as provided herein.</w:t>
      </w:r>
    </w:p>
    <w:p>
      <w:pPr>
        <w:spacing w:after="0" w:line="229"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0" w:name="page211"/>
    <w:bookmarkEnd w:id="210"/>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Cashless Exercise</w:t>
      </w:r>
      <w:r>
        <w:rPr>
          <w:rFonts w:ascii="Times New Roman" w:cs="Times New Roman" w:eastAsia="Times New Roman" w:hAnsi="Times New Roman"/>
          <w:sz w:val="18"/>
          <w:szCs w:val="18"/>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jc w:val="both"/>
        <w:ind w:left="1440" w:right="140"/>
        <w:spacing w:after="0" w:line="266" w:lineRule="auto"/>
        <w:rPr>
          <w:sz w:val="20"/>
          <w:szCs w:val="20"/>
          <w:color w:val="auto"/>
        </w:rPr>
      </w:pPr>
      <w:r>
        <w:rPr>
          <w:rFonts w:ascii="Times New Roman" w:cs="Times New Roman" w:eastAsia="Times New Roman" w:hAnsi="Times New Roman"/>
          <w:sz w:val="18"/>
          <w:szCs w:val="18"/>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7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both"/>
        <w:ind w:firstLine="1944"/>
        <w:spacing w:after="0" w:line="267"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Limitations on Exercises</w:t>
      </w:r>
      <w:r>
        <w:rPr>
          <w:rFonts w:ascii="Times New Roman" w:cs="Times New Roman" w:eastAsia="Times New Roman" w:hAnsi="Times New Roman"/>
          <w:sz w:val="17"/>
          <w:szCs w:val="17"/>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7"/>
          <w:szCs w:val="17"/>
          <w:b w:val="1"/>
          <w:bCs w:val="1"/>
          <w:color w:val="auto"/>
        </w:rPr>
        <w:t>Reduction Shares</w:t>
      </w:r>
      <w:r>
        <w:rPr>
          <w:rFonts w:ascii="Times New Roman" w:cs="Times New Roman" w:eastAsia="Times New Roman" w:hAnsi="Times New Roman"/>
          <w:sz w:val="17"/>
          <w:szCs w:val="17"/>
          <w:color w:val="auto"/>
        </w:rPr>
        <w:t>”) and</w:t>
      </w:r>
    </w:p>
    <w:p>
      <w:pPr>
        <w:spacing w:after="0" w:line="203" w:lineRule="exact"/>
        <w:rPr>
          <w:sz w:val="20"/>
          <w:szCs w:val="20"/>
          <w:color w:val="auto"/>
        </w:rPr>
      </w:pPr>
    </w:p>
    <w:p>
      <w:pPr>
        <w:jc w:val="both"/>
        <w:ind w:firstLine="8"/>
        <w:spacing w:after="0" w:line="250" w:lineRule="auto"/>
        <w:tabs>
          <w:tab w:leader="none" w:pos="28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 w:cs="Times New Roman" w:eastAsia="Times New Roman" w:hAnsi="Times New Roman"/>
          <w:sz w:val="18"/>
          <w:szCs w:val="18"/>
          <w:b w:val="1"/>
          <w:bCs w:val="1"/>
          <w:color w:val="auto"/>
        </w:rPr>
        <w:t>Third Amendment Warrants</w:t>
      </w:r>
      <w:r>
        <w:rPr>
          <w:rFonts w:ascii="Times New Roman" w:cs="Times New Roman" w:eastAsia="Times New Roman" w:hAnsi="Times New Roman"/>
          <w:sz w:val="18"/>
          <w:szCs w:val="18"/>
          <w:color w:val="auto"/>
        </w:rPr>
        <w:t>”), together with the total number of shares of Common Stock issued pursuant to Section 4.11 of the stock purchase agreement, dated October 10, 2023 (the “</w:t>
      </w:r>
      <w:r>
        <w:rPr>
          <w:rFonts w:ascii="Times New Roman" w:cs="Times New Roman" w:eastAsia="Times New Roman" w:hAnsi="Times New Roman"/>
          <w:sz w:val="18"/>
          <w:szCs w:val="18"/>
          <w:b w:val="1"/>
          <w:bCs w:val="1"/>
          <w:color w:val="auto"/>
        </w:rPr>
        <w:t>Cleveland Avenue Purchase Agreement</w:t>
      </w:r>
      <w:r>
        <w:rPr>
          <w:rFonts w:ascii="Times New Roman" w:cs="Times New Roman" w:eastAsia="Times New Roman" w:hAnsi="Times New Roman"/>
          <w:sz w:val="18"/>
          <w:szCs w:val="18"/>
          <w:color w:val="auto"/>
        </w:rPr>
        <w:t>”), by and between the Company and Presto CA LLC (“</w:t>
      </w:r>
      <w:r>
        <w:rPr>
          <w:rFonts w:ascii="Times New Roman" w:cs="Times New Roman" w:eastAsia="Times New Roman" w:hAnsi="Times New Roman"/>
          <w:sz w:val="18"/>
          <w:szCs w:val="18"/>
          <w:b w:val="1"/>
          <w:bCs w:val="1"/>
          <w:color w:val="auto"/>
        </w:rPr>
        <w:t>Cleveland Avenue</w:t>
      </w:r>
      <w:r>
        <w:rPr>
          <w:rFonts w:ascii="Times New Roman" w:cs="Times New Roman" w:eastAsia="Times New Roman" w:hAnsi="Times New Roman"/>
          <w:sz w:val="18"/>
          <w:szCs w:val="18"/>
          <w:color w:val="auto"/>
        </w:rPr>
        <w:t>”), may not exceed the requirements of Nasdaq Listing Rule 5635(d)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19.99%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and the failure to have such sufficient number of authorized and unreserved shares of Common Stock,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ADJUSTMENT OF EXERCISE PRICE AND NUMBER OF WARRANT SHARES</w:t>
      </w:r>
      <w:r>
        <w:rPr>
          <w:rFonts w:ascii="Times New Roman" w:cs="Times New Roman" w:eastAsia="Times New Roman" w:hAnsi="Times New Roman"/>
          <w:sz w:val="18"/>
          <w:szCs w:val="18"/>
          <w:color w:val="auto"/>
        </w:rPr>
        <w:t>. The Exercise Price and the number of Warrant Shares issuable upon exercise of this Warrant are subject to adjustments from time to time as set forth in this Section 2.</w:t>
      </w:r>
    </w:p>
    <w:p>
      <w:pPr>
        <w:spacing w:after="0" w:line="162"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Adjustment Upon Subdivision or Combination of Shares of Common Stock</w:t>
      </w:r>
      <w:r>
        <w:rPr>
          <w:rFonts w:ascii="Times New Roman" w:cs="Times New Roman" w:eastAsia="Times New Roman" w:hAnsi="Times New Roman"/>
          <w:sz w:val="18"/>
          <w:szCs w:val="18"/>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190"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Adjustment Upon Issuance of Shares of Common Stock</w:t>
      </w:r>
      <w:r>
        <w:rPr>
          <w:rFonts w:ascii="Times New Roman" w:cs="Times New Roman" w:eastAsia="Times New Roman" w:hAnsi="Times New Roman"/>
          <w:sz w:val="18"/>
          <w:szCs w:val="18"/>
          <w:color w:val="auto"/>
        </w:rPr>
        <w:t>. If and whenever on or after the Issuance Date but prior to April 1, 2024 (the “</w:t>
      </w:r>
      <w:r>
        <w:rPr>
          <w:rFonts w:ascii="Times New Roman" w:cs="Times New Roman" w:eastAsia="Times New Roman" w:hAnsi="Times New Roman"/>
          <w:sz w:val="18"/>
          <w:szCs w:val="18"/>
          <w:b w:val="1"/>
          <w:bCs w:val="1"/>
          <w:color w:val="auto"/>
        </w:rPr>
        <w:t>Anti-Dilution Period</w:t>
      </w:r>
      <w:r>
        <w:rPr>
          <w:rFonts w:ascii="Times New Roman" w:cs="Times New Roman" w:eastAsia="Times New Roman" w:hAnsi="Times New Roman"/>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$0.40 per share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and the foregoing a “</w:t>
      </w:r>
      <w:r>
        <w:rPr>
          <w:rFonts w:ascii="Times New Roman" w:cs="Times New Roman" w:eastAsia="Times New Roman" w:hAnsi="Times New Roman"/>
          <w:sz w:val="18"/>
          <w:szCs w:val="18"/>
          <w:b w:val="1"/>
          <w:bCs w:val="1"/>
          <w:color w:val="auto"/>
        </w:rPr>
        <w:t>Dilutive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w:t>
      </w:r>
      <w:r>
        <w:rPr>
          <w:rFonts w:ascii="Times New Roman" w:cs="Times New Roman" w:eastAsia="Times New Roman" w:hAnsi="Times New Roman"/>
          <w:sz w:val="18"/>
          <w:szCs w:val="18"/>
          <w:color w:val="auto"/>
        </w:rPr>
        <w:t>”), then immediately after such Dilutive Issuance, the number of Warrant Shares shall be increased to an amount equal to (x)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prior to such Dilutive Issuance, multiplied by (y) the quotient of the Applicable Price divided by the New Issuance Price. The Company and Holder acknowledge and agree that the Original Warrant had an Applicable Price of $2.00 per share, the November 2023 Warrant had an Applicable Price of $1.00 per share, and the amendment and restatement is as of a result of a Dilutive Issuance with a $0.40 per share New Issuance Price. For all purposes of the foregoing (including, without limitation, determining the adjusted number of Warrant Shares and the New Issuance Price under this Section 2(b)), the following shall be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jc w:val="both"/>
        <w:ind w:firstLine="2333"/>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Issuance of Options</w:t>
      </w:r>
      <w:r>
        <w:rPr>
          <w:rFonts w:ascii="Times New Roman" w:cs="Times New Roman" w:eastAsia="Times New Roman" w:hAnsi="Times New Roman"/>
          <w:sz w:val="18"/>
          <w:szCs w:val="18"/>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0" w:lineRule="exact"/>
        <w:rPr>
          <w:sz w:val="20"/>
          <w:szCs w:val="20"/>
          <w:color w:val="auto"/>
        </w:rPr>
      </w:pPr>
    </w:p>
    <w:p>
      <w:pPr>
        <w:spacing w:after="0" w:line="209" w:lineRule="exact"/>
        <w:rPr>
          <w:sz w:val="20"/>
          <w:szCs w:val="20"/>
          <w:color w:val="auto"/>
        </w:rPr>
      </w:pPr>
    </w:p>
    <w:p>
      <w:pPr>
        <w:jc w:val="both"/>
        <w:ind w:firstLine="2333"/>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Issuance of Convertible Securities</w:t>
      </w:r>
      <w:r>
        <w:rPr>
          <w:rFonts w:ascii="Times New Roman" w:cs="Times New Roman" w:eastAsia="Times New Roman" w:hAnsi="Times New Roman"/>
          <w:sz w:val="18"/>
          <w:szCs w:val="18"/>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ind w:firstLine="2333"/>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192" w:lineRule="exact"/>
        <w:rPr>
          <w:sz w:val="20"/>
          <w:szCs w:val="20"/>
          <w:color w:val="auto"/>
        </w:rPr>
      </w:pPr>
    </w:p>
    <w:p>
      <w:pPr>
        <w:jc w:val="both"/>
        <w:ind w:firstLine="2333"/>
        <w:spacing w:after="0" w:line="25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and together with the Primary Security,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“Valuation Event”), the fair value of such consideration will be determined within five Trading Days after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jc w:val="both"/>
        <w:ind w:firstLine="2333"/>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PURCHASE RIGHTS; FUNDAMENTAL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Rights</w:t>
      </w:r>
      <w:r>
        <w:rPr>
          <w:rFonts w:ascii="Times New Roman" w:cs="Times New Roman" w:eastAsia="Times New Roman" w:hAnsi="Times New Roman"/>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Fundamental Transactions</w:t>
      </w:r>
      <w:r>
        <w:rPr>
          <w:rFonts w:ascii="Times New Roman" w:cs="Times New Roman" w:eastAsia="Times New Roman" w:hAnsi="Times New Roman"/>
          <w:sz w:val="18"/>
          <w:szCs w:val="18"/>
          <w:color w:val="auto"/>
        </w:rPr>
        <w:t>. The Company shall not enter into or be party to a Fundamental Transaction unless:</w:t>
      </w:r>
    </w:p>
    <w:p>
      <w:pPr>
        <w:spacing w:after="0" w:line="225" w:lineRule="exact"/>
        <w:rPr>
          <w:sz w:val="20"/>
          <w:szCs w:val="20"/>
          <w:color w:val="auto"/>
        </w:rPr>
      </w:pPr>
    </w:p>
    <w:p>
      <w:pPr>
        <w:jc w:val="both"/>
        <w:ind w:firstLine="2592"/>
        <w:spacing w:after="0" w:line="256" w:lineRule="auto"/>
        <w:rPr>
          <w:sz w:val="20"/>
          <w:szCs w:val="20"/>
          <w:color w:val="auto"/>
        </w:rPr>
      </w:pPr>
      <w:r>
        <w:rPr>
          <w:rFonts w:ascii="Times New Roman" w:cs="Times New Roman" w:eastAsia="Times New Roman" w:hAnsi="Times New Roman"/>
          <w:sz w:val="18"/>
          <w:szCs w:val="18"/>
          <w:color w:val="auto"/>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87" w:lineRule="exact"/>
        <w:rPr>
          <w:sz w:val="20"/>
          <w:szCs w:val="20"/>
          <w:color w:val="auto"/>
        </w:rPr>
      </w:pPr>
    </w:p>
    <w:p>
      <w:pPr>
        <w:jc w:val="both"/>
        <w:ind w:firstLine="2592"/>
        <w:spacing w:after="0" w:line="251" w:lineRule="auto"/>
        <w:rPr>
          <w:sz w:val="20"/>
          <w:szCs w:val="20"/>
          <w:color w:val="auto"/>
        </w:rPr>
      </w:pPr>
      <w:r>
        <w:rPr>
          <w:rFonts w:ascii="Times New Roman" w:cs="Times New Roman" w:eastAsia="Times New Roman" w:hAnsi="Times New Roman"/>
          <w:sz w:val="18"/>
          <w:szCs w:val="18"/>
          <w:color w:val="auto"/>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 w:cs="Times New Roman" w:eastAsia="Times New Roman" w:hAnsi="Times New Roman"/>
          <w:sz w:val="18"/>
          <w:szCs w:val="18"/>
          <w:b w:val="1"/>
          <w:bCs w:val="1"/>
          <w:color w:val="auto"/>
        </w:rPr>
        <w:t>Public Fundamental Transaction</w:t>
      </w:r>
      <w:r>
        <w:rPr>
          <w:rFonts w:ascii="Times New Roman" w:cs="Times New Roman" w:eastAsia="Times New Roman" w:hAnsi="Times New Roman"/>
          <w:sz w:val="18"/>
          <w:szCs w:val="18"/>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94"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Holder Optional Redemptions</w:t>
      </w:r>
      <w:r>
        <w:rPr>
          <w:rFonts w:ascii="Times New Roman" w:cs="Times New Roman" w:eastAsia="Times New Roman" w:hAnsi="Times New Roman"/>
          <w:sz w:val="18"/>
          <w:szCs w:val="18"/>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9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REISSUANCE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9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Exchangeable for Multiple Warrants</w:t>
      </w:r>
      <w:r>
        <w:rPr>
          <w:rFonts w:ascii="Times New Roman" w:cs="Times New Roman" w:eastAsia="Times New Roman" w:hAnsi="Times New Roman"/>
          <w:sz w:val="18"/>
          <w:szCs w:val="18"/>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warrants for fractional shares of Common Stock shall be given.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7" w:lineRule="exact"/>
        <w:rPr>
          <w:sz w:val="20"/>
          <w:szCs w:val="20"/>
          <w:color w:val="auto"/>
        </w:rPr>
      </w:pPr>
    </w:p>
    <w:p>
      <w:pPr>
        <w:jc w:val="both"/>
        <w:ind w:firstLine="1361"/>
        <w:spacing w:after="0" w:line="258"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NOTICES OF CHANGES IN WARRANT</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83" w:lineRule="exact"/>
        <w:rPr>
          <w:sz w:val="20"/>
          <w:szCs w:val="20"/>
          <w:color w:val="auto"/>
        </w:rPr>
      </w:pPr>
    </w:p>
    <w:p>
      <w:pPr>
        <w:jc w:val="both"/>
        <w:ind w:firstLine="1361"/>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83" w:lineRule="exact"/>
        <w:rPr>
          <w:sz w:val="20"/>
          <w:szCs w:val="20"/>
          <w:color w:val="auto"/>
        </w:rPr>
      </w:pPr>
    </w:p>
    <w:p>
      <w:pPr>
        <w:jc w:val="both"/>
        <w:ind w:firstLine="1361"/>
        <w:spacing w:after="0" w:line="251"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AND THE HOLDER EACH</w:t>
      </w:r>
    </w:p>
    <w:p>
      <w:pPr>
        <w:spacing w:after="0" w:line="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firstLine="1361"/>
        <w:spacing w:after="0" w:line="26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CONSTRUCTION; HEADINGS; BUSINESS DAYS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80" w:lineRule="exact"/>
        <w:rPr>
          <w:sz w:val="20"/>
          <w:szCs w:val="20"/>
          <w:color w:val="auto"/>
        </w:rPr>
      </w:pPr>
    </w:p>
    <w:p>
      <w:pPr>
        <w:jc w:val="both"/>
        <w:ind w:firstLine="1361"/>
        <w:spacing w:after="0" w:line="253"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spacing w:after="0" w:line="187" w:lineRule="exact"/>
        <w:rPr>
          <w:sz w:val="20"/>
          <w:szCs w:val="20"/>
          <w:color w:val="auto"/>
        </w:rPr>
      </w:pPr>
    </w:p>
    <w:p>
      <w:pPr>
        <w:jc w:val="both"/>
        <w:ind w:firstLine="1361"/>
        <w:spacing w:after="0" w:line="255"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9" w:lineRule="exact"/>
        <w:rPr>
          <w:sz w:val="20"/>
          <w:szCs w:val="20"/>
          <w:color w:val="auto"/>
        </w:rPr>
      </w:pPr>
    </w:p>
    <w:p>
      <w:pPr>
        <w:jc w:val="both"/>
        <w:ind w:firstLine="1361"/>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jc w:val="both"/>
        <w:ind w:firstLine="1361"/>
        <w:spacing w:after="0" w:line="254"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2" w:lineRule="exact"/>
        <w:rPr>
          <w:sz w:val="20"/>
          <w:szCs w:val="20"/>
          <w:color w:val="auto"/>
        </w:rPr>
      </w:pPr>
    </w:p>
    <w:p>
      <w:pPr>
        <w:jc w:val="both"/>
        <w:ind w:firstLine="1361"/>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NO DISCLOSURE</w:t>
      </w:r>
      <w:r>
        <w:rPr>
          <w:rFonts w:ascii="Times New Roman" w:cs="Times New Roman" w:eastAsia="Times New Roman" w:hAnsi="Times New Roman"/>
          <w:sz w:val="18"/>
          <w:szCs w:val="18"/>
          <w:color w:val="auto"/>
        </w:rPr>
        <w:t>. The Company shall not provide material, non-public information or confidential or proprietary information to the Holder without such Holder’s written consent.</w:t>
      </w:r>
    </w:p>
    <w:p>
      <w:pPr>
        <w:spacing w:after="0" w:line="16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REPRESENTATIONS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 Each Holder represents and warrants that it is acquiring this Warrant and the Warrant Shares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Unregistered Securities</w:t>
      </w:r>
      <w:r>
        <w:rPr>
          <w:rFonts w:ascii="Times New Roman" w:cs="Times New Roman" w:eastAsia="Times New Roman" w:hAnsi="Times New Roman"/>
          <w:sz w:val="18"/>
          <w:szCs w:val="18"/>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Each Holder represents and warrants that it is an “accredited investor” as defined in Rule 501(a)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Act.</w:t>
      </w:r>
    </w:p>
    <w:p>
      <w:pPr>
        <w:spacing w:after="0" w:line="207" w:lineRule="exact"/>
        <w:rPr>
          <w:sz w:val="20"/>
          <w:szCs w:val="20"/>
          <w:color w:val="auto"/>
        </w:rPr>
      </w:pPr>
    </w:p>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Sophisticated Investor</w:t>
      </w:r>
      <w:r>
        <w:rPr>
          <w:rFonts w:ascii="Times New Roman" w:cs="Times New Roman" w:eastAsia="Times New Roman" w:hAnsi="Times New Roman"/>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Information</w:t>
      </w:r>
      <w:r>
        <w:rPr>
          <w:rFonts w:ascii="Times New Roman" w:cs="Times New Roman" w:eastAsia="Times New Roman" w:hAnsi="Times New Roman"/>
          <w:sz w:val="18"/>
          <w:szCs w:val="18"/>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Non-Reliance</w:t>
      </w:r>
      <w:r>
        <w:rPr>
          <w:rFonts w:ascii="Times New Roman" w:cs="Times New Roman" w:eastAsia="Times New Roman" w:hAnsi="Times New Roman"/>
          <w:sz w:val="18"/>
          <w:szCs w:val="18"/>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u w:val="single" w:color="auto"/>
          <w:color w:val="auto"/>
        </w:rPr>
        <w:t>  REPRESENTATIONS OF THE COMPANY</w:t>
      </w:r>
      <w:r>
        <w:rPr>
          <w:rFonts w:ascii="Times New Roman" w:cs="Times New Roman" w:eastAsia="Times New Roman" w:hAnsi="Times New Roman"/>
          <w:sz w:val="17"/>
          <w:szCs w:val="17"/>
          <w:color w:val="auto"/>
        </w:rPr>
        <w:t>. The Company represents and warrants to the Holder that, except as set forth in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Reports (as defined below):</w:t>
      </w:r>
    </w:p>
    <w:p>
      <w:pPr>
        <w:spacing w:after="0" w:line="20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94"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has not been issued in violation of any preemptive rights created under the Company’s organizational documents or the laws of the State of Delaware.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8"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3" w:lineRule="exact"/>
        <w:rPr>
          <w:sz w:val="20"/>
          <w:szCs w:val="20"/>
          <w:color w:val="auto"/>
        </w:rPr>
      </w:pPr>
    </w:p>
    <w:p>
      <w:pPr>
        <w:ind w:right="20" w:firstLine="8"/>
        <w:spacing w:after="0" w:line="260" w:lineRule="auto"/>
        <w:tabs>
          <w:tab w:leader="none" w:pos="3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181"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i w:val="1"/>
          <w:iCs w:val="1"/>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 w:cs="Times New Roman" w:eastAsia="Times New Roman" w:hAnsi="Times New Roman"/>
          <w:sz w:val="18"/>
          <w:szCs w:val="18"/>
          <w:b w:val="1"/>
          <w:bCs w:val="1"/>
          <w:color w:val="auto"/>
        </w:rPr>
        <w:t>2023 Form 10-K</w:t>
      </w:r>
      <w:r>
        <w:rPr>
          <w:rFonts w:ascii="Times New Roman" w:cs="Times New Roman" w:eastAsia="Times New Roman" w:hAnsi="Times New Roman"/>
          <w:sz w:val="18"/>
          <w:szCs w:val="18"/>
          <w:color w:val="auto"/>
        </w:rPr>
        <w:t>”)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i w:val="1"/>
          <w:iCs w:val="1"/>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83"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7" w:lineRule="exact"/>
        <w:rPr>
          <w:sz w:val="20"/>
          <w:szCs w:val="20"/>
          <w:color w:val="auto"/>
        </w:rPr>
      </w:pPr>
    </w:p>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auto"/>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0"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71"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82"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Black Scholes Going Private Value</w:t>
      </w:r>
      <w:r>
        <w:rPr>
          <w:rFonts w:ascii="Times New Roman" w:cs="Times New Roman" w:eastAsia="Times New Roman" w:hAnsi="Times New Roman"/>
          <w:sz w:val="18"/>
          <w:szCs w:val="18"/>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7" w:name="page228"/>
    <w:bookmarkEnd w:id="227"/>
    <w:p>
      <w:pPr>
        <w:ind w:left="19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55"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5"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Nasdaq Capital Market, The Nasdaq Global Select Market, The Nasdaq Global Market, the NYSE American, or The New York Stock Exchange.</w:t>
      </w:r>
    </w:p>
    <w:p>
      <w:pPr>
        <w:spacing w:after="0" w:line="15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 w:cs="Times New Roman" w:eastAsia="Times New Roman" w:hAnsi="Times New Roman"/>
          <w:sz w:val="18"/>
          <w:szCs w:val="18"/>
          <w:b w:val="1"/>
          <w:bCs w:val="1"/>
          <w:color w:val="auto"/>
        </w:rPr>
        <w:t>Metropolitan Entities</w:t>
      </w:r>
      <w:r>
        <w:rPr>
          <w:rFonts w:ascii="Times New Roman" w:cs="Times New Roman" w:eastAsia="Times New Roman" w:hAnsi="Times New Roman"/>
          <w:sz w:val="18"/>
          <w:szCs w:val="18"/>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this Warrant and any other warrant issued to the Metropolitan Entities in connection with the Third Amendment and (F) any warrant issued to the Metropolitan Entities in connection with the Forbearance and Fourth Amendment to Credit Agreement, dated as of January 22, 2024, by and among the Company, Metropolitan Partners Group Administration, LLC, a Delaware limited liability corporation, in its capacity as administrative agent and collateral agent under the Credit Agreement, and the Metropolitan Entities.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8" w:name="page229"/>
    <w:bookmarkEnd w:id="228"/>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55"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3"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9"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OTC Bulletin Board or any other Eligible Market, or any national securities exchange, market or trading or quotation facility on which the Common Stock is then listed or quoted.</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0" w:name="page231"/>
    <w:bookmarkEnd w:id="230"/>
    <w:p>
      <w:pPr>
        <w:ind w:left="1960"/>
        <w:spacing w:after="0"/>
        <w:rPr>
          <w:sz w:val="20"/>
          <w:szCs w:val="20"/>
          <w:color w:val="auto"/>
        </w:rPr>
      </w:pPr>
      <w:r>
        <w:rPr>
          <w:rFonts w:ascii="Times New Roman" w:cs="Times New Roman" w:eastAsia="Times New Roman" w:hAnsi="Times New Roman"/>
          <w:sz w:val="17"/>
          <w:szCs w:val="17"/>
          <w:color w:val="auto"/>
        </w:rPr>
        <w:t>(v)           “</w:t>
      </w:r>
      <w:r>
        <w:rPr>
          <w:rFonts w:ascii="Times New Roman" w:cs="Times New Roman" w:eastAsia="Times New Roman" w:hAnsi="Times New Roman"/>
          <w:sz w:val="17"/>
          <w:szCs w:val="17"/>
          <w:b w:val="1"/>
          <w:bCs w:val="1"/>
          <w:color w:val="auto"/>
        </w:rPr>
        <w:t>Subject Entity</w:t>
      </w:r>
      <w:r>
        <w:rPr>
          <w:rFonts w:ascii="Times New Roman" w:cs="Times New Roman" w:eastAsia="Times New Roman" w:hAnsi="Times New Roman"/>
          <w:sz w:val="17"/>
          <w:szCs w:val="17"/>
          <w:color w:val="auto"/>
        </w:rPr>
        <w:t>” means any Person, Persons or Group or any Affiliate or associate of any such Person, Persons or Group.</w:t>
      </w:r>
    </w:p>
    <w:p>
      <w:pPr>
        <w:spacing w:after="0" w:line="237"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1"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82"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1" w:name="page232"/>
    <w:bookmarkEnd w:id="231"/>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2C2C2C"/>
        </w:rPr>
        <w:t xml:space="preserve">IN WITNESS WHEREOF, </w:t>
      </w:r>
      <w:r>
        <w:rPr>
          <w:rFonts w:ascii="Times New Roman" w:cs="Times New Roman" w:eastAsia="Times New Roman" w:hAnsi="Times New Roman"/>
          <w:sz w:val="18"/>
          <w:szCs w:val="18"/>
          <w:color w:val="2C2C2C"/>
        </w:rPr>
        <w:t>the Company has caused this Amended and Restated Warrant to Purchase Common Stock to be duly executed as of</w:t>
      </w:r>
      <w:r>
        <w:rPr>
          <w:rFonts w:ascii="Times New Roman" w:cs="Times New Roman" w:eastAsia="Times New Roman" w:hAnsi="Times New Roman"/>
          <w:sz w:val="18"/>
          <w:szCs w:val="18"/>
          <w:b w:val="1"/>
          <w:bCs w:val="1"/>
          <w:color w:val="2C2C2C"/>
        </w:rPr>
        <w:t xml:space="preserve"> </w:t>
      </w:r>
      <w:r>
        <w:rPr>
          <w:rFonts w:ascii="Times New Roman" w:cs="Times New Roman" w:eastAsia="Times New Roman" w:hAnsi="Times New Roman"/>
          <w:sz w:val="18"/>
          <w:szCs w:val="18"/>
          <w:color w:val="2C2C2C"/>
        </w:rPr>
        <w:t>the Issuance Date set out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2" w:name="page233"/>
    <w:bookmarkEnd w:id="232"/>
    <w:p>
      <w:pPr>
        <w:ind w:left="102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 of the shares 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Presto</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Amended and Restated Warrant to Purchase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1040" w:hanging="190"/>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Exercise Price. The Holder intends that payment of the Exercise Price shall be made as: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 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_________________ Warrant Shares; and/or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 Warrant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62" w:lineRule="exact"/>
        <w:rPr>
          <w:sz w:val="20"/>
          <w:szCs w:val="20"/>
          <w:color w:val="auto"/>
        </w:rPr>
      </w:pPr>
    </w:p>
    <w:p>
      <w:pPr>
        <w:jc w:val="both"/>
        <w:ind w:firstLine="721"/>
        <w:spacing w:after="0" w:line="266" w:lineRule="auto"/>
        <w:tabs>
          <w:tab w:leader="none" w:pos="9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 to the Company in accordance with the terms of the Warrant.</w:t>
      </w:r>
    </w:p>
    <w:p>
      <w:pPr>
        <w:spacing w:after="0" w:line="175" w:lineRule="exact"/>
        <w:rPr>
          <w:rFonts w:ascii="Times New Roman" w:cs="Times New Roman" w:eastAsia="Times New Roman" w:hAnsi="Times New Roman"/>
          <w:sz w:val="18"/>
          <w:szCs w:val="18"/>
          <w:color w:val="auto"/>
        </w:rPr>
      </w:pPr>
    </w:p>
    <w:p>
      <w:pPr>
        <w:ind w:left="900" w:hanging="179"/>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The Company shall deliver to the holder _________________ Warrant Shares in accordance with the terms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 Electronic Delivery</w:t>
            </w:r>
          </w:p>
        </w:tc>
        <w:tc>
          <w:tcPr>
            <w:tcW w:w="772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DTC Participant:</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DTC Number:</w:t>
            </w:r>
          </w:p>
        </w:tc>
        <w:tc>
          <w:tcPr>
            <w:tcW w:w="5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 Name:</w:t>
            </w: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18"/>
                <w:szCs w:val="18"/>
                <w:color w:val="auto"/>
              </w:rPr>
            </w:pPr>
          </w:p>
        </w:tc>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 Number:</w:t>
            </w: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 Physical Delivery</w:t>
            </w:r>
          </w:p>
        </w:tc>
        <w:tc>
          <w:tcPr>
            <w:tcW w:w="772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09"/>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Date:____________ ____, ______</w:t>
            </w: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5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3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[TRANSFER AGENT] to issue the above indicated number of shares of Common Stock in accordance with the Transfer Agent Instructions dated_________________ from the Company and acknowledged and agreed to by [TRANSFER AGENT].</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35" w:name="page236"/>
    <w:bookmarkEnd w:id="2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974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49974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49974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Dated: ____________ ____, ______</w:t>
      </w:r>
    </w:p>
    <w:p>
      <w:pPr>
        <w:spacing w:after="0" w:line="2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19030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14605</wp:posOffset>
            </wp:positionV>
            <wp:extent cx="19030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160020</wp:posOffset>
            </wp:positionV>
            <wp:extent cx="19030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1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2024-1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6,694,500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October 16, 2023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Amendment and Restatement: January 30, 2024</w:t>
      </w:r>
    </w:p>
    <w:p>
      <w:pPr>
        <w:spacing w:after="0" w:line="20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Metropolitan Partners Fund VII, LP,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6,694,500 duly authorized, validly issued, fully paid, nonassessable shares of Common Stock,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Amended and Restated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and to Section 7 of that certain Third Amended and Restated Fee Letter, dated October 10, 2023, among E La Carte, LLC, the Company and Metropolitan Partners Group Administration (the “</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Capitalized terms used herein and not otherwise defined shall have the definitions ascribed to such terms in the Credit Agreement (as defined in the Fee Letter). This Warrant amends, restates and supersedes in its entirety that certain Warrant for 1,338,900 shares of Common Stock issued by the Company to the Holder on October 16, 2023 (the “</w:t>
      </w:r>
      <w:r>
        <w:rPr>
          <w:rFonts w:ascii="Times New Roman" w:cs="Times New Roman" w:eastAsia="Times New Roman" w:hAnsi="Times New Roman"/>
          <w:sz w:val="18"/>
          <w:szCs w:val="18"/>
          <w:b w:val="1"/>
          <w:bCs w:val="1"/>
          <w:color w:val="auto"/>
        </w:rPr>
        <w:t>Original Warrant</w:t>
      </w:r>
      <w:r>
        <w:rPr>
          <w:rFonts w:ascii="Times New Roman" w:cs="Times New Roman" w:eastAsia="Times New Roman" w:hAnsi="Times New Roman"/>
          <w:sz w:val="18"/>
          <w:szCs w:val="18"/>
          <w:color w:val="auto"/>
        </w:rPr>
        <w:t>”) and that certain Warrant for 2,677,800 shares of Common Stock issued by the Company to the Holder on November 21, 2023 (the “November 2023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37" w:name="page238"/>
    <w:bookmarkEnd w:id="237"/>
    <w:p>
      <w:pPr>
        <w:ind w:left="1300"/>
        <w:spacing w:after="0"/>
        <w:rPr>
          <w:sz w:val="20"/>
          <w:szCs w:val="20"/>
          <w:color w:val="auto"/>
        </w:rPr>
      </w:pPr>
      <w:r>
        <w:rPr>
          <w:rFonts w:ascii="Times New Roman" w:cs="Times New Roman" w:eastAsia="Times New Roman" w:hAnsi="Times New Roman"/>
          <w:sz w:val="18"/>
          <w:szCs w:val="18"/>
          <w:color w:val="auto"/>
        </w:rPr>
        <w:t>1.       EXERCISE OF WARRANT.</w:t>
      </w:r>
    </w:p>
    <w:p>
      <w:pPr>
        <w:spacing w:after="0" w:line="225" w:lineRule="exact"/>
        <w:rPr>
          <w:sz w:val="20"/>
          <w:szCs w:val="20"/>
          <w:color w:val="auto"/>
        </w:rPr>
      </w:pPr>
    </w:p>
    <w:p>
      <w:pPr>
        <w:jc w:val="both"/>
        <w:ind w:firstLine="1672"/>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On or before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Trading Day following the date on which the Company has received the Exercise Notice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ind w:left="1620"/>
        <w:spacing w:after="0"/>
        <w:rPr>
          <w:sz w:val="20"/>
          <w:szCs w:val="20"/>
          <w:color w:val="auto"/>
        </w:rPr>
      </w:pP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$0.01, subject to adjustment as provided herein.</w:t>
      </w:r>
    </w:p>
    <w:p>
      <w:pPr>
        <w:spacing w:after="0" w:line="229" w:lineRule="exact"/>
        <w:rPr>
          <w:sz w:val="20"/>
          <w:szCs w:val="20"/>
          <w:color w:val="auto"/>
        </w:rPr>
      </w:pPr>
    </w:p>
    <w:p>
      <w:pPr>
        <w:jc w:val="both"/>
        <w:ind w:firstLine="1672"/>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9" w:name="page240"/>
    <w:bookmarkEnd w:id="239"/>
    <w:p>
      <w:pPr>
        <w:jc w:val="both"/>
        <w:ind w:firstLine="1672"/>
        <w:spacing w:after="0" w:line="281"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Cashless Exercise</w:t>
      </w:r>
      <w:r>
        <w:rPr>
          <w:rFonts w:ascii="Times New Roman" w:cs="Times New Roman" w:eastAsia="Times New Roman" w:hAnsi="Times New Roman"/>
          <w:sz w:val="17"/>
          <w:szCs w:val="17"/>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76" w:lineRule="exact"/>
        <w:rPr>
          <w:sz w:val="20"/>
          <w:szCs w:val="20"/>
          <w:color w:val="auto"/>
        </w:rPr>
      </w:pPr>
    </w:p>
    <w:p>
      <w:pPr>
        <w:jc w:val="both"/>
        <w:ind w:firstLine="1672"/>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jc w:val="both"/>
        <w:ind w:firstLine="1672"/>
        <w:spacing w:after="0" w:line="267"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Limitations on Exercises</w:t>
      </w:r>
      <w:r>
        <w:rPr>
          <w:rFonts w:ascii="Times New Roman" w:cs="Times New Roman" w:eastAsia="Times New Roman" w:hAnsi="Times New Roman"/>
          <w:sz w:val="17"/>
          <w:szCs w:val="17"/>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7"/>
          <w:szCs w:val="17"/>
          <w:b w:val="1"/>
          <w:bCs w:val="1"/>
          <w:color w:val="auto"/>
        </w:rPr>
        <w:t>Reduction Shares</w:t>
      </w:r>
      <w:r>
        <w:rPr>
          <w:rFonts w:ascii="Times New Roman" w:cs="Times New Roman" w:eastAsia="Times New Roman" w:hAnsi="Times New Roman"/>
          <w:sz w:val="17"/>
          <w:szCs w:val="17"/>
          <w:color w:val="auto"/>
        </w:rPr>
        <w:t>”) and</w:t>
      </w:r>
    </w:p>
    <w:p>
      <w:pPr>
        <w:spacing w:after="0" w:line="203" w:lineRule="exact"/>
        <w:rPr>
          <w:sz w:val="20"/>
          <w:szCs w:val="20"/>
          <w:color w:val="auto"/>
        </w:rPr>
      </w:pPr>
    </w:p>
    <w:p>
      <w:pPr>
        <w:jc w:val="both"/>
        <w:ind w:firstLine="8"/>
        <w:spacing w:after="0" w:line="250" w:lineRule="auto"/>
        <w:tabs>
          <w:tab w:leader="none" w:pos="28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 w:cs="Times New Roman" w:eastAsia="Times New Roman" w:hAnsi="Times New Roman"/>
          <w:sz w:val="18"/>
          <w:szCs w:val="18"/>
          <w:b w:val="1"/>
          <w:bCs w:val="1"/>
          <w:color w:val="auto"/>
        </w:rPr>
        <w:t>Third Amendment Warrants</w:t>
      </w:r>
      <w:r>
        <w:rPr>
          <w:rFonts w:ascii="Times New Roman" w:cs="Times New Roman" w:eastAsia="Times New Roman" w:hAnsi="Times New Roman"/>
          <w:sz w:val="18"/>
          <w:szCs w:val="18"/>
          <w:color w:val="auto"/>
        </w:rPr>
        <w:t>”), together with the total number of shares of Common Stock issued pursuant to Section 4.11 of the stock purchase agreement, dated October 10, 2023 (the “</w:t>
      </w:r>
      <w:r>
        <w:rPr>
          <w:rFonts w:ascii="Times New Roman" w:cs="Times New Roman" w:eastAsia="Times New Roman" w:hAnsi="Times New Roman"/>
          <w:sz w:val="18"/>
          <w:szCs w:val="18"/>
          <w:b w:val="1"/>
          <w:bCs w:val="1"/>
          <w:color w:val="auto"/>
        </w:rPr>
        <w:t>Cleveland Avenue Purchase Agreement</w:t>
      </w:r>
      <w:r>
        <w:rPr>
          <w:rFonts w:ascii="Times New Roman" w:cs="Times New Roman" w:eastAsia="Times New Roman" w:hAnsi="Times New Roman"/>
          <w:sz w:val="18"/>
          <w:szCs w:val="18"/>
          <w:color w:val="auto"/>
        </w:rPr>
        <w:t>”), by and between the Company and Presto CA LLC (“</w:t>
      </w:r>
      <w:r>
        <w:rPr>
          <w:rFonts w:ascii="Times New Roman" w:cs="Times New Roman" w:eastAsia="Times New Roman" w:hAnsi="Times New Roman"/>
          <w:sz w:val="18"/>
          <w:szCs w:val="18"/>
          <w:b w:val="1"/>
          <w:bCs w:val="1"/>
          <w:color w:val="auto"/>
        </w:rPr>
        <w:t>Cleveland Avenue</w:t>
      </w:r>
      <w:r>
        <w:rPr>
          <w:rFonts w:ascii="Times New Roman" w:cs="Times New Roman" w:eastAsia="Times New Roman" w:hAnsi="Times New Roman"/>
          <w:sz w:val="18"/>
          <w:szCs w:val="18"/>
          <w:color w:val="auto"/>
        </w:rPr>
        <w:t>”), may not exceed the requirements of Nasdaq Listing Rule 5635(d)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19.99%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both"/>
        <w:ind w:firstLine="1672"/>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and the failure to have such sufficient number of authorized and unreserved shares of Common Stock,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ADJUSTMENT OF EXERCISE PRICE AND NUMBER OF WARRANT SHARES.</w:t>
      </w:r>
      <w:r>
        <w:rPr>
          <w:rFonts w:ascii="Times New Roman" w:cs="Times New Roman" w:eastAsia="Times New Roman" w:hAnsi="Times New Roman"/>
          <w:sz w:val="18"/>
          <w:szCs w:val="18"/>
          <w:color w:val="auto"/>
        </w:rPr>
        <w:t xml:space="preserve"> The Exercise Price and the number of Warrant Shares issuable upon exercise of this Warrant are subject to adjustments from time to time as set forth in this Section 2.</w:t>
      </w:r>
    </w:p>
    <w:p>
      <w:pPr>
        <w:spacing w:after="0" w:line="162" w:lineRule="exact"/>
        <w:rPr>
          <w:sz w:val="20"/>
          <w:szCs w:val="20"/>
          <w:color w:val="auto"/>
        </w:rPr>
      </w:pPr>
    </w:p>
    <w:p>
      <w:pPr>
        <w:jc w:val="both"/>
        <w:ind w:firstLine="1672"/>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 Upon Subdivision or Combination of Shares of Common Stock</w:t>
      </w:r>
      <w:r>
        <w:rPr>
          <w:rFonts w:ascii="Times New Roman" w:cs="Times New Roman" w:eastAsia="Times New Roman" w:hAnsi="Times New Roman"/>
          <w:sz w:val="18"/>
          <w:szCs w:val="18"/>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190" w:lineRule="exact"/>
        <w:rPr>
          <w:sz w:val="20"/>
          <w:szCs w:val="20"/>
          <w:color w:val="auto"/>
        </w:rPr>
      </w:pPr>
    </w:p>
    <w:p>
      <w:pPr>
        <w:jc w:val="both"/>
        <w:ind w:firstLine="1672"/>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Adjustment Upon Issuance of Shares of Common Stock</w:t>
      </w:r>
      <w:r>
        <w:rPr>
          <w:rFonts w:ascii="Times New Roman" w:cs="Times New Roman" w:eastAsia="Times New Roman" w:hAnsi="Times New Roman"/>
          <w:sz w:val="18"/>
          <w:szCs w:val="18"/>
          <w:color w:val="auto"/>
        </w:rPr>
        <w:t>. If and whenever on or after the Issuance Date but prior to April 1, 2024 (the “</w:t>
      </w:r>
      <w:r>
        <w:rPr>
          <w:rFonts w:ascii="Times New Roman" w:cs="Times New Roman" w:eastAsia="Times New Roman" w:hAnsi="Times New Roman"/>
          <w:sz w:val="18"/>
          <w:szCs w:val="18"/>
          <w:b w:val="1"/>
          <w:bCs w:val="1"/>
          <w:color w:val="auto"/>
        </w:rPr>
        <w:t>Anti-Dilution Period</w:t>
      </w:r>
      <w:r>
        <w:rPr>
          <w:rFonts w:ascii="Times New Roman" w:cs="Times New Roman" w:eastAsia="Times New Roman" w:hAnsi="Times New Roman"/>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$0.40 per share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and the foregoing a “</w:t>
      </w:r>
      <w:r>
        <w:rPr>
          <w:rFonts w:ascii="Times New Roman" w:cs="Times New Roman" w:eastAsia="Times New Roman" w:hAnsi="Times New Roman"/>
          <w:sz w:val="18"/>
          <w:szCs w:val="18"/>
          <w:b w:val="1"/>
          <w:bCs w:val="1"/>
          <w:color w:val="auto"/>
        </w:rPr>
        <w:t>Dilutive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w:t>
      </w:r>
      <w:r>
        <w:rPr>
          <w:rFonts w:ascii="Times New Roman" w:cs="Times New Roman" w:eastAsia="Times New Roman" w:hAnsi="Times New Roman"/>
          <w:sz w:val="18"/>
          <w:szCs w:val="18"/>
          <w:color w:val="auto"/>
        </w:rPr>
        <w:t>”), then immediately after such Dilutive Issuance, the number of Warrant Shares shall be increased to an amount equal to (x)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prior to such Dilutive Issuance, multiplied by (y) the quotient of the Applicable Price divided by the New Issuance Price. The Company and Holder acknowledge and agree that the Original Warrant had an Applicable Price of $2.00 per share, the November 2023 Warrant had an Applicable Price of $1.00 per share, and the amendment and restatement is as of a result of a Dilutive Issuance with a $0.40 per share New Issuance Price. For all purposes of the foregoing (including, without limitation, determining the adjusted number of Warrant Shares and the New Issuance Price under this Section 2(b)), the following shall be applicable:</w:t>
      </w:r>
    </w:p>
    <w:p>
      <w:pPr>
        <w:spacing w:after="0" w:line="194" w:lineRule="exact"/>
        <w:rPr>
          <w:sz w:val="20"/>
          <w:szCs w:val="20"/>
          <w:color w:val="auto"/>
        </w:rPr>
      </w:pPr>
    </w:p>
    <w:p>
      <w:pPr>
        <w:jc w:val="both"/>
        <w:ind w:firstLine="2203"/>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Issuance of Options</w:t>
      </w:r>
      <w:r>
        <w:rPr>
          <w:rFonts w:ascii="Times New Roman" w:cs="Times New Roman" w:eastAsia="Times New Roman" w:hAnsi="Times New Roman"/>
          <w:sz w:val="18"/>
          <w:szCs w:val="18"/>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jc w:val="both"/>
        <w:ind w:firstLine="2203"/>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Issuance of Convertible Securities</w:t>
      </w:r>
      <w:r>
        <w:rPr>
          <w:rFonts w:ascii="Times New Roman" w:cs="Times New Roman" w:eastAsia="Times New Roman" w:hAnsi="Times New Roman"/>
          <w:sz w:val="18"/>
          <w:szCs w:val="18"/>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195" w:lineRule="exact"/>
        <w:rPr>
          <w:sz w:val="20"/>
          <w:szCs w:val="20"/>
          <w:color w:val="auto"/>
        </w:rPr>
      </w:pPr>
    </w:p>
    <w:p>
      <w:pPr>
        <w:jc w:val="both"/>
        <w:ind w:firstLine="2203"/>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4" w:name="page245"/>
    <w:bookmarkEnd w:id="244"/>
    <w:p>
      <w:pPr>
        <w:jc w:val="both"/>
        <w:ind w:firstLine="2203"/>
        <w:spacing w:after="0" w:line="25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and together with the Primary Security,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“Valuation Event”), the fair value of such consideration will be determined within five Trading Days after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jc w:val="both"/>
        <w:ind w:firstLine="2203"/>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5" w:name="page246"/>
    <w:bookmarkEnd w:id="245"/>
    <w:p>
      <w:pPr>
        <w:jc w:val="both"/>
        <w:ind w:firstLine="1672"/>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162" w:lineRule="exact"/>
        <w:rPr>
          <w:sz w:val="20"/>
          <w:szCs w:val="20"/>
          <w:color w:val="auto"/>
        </w:rPr>
      </w:pPr>
    </w:p>
    <w:p>
      <w:pPr>
        <w:jc w:val="both"/>
        <w:ind w:firstLine="1672"/>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Voluntary Adjustment by Company</w:t>
      </w:r>
      <w:r>
        <w:rPr>
          <w:rFonts w:ascii="Times New Roman" w:cs="Times New Roman" w:eastAsia="Times New Roman" w:hAnsi="Times New Roman"/>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3.     </w:t>
      </w:r>
      <w:r>
        <w:rPr>
          <w:rFonts w:ascii="Times New Roman" w:cs="Times New Roman" w:eastAsia="Times New Roman" w:hAnsi="Times New Roman"/>
          <w:sz w:val="18"/>
          <w:szCs w:val="18"/>
          <w:u w:val="single" w:color="auto"/>
          <w:color w:val="auto"/>
        </w:rPr>
        <w:t>  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4.     </w:t>
      </w:r>
      <w:r>
        <w:rPr>
          <w:rFonts w:ascii="Times New Roman" w:cs="Times New Roman" w:eastAsia="Times New Roman" w:hAnsi="Times New Roman"/>
          <w:sz w:val="18"/>
          <w:szCs w:val="18"/>
          <w:u w:val="single" w:color="auto"/>
          <w:color w:val="auto"/>
        </w:rPr>
        <w:t>  PURCHASE RIGHTS; FUNDAMENTAL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72"/>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Rights</w:t>
      </w:r>
      <w:r>
        <w:rPr>
          <w:rFonts w:ascii="Times New Roman" w:cs="Times New Roman" w:eastAsia="Times New Roman" w:hAnsi="Times New Roman"/>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6" w:name="page247"/>
    <w:bookmarkEnd w:id="246"/>
    <w:p>
      <w:pPr>
        <w:ind w:left="168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Fundamental Transactions</w:t>
      </w:r>
      <w:r>
        <w:rPr>
          <w:rFonts w:ascii="Times New Roman" w:cs="Times New Roman" w:eastAsia="Times New Roman" w:hAnsi="Times New Roman"/>
          <w:sz w:val="18"/>
          <w:szCs w:val="18"/>
          <w:color w:val="auto"/>
        </w:rPr>
        <w:t>. The Company shall not enter into or be party to a Fundamental Transaction unless:</w:t>
      </w:r>
    </w:p>
    <w:p>
      <w:pPr>
        <w:spacing w:after="0" w:line="225" w:lineRule="exact"/>
        <w:rPr>
          <w:sz w:val="20"/>
          <w:szCs w:val="20"/>
          <w:color w:val="auto"/>
        </w:rPr>
      </w:pPr>
    </w:p>
    <w:p>
      <w:pPr>
        <w:jc w:val="both"/>
        <w:ind w:firstLine="2203"/>
        <w:spacing w:after="0" w:line="256" w:lineRule="auto"/>
        <w:rPr>
          <w:sz w:val="20"/>
          <w:szCs w:val="20"/>
          <w:color w:val="auto"/>
        </w:rPr>
      </w:pPr>
      <w:r>
        <w:rPr>
          <w:rFonts w:ascii="Times New Roman" w:cs="Times New Roman" w:eastAsia="Times New Roman" w:hAnsi="Times New Roman"/>
          <w:sz w:val="18"/>
          <w:szCs w:val="18"/>
          <w:color w:val="auto"/>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87" w:lineRule="exact"/>
        <w:rPr>
          <w:sz w:val="20"/>
          <w:szCs w:val="20"/>
          <w:color w:val="auto"/>
        </w:rPr>
      </w:pPr>
    </w:p>
    <w:p>
      <w:pPr>
        <w:jc w:val="both"/>
        <w:ind w:firstLine="2211"/>
        <w:spacing w:after="0" w:line="251" w:lineRule="auto"/>
        <w:tabs>
          <w:tab w:leader="none" w:pos="248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 w:cs="Times New Roman" w:eastAsia="Times New Roman" w:hAnsi="Times New Roman"/>
          <w:sz w:val="18"/>
          <w:szCs w:val="18"/>
          <w:b w:val="1"/>
          <w:bCs w:val="1"/>
          <w:color w:val="auto"/>
        </w:rPr>
        <w:t>Public Fundamental Transaction</w:t>
      </w:r>
      <w:r>
        <w:rPr>
          <w:rFonts w:ascii="Times New Roman" w:cs="Times New Roman" w:eastAsia="Times New Roman" w:hAnsi="Times New Roman"/>
          <w:sz w:val="18"/>
          <w:szCs w:val="18"/>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7" w:name="page248"/>
    <w:bookmarkEnd w:id="247"/>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94" w:lineRule="exact"/>
        <w:rPr>
          <w:sz w:val="20"/>
          <w:szCs w:val="20"/>
          <w:color w:val="auto"/>
        </w:rPr>
      </w:pPr>
    </w:p>
    <w:p>
      <w:pPr>
        <w:jc w:val="both"/>
        <w:ind w:firstLine="1672"/>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Holder Optional Redemptions</w:t>
      </w:r>
      <w:r>
        <w:rPr>
          <w:rFonts w:ascii="Times New Roman" w:cs="Times New Roman" w:eastAsia="Times New Roman" w:hAnsi="Times New Roman"/>
          <w:sz w:val="18"/>
          <w:szCs w:val="18"/>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92" w:lineRule="exact"/>
        <w:rPr>
          <w:sz w:val="20"/>
          <w:szCs w:val="20"/>
          <w:color w:val="auto"/>
        </w:rPr>
      </w:pPr>
    </w:p>
    <w:p>
      <w:pPr>
        <w:jc w:val="both"/>
        <w:ind w:firstLine="1680"/>
        <w:spacing w:after="0" w:line="261" w:lineRule="auto"/>
        <w:tabs>
          <w:tab w:leader="none" w:pos="19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5.     </w:t>
      </w:r>
      <w:r>
        <w:rPr>
          <w:rFonts w:ascii="Times New Roman" w:cs="Times New Roman" w:eastAsia="Times New Roman" w:hAnsi="Times New Roman"/>
          <w:sz w:val="18"/>
          <w:szCs w:val="18"/>
          <w:u w:val="single" w:color="auto"/>
          <w:color w:val="auto"/>
        </w:rPr>
        <w:t>  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8" w:name="page249"/>
    <w:bookmarkEnd w:id="24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6.     </w:t>
      </w:r>
      <w:r>
        <w:rPr>
          <w:rFonts w:ascii="Times New Roman" w:cs="Times New Roman" w:eastAsia="Times New Roman" w:hAnsi="Times New Roman"/>
          <w:sz w:val="18"/>
          <w:szCs w:val="18"/>
          <w:u w:val="single" w:color="auto"/>
          <w:color w:val="auto"/>
        </w:rPr>
        <w:t>  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7.     </w:t>
      </w:r>
      <w:r>
        <w:rPr>
          <w:rFonts w:ascii="Times New Roman" w:cs="Times New Roman" w:eastAsia="Times New Roman" w:hAnsi="Times New Roman"/>
          <w:sz w:val="18"/>
          <w:szCs w:val="18"/>
          <w:u w:val="single" w:color="auto"/>
          <w:color w:val="auto"/>
        </w:rPr>
        <w:t>  REISSUANCE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72"/>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 of Warrant</w:t>
      </w:r>
      <w:r>
        <w:rPr>
          <w:rFonts w:ascii="Times New Roman" w:cs="Times New Roman" w:eastAsia="Times New Roman" w:hAnsi="Times New Roman"/>
          <w:sz w:val="18"/>
          <w:szCs w:val="18"/>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92" w:lineRule="exact"/>
        <w:rPr>
          <w:sz w:val="20"/>
          <w:szCs w:val="20"/>
          <w:color w:val="auto"/>
        </w:rPr>
      </w:pPr>
    </w:p>
    <w:p>
      <w:pPr>
        <w:jc w:val="both"/>
        <w:ind w:firstLine="1680"/>
        <w:spacing w:after="0" w:line="258" w:lineRule="auto"/>
        <w:tabs>
          <w:tab w:leader="none" w:pos="192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rFonts w:ascii="Times New Roman" w:cs="Times New Roman" w:eastAsia="Times New Roman" w:hAnsi="Times New Roman"/>
          <w:sz w:val="18"/>
          <w:szCs w:val="18"/>
          <w:color w:val="auto"/>
        </w:rPr>
      </w:pPr>
    </w:p>
    <w:p>
      <w:pPr>
        <w:jc w:val="both"/>
        <w:ind w:firstLine="1680"/>
        <w:spacing w:after="0" w:line="261" w:lineRule="auto"/>
        <w:tabs>
          <w:tab w:leader="none" w:pos="191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Exchangeable for Multiple Warrants</w:t>
      </w:r>
      <w:r>
        <w:rPr>
          <w:rFonts w:ascii="Times New Roman" w:cs="Times New Roman" w:eastAsia="Times New Roman" w:hAnsi="Times New Roman"/>
          <w:sz w:val="18"/>
          <w:szCs w:val="18"/>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warrants for fractional shares of Common Stock shall be given.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9" w:name="page250"/>
    <w:bookmarkEnd w:id="249"/>
    <w:p>
      <w:pPr>
        <w:jc w:val="both"/>
        <w:ind w:firstLine="1672"/>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8.    </w:t>
      </w:r>
      <w:r>
        <w:rPr>
          <w:rFonts w:ascii="Times New Roman" w:cs="Times New Roman" w:eastAsia="Times New Roman" w:hAnsi="Times New Roman"/>
          <w:sz w:val="18"/>
          <w:szCs w:val="18"/>
          <w:u w:val="single" w:color="auto"/>
          <w:color w:val="auto"/>
        </w:rPr>
        <w:t>  NOTICES OF CHANGES IN WARRANT</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9.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8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10.   </w:t>
      </w:r>
      <w:r>
        <w:rPr>
          <w:rFonts w:ascii="Times New Roman" w:cs="Times New Roman" w:eastAsia="Times New Roman" w:hAnsi="Times New Roman"/>
          <w:sz w:val="18"/>
          <w:szCs w:val="18"/>
          <w:u w:val="single" w:color="auto"/>
          <w:color w:val="auto"/>
        </w:rPr>
        <w:t>  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AND THE HOLDER EACH</w:t>
      </w:r>
    </w:p>
    <w:p>
      <w:pPr>
        <w:spacing w:after="0" w:line="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0" w:name="page251"/>
    <w:bookmarkEnd w:id="25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CONSTRUCTION; HEADINGS; BUSINESS DAYS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80" w:lineRule="exact"/>
        <w:rPr>
          <w:sz w:val="20"/>
          <w:szCs w:val="20"/>
          <w:color w:val="auto"/>
        </w:rPr>
      </w:pPr>
    </w:p>
    <w:p>
      <w:pPr>
        <w:jc w:val="both"/>
        <w:ind w:firstLine="1304"/>
        <w:spacing w:after="0" w:line="253" w:lineRule="auto"/>
        <w:tabs>
          <w:tab w:leader="none" w:pos="156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1" w:name="page252"/>
    <w:bookmarkEnd w:id="251"/>
    <w:p>
      <w:pPr>
        <w:ind w:firstLine="1304"/>
        <w:spacing w:after="0" w:line="282" w:lineRule="auto"/>
        <w:tabs>
          <w:tab w:leader="none" w:pos="15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NO DISCLOSURE</w:t>
      </w:r>
      <w:r>
        <w:rPr>
          <w:rFonts w:ascii="Times New Roman" w:cs="Times New Roman" w:eastAsia="Times New Roman" w:hAnsi="Times New Roman"/>
          <w:sz w:val="18"/>
          <w:szCs w:val="18"/>
          <w:color w:val="auto"/>
        </w:rPr>
        <w:t>. The Company shall not provide material, non-public information or confidential or proprietary information to the Holder without such Holder’s written consent.</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REPRESENTATIONS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72"/>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Investment Intent</w:t>
      </w:r>
      <w:r>
        <w:rPr>
          <w:rFonts w:ascii="Times New Roman" w:cs="Times New Roman" w:eastAsia="Times New Roman" w:hAnsi="Times New Roman"/>
          <w:sz w:val="18"/>
          <w:szCs w:val="18"/>
          <w:color w:val="auto"/>
        </w:rPr>
        <w:t>. Each Holder represents and warrants that it is acquiring this Warrant and the Warrant Shares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76" w:lineRule="exact"/>
        <w:rPr>
          <w:sz w:val="20"/>
          <w:szCs w:val="20"/>
          <w:color w:val="auto"/>
        </w:rPr>
      </w:pPr>
    </w:p>
    <w:p>
      <w:pPr>
        <w:jc w:val="both"/>
        <w:ind w:firstLine="1672"/>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Unregistered Securities</w:t>
      </w:r>
      <w:r>
        <w:rPr>
          <w:rFonts w:ascii="Times New Roman" w:cs="Times New Roman" w:eastAsia="Times New Roman" w:hAnsi="Times New Roman"/>
          <w:sz w:val="18"/>
          <w:szCs w:val="18"/>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76" w:lineRule="exact"/>
        <w:rPr>
          <w:sz w:val="20"/>
          <w:szCs w:val="20"/>
          <w:color w:val="auto"/>
        </w:rPr>
      </w:pPr>
    </w:p>
    <w:p>
      <w:pPr>
        <w:jc w:val="both"/>
        <w:ind w:firstLine="1672"/>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Reliance</w:t>
      </w:r>
      <w:r>
        <w:rPr>
          <w:rFonts w:ascii="Times New Roman" w:cs="Times New Roman" w:eastAsia="Times New Roman" w:hAnsi="Times New Roman"/>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Accredited Investor</w:t>
      </w:r>
      <w:r>
        <w:rPr>
          <w:rFonts w:ascii="Times New Roman" w:cs="Times New Roman" w:eastAsia="Times New Roman" w:hAnsi="Times New Roman"/>
          <w:sz w:val="18"/>
          <w:szCs w:val="18"/>
          <w:color w:val="auto"/>
        </w:rPr>
        <w:t>. Each Holder represents and warrants that it is an “accredited investor” as defined in Rule 501(a)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Act.</w:t>
      </w:r>
    </w:p>
    <w:p>
      <w:pPr>
        <w:spacing w:after="0" w:line="207" w:lineRule="exact"/>
        <w:rPr>
          <w:sz w:val="20"/>
          <w:szCs w:val="20"/>
          <w:color w:val="auto"/>
        </w:rPr>
      </w:pPr>
    </w:p>
    <w:p>
      <w:pPr>
        <w:jc w:val="both"/>
        <w:ind w:firstLine="1672"/>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Sophisticated Investor</w:t>
      </w:r>
      <w:r>
        <w:rPr>
          <w:rFonts w:ascii="Times New Roman" w:cs="Times New Roman" w:eastAsia="Times New Roman" w:hAnsi="Times New Roman"/>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6" w:lineRule="exact"/>
        <w:rPr>
          <w:sz w:val="20"/>
          <w:szCs w:val="20"/>
          <w:color w:val="auto"/>
        </w:rPr>
      </w:pPr>
    </w:p>
    <w:p>
      <w:pPr>
        <w:jc w:val="both"/>
        <w:ind w:firstLine="1672"/>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Restricted Securities</w:t>
      </w:r>
      <w:r>
        <w:rPr>
          <w:rFonts w:ascii="Times New Roman" w:cs="Times New Roman" w:eastAsia="Times New Roman" w:hAnsi="Times New Roman"/>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jc w:val="both"/>
        <w:ind w:firstLine="1680"/>
        <w:spacing w:after="0" w:line="254" w:lineRule="auto"/>
        <w:tabs>
          <w:tab w:leader="none" w:pos="19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Information</w:t>
      </w:r>
      <w:r>
        <w:rPr>
          <w:rFonts w:ascii="Times New Roman" w:cs="Times New Roman" w:eastAsia="Times New Roman" w:hAnsi="Times New Roman"/>
          <w:sz w:val="18"/>
          <w:szCs w:val="18"/>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8" w:lineRule="exact"/>
        <w:rPr>
          <w:sz w:val="20"/>
          <w:szCs w:val="20"/>
          <w:color w:val="auto"/>
        </w:rPr>
      </w:pPr>
    </w:p>
    <w:p>
      <w:pPr>
        <w:jc w:val="both"/>
        <w:ind w:firstLine="1672"/>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Non-Reliance</w:t>
      </w:r>
      <w:r>
        <w:rPr>
          <w:rFonts w:ascii="Times New Roman" w:cs="Times New Roman" w:eastAsia="Times New Roman" w:hAnsi="Times New Roman"/>
          <w:sz w:val="18"/>
          <w:szCs w:val="18"/>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90" w:lineRule="exact"/>
        <w:rPr>
          <w:sz w:val="20"/>
          <w:szCs w:val="20"/>
          <w:color w:val="auto"/>
        </w:rPr>
      </w:pPr>
    </w:p>
    <w:p>
      <w:pPr>
        <w:ind w:firstLine="1304"/>
        <w:spacing w:after="0" w:line="282" w:lineRule="auto"/>
        <w:tabs>
          <w:tab w:leader="none" w:pos="157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REPRESENTATIONS OF THE COMPANY</w:t>
      </w:r>
      <w:r>
        <w:rPr>
          <w:rFonts w:ascii="Times New Roman" w:cs="Times New Roman" w:eastAsia="Times New Roman" w:hAnsi="Times New Roman"/>
          <w:sz w:val="18"/>
          <w:szCs w:val="18"/>
          <w:color w:val="auto"/>
        </w:rPr>
        <w:t>. The Company represents and warrants to the Holder that, except as set forth in the SEC Reports (as defined below):</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The Company (i) is duly organized, validly existing and in good standing under the laws of its jurisdiction of incorporation;</w:t>
      </w:r>
    </w:p>
    <w:p>
      <w:pPr>
        <w:spacing w:after="0" w:line="27" w:lineRule="exact"/>
        <w:rPr>
          <w:sz w:val="20"/>
          <w:szCs w:val="20"/>
          <w:color w:val="auto"/>
        </w:rPr>
      </w:pPr>
    </w:p>
    <w:p>
      <w:pPr>
        <w:jc w:val="both"/>
        <w:ind w:firstLine="8"/>
        <w:spacing w:after="0" w:line="251" w:lineRule="auto"/>
        <w:tabs>
          <w:tab w:leader="none" w:pos="27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93" w:lineRule="exact"/>
        <w:rPr>
          <w:sz w:val="20"/>
          <w:szCs w:val="20"/>
          <w:color w:val="auto"/>
        </w:rPr>
      </w:pPr>
    </w:p>
    <w:p>
      <w:pPr>
        <w:jc w:val="both"/>
        <w:ind w:firstLine="1672"/>
        <w:spacing w:after="0" w:line="261" w:lineRule="auto"/>
        <w:rPr>
          <w:sz w:val="20"/>
          <w:szCs w:val="20"/>
          <w:color w:val="auto"/>
        </w:rPr>
      </w:pPr>
      <w:r>
        <w:rPr>
          <w:rFonts w:ascii="Times New Roman" w:cs="Times New Roman" w:eastAsia="Times New Roman" w:hAnsi="Times New Roman"/>
          <w:sz w:val="18"/>
          <w:szCs w:val="18"/>
          <w:color w:val="auto"/>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has not been issued in violation of any preemptive rights created under the Company’s organizational documents or the laws of the State of Delaware.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jc w:val="both"/>
        <w:ind w:firstLine="1672"/>
        <w:spacing w:after="0" w:line="266" w:lineRule="auto"/>
        <w:rPr>
          <w:sz w:val="20"/>
          <w:szCs w:val="20"/>
          <w:color w:val="auto"/>
        </w:rPr>
      </w:pPr>
      <w:r>
        <w:rPr>
          <w:rFonts w:ascii="Times New Roman" w:cs="Times New Roman" w:eastAsia="Times New Roman" w:hAnsi="Times New Roman"/>
          <w:sz w:val="18"/>
          <w:szCs w:val="18"/>
          <w:color w:val="auto"/>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76" w:lineRule="exact"/>
        <w:rPr>
          <w:sz w:val="20"/>
          <w:szCs w:val="20"/>
          <w:color w:val="auto"/>
        </w:rPr>
      </w:pPr>
    </w:p>
    <w:p>
      <w:pPr>
        <w:jc w:val="both"/>
        <w:ind w:firstLine="1672"/>
        <w:spacing w:after="0" w:line="254" w:lineRule="auto"/>
        <w:rPr>
          <w:sz w:val="20"/>
          <w:szCs w:val="20"/>
          <w:color w:val="auto"/>
        </w:rPr>
      </w:pPr>
      <w:r>
        <w:rPr>
          <w:rFonts w:ascii="Times New Roman" w:cs="Times New Roman" w:eastAsia="Times New Roman" w:hAnsi="Times New Roman"/>
          <w:sz w:val="18"/>
          <w:szCs w:val="18"/>
          <w:color w:val="auto"/>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8" w:lineRule="exact"/>
        <w:rPr>
          <w:sz w:val="20"/>
          <w:szCs w:val="20"/>
          <w:color w:val="auto"/>
        </w:rPr>
      </w:pPr>
    </w:p>
    <w:p>
      <w:pPr>
        <w:jc w:val="both"/>
        <w:ind w:firstLine="1672"/>
        <w:spacing w:after="0" w:line="255" w:lineRule="auto"/>
        <w:rPr>
          <w:sz w:val="20"/>
          <w:szCs w:val="20"/>
          <w:color w:val="auto"/>
        </w:rPr>
      </w:pPr>
      <w:r>
        <w:rPr>
          <w:rFonts w:ascii="Times New Roman" w:cs="Times New Roman" w:eastAsia="Times New Roman" w:hAnsi="Times New Roman"/>
          <w:sz w:val="18"/>
          <w:szCs w:val="18"/>
          <w:color w:val="auto"/>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189" w:lineRule="exact"/>
        <w:rPr>
          <w:sz w:val="20"/>
          <w:szCs w:val="20"/>
          <w:color w:val="auto"/>
        </w:rPr>
      </w:pPr>
    </w:p>
    <w:p>
      <w:pPr>
        <w:jc w:val="both"/>
        <w:ind w:firstLine="1672"/>
        <w:spacing w:after="0" w:line="252" w:lineRule="auto"/>
        <w:rPr>
          <w:sz w:val="20"/>
          <w:szCs w:val="20"/>
          <w:color w:val="auto"/>
        </w:rPr>
      </w:pPr>
      <w:r>
        <w:rPr>
          <w:rFonts w:ascii="Times New Roman" w:cs="Times New Roman" w:eastAsia="Times New Roman" w:hAnsi="Times New Roman"/>
          <w:sz w:val="18"/>
          <w:szCs w:val="18"/>
          <w:color w:val="auto"/>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i w:val="1"/>
          <w:iCs w:val="1"/>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 w:cs="Times New Roman" w:eastAsia="Times New Roman" w:hAnsi="Times New Roman"/>
          <w:sz w:val="18"/>
          <w:szCs w:val="18"/>
          <w:b w:val="1"/>
          <w:bCs w:val="1"/>
          <w:color w:val="auto"/>
        </w:rPr>
        <w:t>2023 Form 10-K</w:t>
      </w:r>
      <w:r>
        <w:rPr>
          <w:rFonts w:ascii="Times New Roman" w:cs="Times New Roman" w:eastAsia="Times New Roman" w:hAnsi="Times New Roman"/>
          <w:sz w:val="18"/>
          <w:szCs w:val="18"/>
          <w:color w:val="auto"/>
        </w:rPr>
        <w:t>”)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i w:val="1"/>
          <w:iCs w:val="1"/>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jc w:val="both"/>
        <w:ind w:firstLine="1672"/>
        <w:spacing w:after="0" w:line="258" w:lineRule="auto"/>
        <w:rPr>
          <w:sz w:val="20"/>
          <w:szCs w:val="20"/>
          <w:color w:val="auto"/>
        </w:rPr>
      </w:pPr>
      <w:r>
        <w:rPr>
          <w:rFonts w:ascii="Times New Roman" w:cs="Times New Roman" w:eastAsia="Times New Roman" w:hAnsi="Times New Roman"/>
          <w:sz w:val="18"/>
          <w:szCs w:val="18"/>
          <w:color w:val="auto"/>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83" w:lineRule="exact"/>
        <w:rPr>
          <w:sz w:val="20"/>
          <w:szCs w:val="20"/>
          <w:color w:val="auto"/>
        </w:rPr>
      </w:pPr>
    </w:p>
    <w:p>
      <w:pPr>
        <w:jc w:val="both"/>
        <w:ind w:firstLine="1680"/>
        <w:spacing w:after="0" w:line="256" w:lineRule="auto"/>
        <w:tabs>
          <w:tab w:leader="none" w:pos="19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7" w:lineRule="exact"/>
        <w:rPr>
          <w:rFonts w:ascii="Times New Roman" w:cs="Times New Roman" w:eastAsia="Times New Roman" w:hAnsi="Times New Roman"/>
          <w:sz w:val="18"/>
          <w:szCs w:val="18"/>
          <w:color w:val="auto"/>
        </w:rPr>
      </w:pPr>
    </w:p>
    <w:p>
      <w:pPr>
        <w:jc w:val="both"/>
        <w:ind w:firstLine="1680"/>
        <w:spacing w:after="0" w:line="266" w:lineRule="auto"/>
        <w:tabs>
          <w:tab w:leader="none" w:pos="188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76" w:lineRule="exact"/>
        <w:rPr>
          <w:sz w:val="20"/>
          <w:szCs w:val="20"/>
          <w:color w:val="auto"/>
        </w:rPr>
      </w:pPr>
    </w:p>
    <w:p>
      <w:pPr>
        <w:jc w:val="both"/>
        <w:ind w:firstLine="1672"/>
        <w:spacing w:after="0" w:line="261" w:lineRule="auto"/>
        <w:rPr>
          <w:sz w:val="20"/>
          <w:szCs w:val="20"/>
          <w:color w:val="auto"/>
        </w:rPr>
      </w:pPr>
      <w:r>
        <w:rPr>
          <w:rFonts w:ascii="Times New Roman" w:cs="Times New Roman" w:eastAsia="Times New Roman" w:hAnsi="Times New Roman"/>
          <w:sz w:val="18"/>
          <w:szCs w:val="18"/>
          <w:color w:val="auto"/>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0" w:lineRule="exact"/>
        <w:rPr>
          <w:sz w:val="20"/>
          <w:szCs w:val="20"/>
          <w:color w:val="auto"/>
        </w:rPr>
      </w:pPr>
    </w:p>
    <w:p>
      <w:pPr>
        <w:jc w:val="both"/>
        <w:ind w:firstLine="1680"/>
        <w:spacing w:after="0" w:line="255" w:lineRule="auto"/>
        <w:tabs>
          <w:tab w:leader="none" w:pos="19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sz w:val="20"/>
          <w:szCs w:val="20"/>
          <w:color w:val="auto"/>
        </w:rPr>
      </w:pPr>
    </w:p>
    <w:p>
      <w:pPr>
        <w:jc w:val="both"/>
        <w:ind w:firstLine="1672"/>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ind w:firstLine="1672"/>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5" w:lineRule="exact"/>
        <w:rPr>
          <w:sz w:val="20"/>
          <w:szCs w:val="20"/>
          <w:color w:val="auto"/>
        </w:rPr>
      </w:pPr>
    </w:p>
    <w:p>
      <w:pPr>
        <w:jc w:val="both"/>
        <w:ind w:firstLine="1680"/>
        <w:spacing w:after="0" w:line="268" w:lineRule="auto"/>
        <w:tabs>
          <w:tab w:leader="none" w:pos="19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71" w:lineRule="exact"/>
        <w:rPr>
          <w:sz w:val="20"/>
          <w:szCs w:val="20"/>
          <w:color w:val="auto"/>
        </w:rPr>
      </w:pPr>
    </w:p>
    <w:p>
      <w:pPr>
        <w:jc w:val="both"/>
        <w:ind w:firstLine="1672"/>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82" w:lineRule="exact"/>
        <w:rPr>
          <w:sz w:val="20"/>
          <w:szCs w:val="20"/>
          <w:color w:val="auto"/>
        </w:rPr>
      </w:pPr>
    </w:p>
    <w:p>
      <w:pPr>
        <w:jc w:val="both"/>
        <w:ind w:firstLine="1680"/>
        <w:spacing w:after="0" w:line="253" w:lineRule="auto"/>
        <w:tabs>
          <w:tab w:leader="none" w:pos="19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Black Scholes Going Private Value</w:t>
      </w:r>
      <w:r>
        <w:rPr>
          <w:rFonts w:ascii="Times New Roman" w:cs="Times New Roman" w:eastAsia="Times New Roman" w:hAnsi="Times New Roman"/>
          <w:sz w:val="18"/>
          <w:szCs w:val="18"/>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7" w:lineRule="exact"/>
        <w:rPr>
          <w:sz w:val="20"/>
          <w:szCs w:val="20"/>
          <w:color w:val="auto"/>
        </w:rPr>
      </w:pPr>
    </w:p>
    <w:p>
      <w:pPr>
        <w:jc w:val="both"/>
        <w:ind w:firstLine="1672"/>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6" w:name="page257"/>
    <w:bookmarkEnd w:id="256"/>
    <w:p>
      <w:pPr>
        <w:ind w:left="168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sz w:val="20"/>
          <w:szCs w:val="20"/>
          <w:color w:val="auto"/>
        </w:rPr>
      </w:pPr>
    </w:p>
    <w:p>
      <w:pPr>
        <w:jc w:val="both"/>
        <w:ind w:firstLine="1672"/>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jc w:val="both"/>
        <w:ind w:firstLine="1672"/>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both"/>
        <w:ind w:firstLine="1672"/>
        <w:spacing w:after="0" w:line="28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55" w:lineRule="exact"/>
        <w:rPr>
          <w:sz w:val="20"/>
          <w:szCs w:val="20"/>
          <w:color w:val="auto"/>
        </w:rPr>
      </w:pPr>
    </w:p>
    <w:p>
      <w:pPr>
        <w:jc w:val="both"/>
        <w:ind w:firstLine="1672"/>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5" w:lineRule="exact"/>
        <w:rPr>
          <w:sz w:val="20"/>
          <w:szCs w:val="20"/>
          <w:color w:val="auto"/>
        </w:rPr>
      </w:pPr>
    </w:p>
    <w:p>
      <w:pPr>
        <w:jc w:val="both"/>
        <w:ind w:firstLine="1672"/>
        <w:spacing w:after="0" w:line="28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Nasdaq Capital Market, The Nasdaq Global Select Market, The Nasdaq Global Market, the NYSE American, or The New York Stock Exchange.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7" w:name="page258"/>
    <w:bookmarkEnd w:id="257"/>
    <w:p>
      <w:pPr>
        <w:jc w:val="both"/>
        <w:ind w:firstLine="1672"/>
        <w:spacing w:after="0" w:line="25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 w:cs="Times New Roman" w:eastAsia="Times New Roman" w:hAnsi="Times New Roman"/>
          <w:sz w:val="18"/>
          <w:szCs w:val="18"/>
          <w:b w:val="1"/>
          <w:bCs w:val="1"/>
          <w:color w:val="auto"/>
        </w:rPr>
        <w:t>Metropolitan Entities</w:t>
      </w:r>
      <w:r>
        <w:rPr>
          <w:rFonts w:ascii="Times New Roman" w:cs="Times New Roman" w:eastAsia="Times New Roman" w:hAnsi="Times New Roman"/>
          <w:sz w:val="18"/>
          <w:szCs w:val="18"/>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this Warrant and any other warrant issued to the Metropolitan Entities in connection with the Third Amendment and (F) any warrant issued to the Metropolitan Entities in connection with the Forbearance and Fourth Amendment to Credit Agreement, dated as of January 22, 2024, by and among the Company, Metropolitan Partners Group Administration, LLC, a Delaware limited liability corporation, in its capacity as administrative agent and collateral agent under the Credit Agreement, and the Metropolitan Entities.</w:t>
      </w:r>
    </w:p>
    <w:p>
      <w:pPr>
        <w:spacing w:after="0" w:line="188" w:lineRule="exact"/>
        <w:rPr>
          <w:sz w:val="20"/>
          <w:szCs w:val="20"/>
          <w:color w:val="auto"/>
        </w:rPr>
      </w:pPr>
    </w:p>
    <w:p>
      <w:pPr>
        <w:jc w:val="both"/>
        <w:ind w:right="20" w:firstLine="1672"/>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8" w:name="page259"/>
    <w:bookmarkEnd w:id="258"/>
    <w:p>
      <w:pPr>
        <w:jc w:val="both"/>
        <w:ind w:firstLine="1672"/>
        <w:spacing w:after="0" w:line="251"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 means a “group” as that term is used in Section 13(d) of the Exchange Act and as defined in Rule 13d-5 thereunder.</w:t>
      </w:r>
    </w:p>
    <w:p>
      <w:pPr>
        <w:spacing w:after="0" w:line="23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3" w:lineRule="exact"/>
        <w:rPr>
          <w:sz w:val="20"/>
          <w:szCs w:val="20"/>
          <w:color w:val="auto"/>
        </w:rPr>
      </w:pPr>
    </w:p>
    <w:p>
      <w:pPr>
        <w:jc w:val="both"/>
        <w:ind w:firstLine="1672"/>
        <w:spacing w:after="0" w:line="259"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9" w:lineRule="exact"/>
        <w:rPr>
          <w:sz w:val="20"/>
          <w:szCs w:val="20"/>
          <w:color w:val="auto"/>
        </w:rPr>
      </w:pPr>
    </w:p>
    <w:p>
      <w:pPr>
        <w:jc w:val="both"/>
        <w:ind w:firstLine="1672"/>
        <w:spacing w:after="0" w:line="28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right="20" w:firstLine="1672"/>
        <w:spacing w:after="0" w:line="28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OTC Bulletin Board or any other Eligible Market, or any national securities exchange, market or trading or quotation facility on which the Common Stock is then listed or quoted.</w:t>
      </w:r>
    </w:p>
    <w:p>
      <w:pPr>
        <w:spacing w:after="0" w:line="15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9" w:name="page260"/>
    <w:bookmarkEnd w:id="259"/>
    <w:p>
      <w:pPr>
        <w:ind w:left="168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sz w:val="20"/>
          <w:szCs w:val="20"/>
          <w:color w:val="auto"/>
        </w:rPr>
      </w:pPr>
    </w:p>
    <w:p>
      <w:pPr>
        <w:jc w:val="both"/>
        <w:ind w:firstLine="1672"/>
        <w:spacing w:after="0" w:line="26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1" w:lineRule="exact"/>
        <w:rPr>
          <w:sz w:val="20"/>
          <w:szCs w:val="20"/>
          <w:color w:val="auto"/>
        </w:rPr>
      </w:pPr>
    </w:p>
    <w:p>
      <w:pPr>
        <w:jc w:val="both"/>
        <w:ind w:firstLine="1672"/>
        <w:spacing w:after="0" w:line="278" w:lineRule="auto"/>
        <w:rPr>
          <w:sz w:val="20"/>
          <w:szCs w:val="20"/>
          <w:color w:val="auto"/>
        </w:rPr>
      </w:pPr>
      <w:r>
        <w:rPr>
          <w:rFonts w:ascii="Times New Roman" w:cs="Times New Roman" w:eastAsia="Times New Roman" w:hAnsi="Times New Roman"/>
          <w:sz w:val="17"/>
          <w:szCs w:val="17"/>
          <w:color w:val="auto"/>
        </w:rPr>
        <w:t>(x)         “</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64" w:lineRule="exact"/>
        <w:rPr>
          <w:sz w:val="20"/>
          <w:szCs w:val="20"/>
          <w:color w:val="auto"/>
        </w:rPr>
      </w:pPr>
    </w:p>
    <w:p>
      <w:pPr>
        <w:jc w:val="both"/>
        <w:ind w:firstLine="1672"/>
        <w:spacing w:after="0" w:line="253"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0" w:name="page261"/>
    <w:bookmarkEnd w:id="26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Amended and Restated Warrant to Purchase Common Stock to be duly executed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Date set out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1" w:name="page262"/>
    <w:bookmarkEnd w:id="261"/>
    <w:p>
      <w:pPr>
        <w:ind w:left="10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 of the shares 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Presto</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Amended and Restated Warrant to Purchase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Form of Exercise Price. The Holder intends that payment of the Exercise Price shall be made as: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_________________ 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_________________ Warrant Shares; and/or</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_________________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_________________ Warrant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62" w:lineRule="exact"/>
        <w:rPr>
          <w:sz w:val="20"/>
          <w:szCs w:val="20"/>
          <w:color w:val="auto"/>
        </w:rPr>
      </w:pPr>
    </w:p>
    <w:p>
      <w:pPr>
        <w:jc w:val="both"/>
        <w:ind w:firstLine="656"/>
        <w:spacing w:after="0" w:line="266" w:lineRule="auto"/>
        <w:tabs>
          <w:tab w:leader="none" w:pos="8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Payment of Exercise Price. In the event that the holder has elected a Cash Exercise with respect to some or all of the Warrant Shares to be issued pursuant hereto, the holder shall pay the Aggregate Exercise Price in the sum of $__________________ to the Company in accordance with the terms of the Warrant.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Delivery of Warrant Shares. The Company shall deliver to the holder ____________________________ Warrant Shares in accordance with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terms of the Warrant.</w:t>
            </w:r>
          </w:p>
        </w:tc>
        <w:tc>
          <w:tcPr>
            <w:tcW w:w="1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20" w:type="dxa"/>
            <w:vAlign w:val="bottom"/>
            <w:tcBorders>
              <w:bottom w:val="single" w:sz="8" w:color="auto"/>
            </w:tcBorders>
          </w:tcPr>
          <w:p>
            <w:pPr>
              <w:spacing w:after="0"/>
              <w:rPr>
                <w:sz w:val="24"/>
                <w:szCs w:val="2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Electronic Delivery</w:t>
            </w:r>
          </w:p>
        </w:tc>
        <w:tc>
          <w:tcPr>
            <w:tcW w:w="76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DTC Participant: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DTC Number:</w:t>
            </w: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40" w:type="dxa"/>
            <w:vAlign w:val="bottom"/>
            <w:gridSpan w:val="2"/>
            <w:vMerge w:val="continue"/>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Account Name:</w:t>
            </w:r>
          </w:p>
        </w:tc>
        <w:tc>
          <w:tcPr>
            <w:tcW w:w="5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Account Number:</w:t>
            </w:r>
          </w:p>
        </w:tc>
        <w:tc>
          <w:tcPr>
            <w:tcW w:w="5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20" w:type="dxa"/>
            <w:vAlign w:val="bottom"/>
            <w:tcBorders>
              <w:bottom w:val="single" w:sz="8" w:color="auto"/>
            </w:tcBorders>
          </w:tcPr>
          <w:p>
            <w:pPr>
              <w:spacing w:after="0"/>
              <w:rPr>
                <w:sz w:val="24"/>
                <w:szCs w:val="2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Physical Delivery</w:t>
            </w:r>
          </w:p>
        </w:tc>
        <w:tc>
          <w:tcPr>
            <w:tcW w:w="76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1"/>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Date:________________ ___, ______</w:t>
            </w: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64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64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1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63" w:name="page264"/>
    <w:bookmarkEnd w:id="26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0" w:right="319" w:bottom="1440" w:gutter="0" w:footer="0" w:header="0"/>
        </w:sectPr>
      </w:pPr>
    </w:p>
    <w:bookmarkStart w:id="264" w:name="page265"/>
    <w:bookmarkEnd w:id="26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606933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60693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60693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8400"/>
        <w:spacing w:after="0"/>
        <w:tabs>
          <w:tab w:leader="none" w:pos="10500" w:val="left"/>
          <w:tab w:leader="none" w:pos="10980" w:val="left"/>
        </w:tabs>
        <w:rPr>
          <w:sz w:val="20"/>
          <w:szCs w:val="20"/>
          <w:color w:val="auto"/>
        </w:rPr>
      </w:pPr>
      <w:r>
        <w:rPr>
          <w:rFonts w:ascii="Times New Roman" w:cs="Times New Roman" w:eastAsia="Times New Roman" w:hAnsi="Times New Roman"/>
          <w:sz w:val="18"/>
          <w:szCs w:val="18"/>
          <w:color w:val="auto"/>
        </w:rPr>
        <w:t>Dated: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1"/>
          <w:szCs w:val="1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5652135</wp:posOffset>
            </wp:positionH>
            <wp:positionV relativeFrom="paragraph">
              <wp:posOffset>-7620</wp:posOffset>
            </wp:positionV>
            <wp:extent cx="13277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spacing w:after="0" w:line="2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17145</wp:posOffset>
            </wp:positionV>
            <wp:extent cx="186055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160020</wp:posOffset>
            </wp:positionV>
            <wp:extent cx="186055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86055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14605</wp:posOffset>
            </wp:positionV>
            <wp:extent cx="186055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00" w:right="31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4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2024-1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1,585,500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October 16, 2023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Amendment and Restatement: January 30, 2024</w:t>
      </w:r>
    </w:p>
    <w:p>
      <w:pPr>
        <w:spacing w:after="0" w:line="20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Metropolitan Offshore Partners Fund VII, LP,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1,585,500 duly authorized, validly issued, fully paid, nonassessable shares of Common Stock,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Amended and Restated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and to Section 7 of that certain Third Amended and Restated Fee Letter, dated October 10, 2023, among E La Carte, LLC, the Company and Metropolitan Partners Group Administration (the “</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Capitalized terms used herein and not otherwise defined shall have the definitions ascribed to such terms in the Credit Agreement (as defined in the Fee Letter). This Warrant amends, restates and supersedes in its entirety that certain Warrant for 317,100 shares of Common Stock issued by the Company to the Holder on October 16, 2023 (the “</w:t>
      </w:r>
      <w:r>
        <w:rPr>
          <w:rFonts w:ascii="Times New Roman" w:cs="Times New Roman" w:eastAsia="Times New Roman" w:hAnsi="Times New Roman"/>
          <w:sz w:val="18"/>
          <w:szCs w:val="18"/>
          <w:b w:val="1"/>
          <w:bCs w:val="1"/>
          <w:color w:val="auto"/>
        </w:rPr>
        <w:t>Original Warrant</w:t>
      </w:r>
      <w:r>
        <w:rPr>
          <w:rFonts w:ascii="Times New Roman" w:cs="Times New Roman" w:eastAsia="Times New Roman" w:hAnsi="Times New Roman"/>
          <w:sz w:val="18"/>
          <w:szCs w:val="18"/>
          <w:color w:val="auto"/>
        </w:rPr>
        <w:t>”) and that certain Warrant for 634,200 shares of Common Stock issued by the Company to the Holder on November 21, 2023 (the “November 2023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66" w:name="page267"/>
    <w:bookmarkEnd w:id="266"/>
    <w:p>
      <w:pPr>
        <w:ind w:left="1300"/>
        <w:spacing w:after="0"/>
        <w:rPr>
          <w:sz w:val="20"/>
          <w:szCs w:val="20"/>
          <w:color w:val="auto"/>
        </w:rPr>
      </w:pPr>
      <w:r>
        <w:rPr>
          <w:rFonts w:ascii="Times New Roman" w:cs="Times New Roman" w:eastAsia="Times New Roman" w:hAnsi="Times New Roman"/>
          <w:sz w:val="18"/>
          <w:szCs w:val="18"/>
          <w:color w:val="auto"/>
        </w:rPr>
        <w:t>1.       EXERCISE OF WARRANT.</w:t>
      </w:r>
    </w:p>
    <w:p>
      <w:pPr>
        <w:spacing w:after="0" w:line="225" w:lineRule="exact"/>
        <w:rPr>
          <w:sz w:val="20"/>
          <w:szCs w:val="20"/>
          <w:color w:val="auto"/>
        </w:rPr>
      </w:pPr>
    </w:p>
    <w:p>
      <w:pPr>
        <w:jc w:val="both"/>
        <w:ind w:firstLine="1620"/>
        <w:spacing w:after="0" w:line="251" w:lineRule="auto"/>
        <w:rPr>
          <w:sz w:val="20"/>
          <w:szCs w:val="20"/>
          <w:color w:val="auto"/>
        </w:rPr>
      </w:pP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  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On or before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Trading Day following the date on which the Company has received the Exercise Notice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ind w:left="1620"/>
        <w:spacing w:after="0"/>
        <w:rPr>
          <w:sz w:val="20"/>
          <w:szCs w:val="20"/>
          <w:color w:val="auto"/>
        </w:rPr>
      </w:pPr>
      <w:r>
        <w:rPr>
          <w:rFonts w:ascii="Times New Roman" w:cs="Times New Roman" w:eastAsia="Times New Roman" w:hAnsi="Times New Roman"/>
          <w:sz w:val="18"/>
          <w:szCs w:val="18"/>
          <w:color w:val="auto"/>
        </w:rPr>
        <w:t>  (b)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$0.01, subject to adjustment as provided herein.</w:t>
      </w:r>
    </w:p>
    <w:p>
      <w:pPr>
        <w:spacing w:after="0" w:line="229" w:lineRule="exact"/>
        <w:rPr>
          <w:sz w:val="20"/>
          <w:szCs w:val="20"/>
          <w:color w:val="auto"/>
        </w:rPr>
      </w:pPr>
    </w:p>
    <w:p>
      <w:pPr>
        <w:jc w:val="both"/>
        <w:ind w:firstLine="1620"/>
        <w:spacing w:after="0" w:line="251" w:lineRule="auto"/>
        <w:rPr>
          <w:sz w:val="20"/>
          <w:szCs w:val="20"/>
          <w:color w:val="auto"/>
        </w:rPr>
      </w:pPr>
      <w:r>
        <w:rPr>
          <w:rFonts w:ascii="Times New Roman" w:cs="Times New Roman" w:eastAsia="Times New Roman" w:hAnsi="Times New Roman"/>
          <w:sz w:val="18"/>
          <w:szCs w:val="18"/>
          <w:color w:val="auto"/>
        </w:rPr>
        <w:t>  (c)        </w:t>
      </w:r>
      <w:r>
        <w:rPr>
          <w:rFonts w:ascii="Times New Roman" w:cs="Times New Roman" w:eastAsia="Times New Roman" w:hAnsi="Times New Roman"/>
          <w:sz w:val="18"/>
          <w:szCs w:val="18"/>
          <w:u w:val="single" w:color="auto"/>
          <w:color w:val="auto"/>
        </w:rPr>
        <w:t>  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8" w:name="page269"/>
    <w:bookmarkEnd w:id="268"/>
    <w:p>
      <w:pPr>
        <w:jc w:val="both"/>
        <w:ind w:firstLine="1620"/>
        <w:spacing w:after="0" w:line="281" w:lineRule="auto"/>
        <w:rPr>
          <w:sz w:val="20"/>
          <w:szCs w:val="20"/>
          <w:color w:val="auto"/>
        </w:rPr>
      </w:pPr>
      <w:r>
        <w:rPr>
          <w:rFonts w:ascii="Times New Roman" w:cs="Times New Roman" w:eastAsia="Times New Roman" w:hAnsi="Times New Roman"/>
          <w:sz w:val="17"/>
          <w:szCs w:val="17"/>
          <w:color w:val="auto"/>
        </w:rPr>
        <w:t>  (d)       </w:t>
      </w:r>
      <w:r>
        <w:rPr>
          <w:rFonts w:ascii="Times New Roman" w:cs="Times New Roman" w:eastAsia="Times New Roman" w:hAnsi="Times New Roman"/>
          <w:sz w:val="17"/>
          <w:szCs w:val="17"/>
          <w:u w:val="single" w:color="auto"/>
          <w:color w:val="auto"/>
        </w:rPr>
        <w:t>  Cashless Exercise</w:t>
      </w:r>
      <w:r>
        <w:rPr>
          <w:rFonts w:ascii="Times New Roman" w:cs="Times New Roman" w:eastAsia="Times New Roman" w:hAnsi="Times New Roman"/>
          <w:sz w:val="17"/>
          <w:szCs w:val="17"/>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jc w:val="both"/>
        <w:ind w:left="1300" w:right="200"/>
        <w:spacing w:after="0" w:line="312" w:lineRule="auto"/>
        <w:rPr>
          <w:sz w:val="20"/>
          <w:szCs w:val="20"/>
          <w:color w:val="auto"/>
        </w:rPr>
      </w:pPr>
      <w:r>
        <w:rPr>
          <w:rFonts w:ascii="Times New Roman" w:cs="Times New Roman" w:eastAsia="Times New Roman" w:hAnsi="Times New Roman"/>
          <w:sz w:val="17"/>
          <w:szCs w:val="17"/>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76"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  (e)       </w:t>
      </w:r>
      <w:r>
        <w:rPr>
          <w:rFonts w:ascii="Times New Roman" w:cs="Times New Roman" w:eastAsia="Times New Roman" w:hAnsi="Times New Roman"/>
          <w:sz w:val="18"/>
          <w:szCs w:val="18"/>
          <w:u w:val="single" w:color="auto"/>
          <w:color w:val="auto"/>
        </w:rPr>
        <w:t>  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9" w:name="page270"/>
    <w:bookmarkEnd w:id="269"/>
    <w:p>
      <w:pPr>
        <w:jc w:val="both"/>
        <w:ind w:firstLine="1620"/>
        <w:spacing w:after="0" w:line="267" w:lineRule="auto"/>
        <w:rPr>
          <w:sz w:val="20"/>
          <w:szCs w:val="20"/>
          <w:color w:val="auto"/>
        </w:rPr>
      </w:pPr>
      <w:r>
        <w:rPr>
          <w:rFonts w:ascii="Times New Roman" w:cs="Times New Roman" w:eastAsia="Times New Roman" w:hAnsi="Times New Roman"/>
          <w:sz w:val="17"/>
          <w:szCs w:val="17"/>
          <w:color w:val="auto"/>
        </w:rPr>
        <w:t>  (f)        </w:t>
      </w:r>
      <w:r>
        <w:rPr>
          <w:rFonts w:ascii="Times New Roman" w:cs="Times New Roman" w:eastAsia="Times New Roman" w:hAnsi="Times New Roman"/>
          <w:sz w:val="17"/>
          <w:szCs w:val="17"/>
          <w:u w:val="single" w:color="auto"/>
          <w:color w:val="auto"/>
        </w:rPr>
        <w:t>  Limitations on Exercises</w:t>
      </w:r>
      <w:r>
        <w:rPr>
          <w:rFonts w:ascii="Times New Roman" w:cs="Times New Roman" w:eastAsia="Times New Roman" w:hAnsi="Times New Roman"/>
          <w:sz w:val="17"/>
          <w:szCs w:val="17"/>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7"/>
          <w:szCs w:val="17"/>
          <w:b w:val="1"/>
          <w:bCs w:val="1"/>
          <w:color w:val="auto"/>
        </w:rPr>
        <w:t>Reduction Shares</w:t>
      </w:r>
      <w:r>
        <w:rPr>
          <w:rFonts w:ascii="Times New Roman" w:cs="Times New Roman" w:eastAsia="Times New Roman" w:hAnsi="Times New Roman"/>
          <w:sz w:val="17"/>
          <w:szCs w:val="17"/>
          <w:color w:val="auto"/>
        </w:rPr>
        <w:t>”) and</w:t>
      </w:r>
    </w:p>
    <w:p>
      <w:pPr>
        <w:spacing w:after="0" w:line="203" w:lineRule="exact"/>
        <w:rPr>
          <w:sz w:val="20"/>
          <w:szCs w:val="20"/>
          <w:color w:val="auto"/>
        </w:rPr>
      </w:pPr>
    </w:p>
    <w:p>
      <w:pPr>
        <w:jc w:val="both"/>
        <w:ind w:firstLine="8"/>
        <w:spacing w:after="0" w:line="250" w:lineRule="auto"/>
        <w:tabs>
          <w:tab w:leader="none" w:pos="28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 w:cs="Times New Roman" w:eastAsia="Times New Roman" w:hAnsi="Times New Roman"/>
          <w:sz w:val="18"/>
          <w:szCs w:val="18"/>
          <w:b w:val="1"/>
          <w:bCs w:val="1"/>
          <w:color w:val="auto"/>
        </w:rPr>
        <w:t>Third Amendment Warrants</w:t>
      </w:r>
      <w:r>
        <w:rPr>
          <w:rFonts w:ascii="Times New Roman" w:cs="Times New Roman" w:eastAsia="Times New Roman" w:hAnsi="Times New Roman"/>
          <w:sz w:val="18"/>
          <w:szCs w:val="18"/>
          <w:color w:val="auto"/>
        </w:rPr>
        <w:t>”), together with the total number of shares of Common Stock issued pursuant to Section 4.11 of the stock purchase agreement, dated October 10, 2023 (the “</w:t>
      </w:r>
      <w:r>
        <w:rPr>
          <w:rFonts w:ascii="Times New Roman" w:cs="Times New Roman" w:eastAsia="Times New Roman" w:hAnsi="Times New Roman"/>
          <w:sz w:val="18"/>
          <w:szCs w:val="18"/>
          <w:b w:val="1"/>
          <w:bCs w:val="1"/>
          <w:color w:val="auto"/>
        </w:rPr>
        <w:t>Cleveland Avenue Purchase Agreement</w:t>
      </w:r>
      <w:r>
        <w:rPr>
          <w:rFonts w:ascii="Times New Roman" w:cs="Times New Roman" w:eastAsia="Times New Roman" w:hAnsi="Times New Roman"/>
          <w:sz w:val="18"/>
          <w:szCs w:val="18"/>
          <w:color w:val="auto"/>
        </w:rPr>
        <w:t>”), by and between the Company and Presto CA LLC (“</w:t>
      </w:r>
      <w:r>
        <w:rPr>
          <w:rFonts w:ascii="Times New Roman" w:cs="Times New Roman" w:eastAsia="Times New Roman" w:hAnsi="Times New Roman"/>
          <w:sz w:val="18"/>
          <w:szCs w:val="18"/>
          <w:b w:val="1"/>
          <w:bCs w:val="1"/>
          <w:color w:val="auto"/>
        </w:rPr>
        <w:t>Cleveland Avenue</w:t>
      </w:r>
      <w:r>
        <w:rPr>
          <w:rFonts w:ascii="Times New Roman" w:cs="Times New Roman" w:eastAsia="Times New Roman" w:hAnsi="Times New Roman"/>
          <w:sz w:val="18"/>
          <w:szCs w:val="18"/>
          <w:color w:val="auto"/>
        </w:rPr>
        <w:t>”), may not exceed the requirements of Nasdaq Listing Rule 5635(d)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19.99%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0" w:name="page271"/>
    <w:bookmarkEnd w:id="270"/>
    <w:p>
      <w:pPr>
        <w:jc w:val="both"/>
        <w:ind w:firstLine="1620"/>
        <w:spacing w:after="0" w:line="252" w:lineRule="auto"/>
        <w:rPr>
          <w:sz w:val="20"/>
          <w:szCs w:val="20"/>
          <w:color w:val="auto"/>
        </w:rPr>
      </w:pPr>
      <w:r>
        <w:rPr>
          <w:rFonts w:ascii="Times New Roman" w:cs="Times New Roman" w:eastAsia="Times New Roman" w:hAnsi="Times New Roman"/>
          <w:sz w:val="18"/>
          <w:szCs w:val="18"/>
          <w:color w:val="auto"/>
        </w:rPr>
        <w:t>  (g)       </w:t>
      </w:r>
      <w:r>
        <w:rPr>
          <w:rFonts w:ascii="Times New Roman" w:cs="Times New Roman" w:eastAsia="Times New Roman" w:hAnsi="Times New Roman"/>
          <w:sz w:val="18"/>
          <w:szCs w:val="18"/>
          <w:u w:val="single" w:color="auto"/>
          <w:color w:val="auto"/>
        </w:rPr>
        <w:t>  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and the failure to have such sufficient number of authorized and unreserved shares of Common Stock,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1" w:name="page272"/>
    <w:bookmarkEnd w:id="27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ADJUSTMENT OF EXERCISE PRICE AND NUMBER OF WARRANT SHARES</w:t>
      </w:r>
      <w:r>
        <w:rPr>
          <w:rFonts w:ascii="Times New Roman" w:cs="Times New Roman" w:eastAsia="Times New Roman" w:hAnsi="Times New Roman"/>
          <w:sz w:val="18"/>
          <w:szCs w:val="18"/>
          <w:color w:val="auto"/>
        </w:rPr>
        <w:t>. The Exercise Price and the number of Warrant Shares issuable upon exercise of this Warrant are subject to adjustments from time to time as set forth in this Section 2.</w:t>
      </w:r>
    </w:p>
    <w:p>
      <w:pPr>
        <w:spacing w:after="0" w:line="162" w:lineRule="exact"/>
        <w:rPr>
          <w:sz w:val="20"/>
          <w:szCs w:val="20"/>
          <w:color w:val="auto"/>
        </w:rPr>
      </w:pPr>
    </w:p>
    <w:p>
      <w:pPr>
        <w:jc w:val="both"/>
        <w:ind w:firstLine="1620"/>
        <w:spacing w:after="0" w:line="253" w:lineRule="auto"/>
        <w:rPr>
          <w:sz w:val="20"/>
          <w:szCs w:val="20"/>
          <w:color w:val="auto"/>
        </w:rPr>
      </w:pP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  Adjustment Upon Subdivision or Combination of Shares of Common Stock</w:t>
      </w:r>
      <w:r>
        <w:rPr>
          <w:rFonts w:ascii="Times New Roman" w:cs="Times New Roman" w:eastAsia="Times New Roman" w:hAnsi="Times New Roman"/>
          <w:sz w:val="18"/>
          <w:szCs w:val="18"/>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190" w:lineRule="exact"/>
        <w:rPr>
          <w:sz w:val="20"/>
          <w:szCs w:val="20"/>
          <w:color w:val="auto"/>
        </w:rPr>
      </w:pPr>
    </w:p>
    <w:p>
      <w:pPr>
        <w:jc w:val="both"/>
        <w:ind w:firstLine="1620"/>
        <w:spacing w:after="0" w:line="253" w:lineRule="auto"/>
        <w:rPr>
          <w:sz w:val="20"/>
          <w:szCs w:val="20"/>
          <w:color w:val="auto"/>
        </w:rPr>
      </w:pPr>
      <w:r>
        <w:rPr>
          <w:rFonts w:ascii="Times New Roman" w:cs="Times New Roman" w:eastAsia="Times New Roman" w:hAnsi="Times New Roman"/>
          <w:sz w:val="18"/>
          <w:szCs w:val="18"/>
          <w:color w:val="auto"/>
        </w:rPr>
        <w:t>  (b)       </w:t>
      </w:r>
      <w:r>
        <w:rPr>
          <w:rFonts w:ascii="Times New Roman" w:cs="Times New Roman" w:eastAsia="Times New Roman" w:hAnsi="Times New Roman"/>
          <w:sz w:val="18"/>
          <w:szCs w:val="18"/>
          <w:u w:val="single" w:color="auto"/>
          <w:color w:val="auto"/>
        </w:rPr>
        <w:t>  Adjustment Upon Issuance of Shares of Common Stock</w:t>
      </w:r>
      <w:r>
        <w:rPr>
          <w:rFonts w:ascii="Times New Roman" w:cs="Times New Roman" w:eastAsia="Times New Roman" w:hAnsi="Times New Roman"/>
          <w:sz w:val="18"/>
          <w:szCs w:val="18"/>
          <w:color w:val="auto"/>
        </w:rPr>
        <w:t>. If and whenever on or after the Issuance Date but prior to April 1, 2024 (the “</w:t>
      </w:r>
      <w:r>
        <w:rPr>
          <w:rFonts w:ascii="Times New Roman" w:cs="Times New Roman" w:eastAsia="Times New Roman" w:hAnsi="Times New Roman"/>
          <w:sz w:val="18"/>
          <w:szCs w:val="18"/>
          <w:b w:val="1"/>
          <w:bCs w:val="1"/>
          <w:color w:val="auto"/>
        </w:rPr>
        <w:t>Anti-Dilution Period</w:t>
      </w:r>
      <w:r>
        <w:rPr>
          <w:rFonts w:ascii="Times New Roman" w:cs="Times New Roman" w:eastAsia="Times New Roman" w:hAnsi="Times New Roman"/>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$0.40 per share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and the foregoing a “</w:t>
      </w:r>
      <w:r>
        <w:rPr>
          <w:rFonts w:ascii="Times New Roman" w:cs="Times New Roman" w:eastAsia="Times New Roman" w:hAnsi="Times New Roman"/>
          <w:sz w:val="18"/>
          <w:szCs w:val="18"/>
          <w:b w:val="1"/>
          <w:bCs w:val="1"/>
          <w:color w:val="auto"/>
        </w:rPr>
        <w:t>Dilutive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w:t>
      </w:r>
      <w:r>
        <w:rPr>
          <w:rFonts w:ascii="Times New Roman" w:cs="Times New Roman" w:eastAsia="Times New Roman" w:hAnsi="Times New Roman"/>
          <w:sz w:val="18"/>
          <w:szCs w:val="18"/>
          <w:color w:val="auto"/>
        </w:rPr>
        <w:t>”), then immediately after such Dilutive Issuance, the number of Warrant Shares shall be increased to an amount equal to (x)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prior to such Dilutive Issuance, multiplied by (y) the quotient of the Applicable Price divided by the New Issuance Price. The Company and Holder acknowledge and agree that the Original Warrant had an Applicable Price of $2.00 per share, the November 2023 Warrant had an Applicable Price of $1.00 per share, and the amendment and restatement is as of a result of a Dilutive Issuance with a $0.40 per share New Issuance Price. For all purposes of the foregoing (including, without limitation, determining the adjusted number of Warrant Shares and the New Issuance Price under this Section 2(b)), the following shall be applicable:</w:t>
      </w:r>
    </w:p>
    <w:p>
      <w:pPr>
        <w:spacing w:after="0" w:line="194" w:lineRule="exact"/>
        <w:rPr>
          <w:sz w:val="20"/>
          <w:szCs w:val="20"/>
          <w:color w:val="auto"/>
        </w:rPr>
      </w:pPr>
    </w:p>
    <w:p>
      <w:pPr>
        <w:jc w:val="both"/>
        <w:ind w:firstLine="2268"/>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Issuance of Options</w:t>
      </w:r>
      <w:r>
        <w:rPr>
          <w:rFonts w:ascii="Times New Roman" w:cs="Times New Roman" w:eastAsia="Times New Roman" w:hAnsi="Times New Roman"/>
          <w:sz w:val="18"/>
          <w:szCs w:val="18"/>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2" w:name="page273"/>
    <w:bookmarkEnd w:id="272"/>
    <w:p>
      <w:pPr>
        <w:jc w:val="both"/>
        <w:ind w:firstLine="2268"/>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Issuance of Convertible Securities</w:t>
      </w:r>
      <w:r>
        <w:rPr>
          <w:rFonts w:ascii="Times New Roman" w:cs="Times New Roman" w:eastAsia="Times New Roman" w:hAnsi="Times New Roman"/>
          <w:sz w:val="18"/>
          <w:szCs w:val="18"/>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195" w:lineRule="exact"/>
        <w:rPr>
          <w:sz w:val="20"/>
          <w:szCs w:val="20"/>
          <w:color w:val="auto"/>
        </w:rPr>
      </w:pPr>
    </w:p>
    <w:p>
      <w:pPr>
        <w:jc w:val="both"/>
        <w:ind w:firstLine="2268"/>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3" w:name="page274"/>
    <w:bookmarkEnd w:id="273"/>
    <w:p>
      <w:pPr>
        <w:jc w:val="both"/>
        <w:ind w:firstLine="2268"/>
        <w:spacing w:after="0" w:line="25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and together with the Primary Security,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“Valuation Event”), the fair value of such consideration will be determined within five Trading Days after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jc w:val="both"/>
        <w:ind w:firstLine="2268"/>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sz w:val="20"/>
          <w:szCs w:val="20"/>
          <w:color w:val="auto"/>
        </w:rPr>
      </w:pPr>
    </w:p>
    <w:p>
      <w:pPr>
        <w:jc w:val="both"/>
        <w:ind w:firstLine="1620"/>
        <w:spacing w:after="0" w:line="282" w:lineRule="auto"/>
        <w:rPr>
          <w:sz w:val="20"/>
          <w:szCs w:val="20"/>
          <w:color w:val="auto"/>
        </w:rPr>
      </w:pPr>
      <w:r>
        <w:rPr>
          <w:rFonts w:ascii="Times New Roman" w:cs="Times New Roman" w:eastAsia="Times New Roman" w:hAnsi="Times New Roman"/>
          <w:sz w:val="18"/>
          <w:szCs w:val="18"/>
          <w:color w:val="auto"/>
        </w:rPr>
        <w:t>  (c)       </w:t>
      </w:r>
      <w:r>
        <w:rPr>
          <w:rFonts w:ascii="Times New Roman" w:cs="Times New Roman" w:eastAsia="Times New Roman" w:hAnsi="Times New Roman"/>
          <w:sz w:val="18"/>
          <w:szCs w:val="18"/>
          <w:u w:val="single" w:color="auto"/>
          <w:color w:val="auto"/>
        </w:rPr>
        <w:t>  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4" w:name="page275"/>
    <w:bookmarkEnd w:id="274"/>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  (d)       </w:t>
      </w:r>
      <w:r>
        <w:rPr>
          <w:rFonts w:ascii="Times New Roman" w:cs="Times New Roman" w:eastAsia="Times New Roman" w:hAnsi="Times New Roman"/>
          <w:sz w:val="18"/>
          <w:szCs w:val="18"/>
          <w:u w:val="single" w:color="auto"/>
          <w:color w:val="auto"/>
        </w:rPr>
        <w:t>  Voluntary Adjustment by Company</w:t>
      </w:r>
      <w:r>
        <w:rPr>
          <w:rFonts w:ascii="Times New Roman" w:cs="Times New Roman" w:eastAsia="Times New Roman" w:hAnsi="Times New Roman"/>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PURCHASE RIGHTS; FUNDAMENTAL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0"/>
        <w:spacing w:after="0" w:line="252" w:lineRule="auto"/>
        <w:rPr>
          <w:sz w:val="20"/>
          <w:szCs w:val="20"/>
          <w:color w:val="auto"/>
        </w:rPr>
      </w:pP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  Purchase Rights</w:t>
      </w:r>
      <w:r>
        <w:rPr>
          <w:rFonts w:ascii="Times New Roman" w:cs="Times New Roman" w:eastAsia="Times New Roman" w:hAnsi="Times New Roman"/>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5" w:name="page276"/>
    <w:bookmarkEnd w:id="275"/>
    <w:p>
      <w:pPr>
        <w:ind w:left="1620"/>
        <w:spacing w:after="0"/>
        <w:rPr>
          <w:sz w:val="20"/>
          <w:szCs w:val="20"/>
          <w:color w:val="auto"/>
        </w:rPr>
      </w:pPr>
      <w:r>
        <w:rPr>
          <w:rFonts w:ascii="Times New Roman" w:cs="Times New Roman" w:eastAsia="Times New Roman" w:hAnsi="Times New Roman"/>
          <w:sz w:val="18"/>
          <w:szCs w:val="18"/>
          <w:color w:val="auto"/>
        </w:rPr>
        <w:t>  (b)        </w:t>
      </w:r>
      <w:r>
        <w:rPr>
          <w:rFonts w:ascii="Times New Roman" w:cs="Times New Roman" w:eastAsia="Times New Roman" w:hAnsi="Times New Roman"/>
          <w:sz w:val="18"/>
          <w:szCs w:val="18"/>
          <w:u w:val="single" w:color="auto"/>
          <w:color w:val="auto"/>
        </w:rPr>
        <w:t>  Fundamental Transactions</w:t>
      </w:r>
      <w:r>
        <w:rPr>
          <w:rFonts w:ascii="Times New Roman" w:cs="Times New Roman" w:eastAsia="Times New Roman" w:hAnsi="Times New Roman"/>
          <w:sz w:val="18"/>
          <w:szCs w:val="18"/>
          <w:color w:val="auto"/>
        </w:rPr>
        <w:t>. The Company shall not enter into or be party to a Fundamental Transaction unless:</w:t>
      </w:r>
    </w:p>
    <w:p>
      <w:pPr>
        <w:spacing w:after="0" w:line="225" w:lineRule="exact"/>
        <w:rPr>
          <w:sz w:val="20"/>
          <w:szCs w:val="20"/>
          <w:color w:val="auto"/>
        </w:rPr>
      </w:pPr>
    </w:p>
    <w:p>
      <w:pPr>
        <w:jc w:val="both"/>
        <w:ind w:firstLine="2268"/>
        <w:spacing w:after="0" w:line="256" w:lineRule="auto"/>
        <w:rPr>
          <w:sz w:val="20"/>
          <w:szCs w:val="20"/>
          <w:color w:val="auto"/>
        </w:rPr>
      </w:pPr>
      <w:r>
        <w:rPr>
          <w:rFonts w:ascii="Times New Roman" w:cs="Times New Roman" w:eastAsia="Times New Roman" w:hAnsi="Times New Roman"/>
          <w:sz w:val="18"/>
          <w:szCs w:val="18"/>
          <w:color w:val="auto"/>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87" w:lineRule="exact"/>
        <w:rPr>
          <w:sz w:val="20"/>
          <w:szCs w:val="20"/>
          <w:color w:val="auto"/>
        </w:rPr>
      </w:pPr>
    </w:p>
    <w:p>
      <w:pPr>
        <w:jc w:val="both"/>
        <w:ind w:firstLine="2268"/>
        <w:spacing w:after="0" w:line="251" w:lineRule="auto"/>
        <w:rPr>
          <w:sz w:val="20"/>
          <w:szCs w:val="20"/>
          <w:color w:val="auto"/>
        </w:rPr>
      </w:pPr>
      <w:r>
        <w:rPr>
          <w:rFonts w:ascii="Times New Roman" w:cs="Times New Roman" w:eastAsia="Times New Roman" w:hAnsi="Times New Roman"/>
          <w:sz w:val="18"/>
          <w:szCs w:val="18"/>
          <w:color w:val="auto"/>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 w:cs="Times New Roman" w:eastAsia="Times New Roman" w:hAnsi="Times New Roman"/>
          <w:sz w:val="18"/>
          <w:szCs w:val="18"/>
          <w:b w:val="1"/>
          <w:bCs w:val="1"/>
          <w:color w:val="auto"/>
        </w:rPr>
        <w:t>Public Fundamental Transaction</w:t>
      </w:r>
      <w:r>
        <w:rPr>
          <w:rFonts w:ascii="Times New Roman" w:cs="Times New Roman" w:eastAsia="Times New Roman" w:hAnsi="Times New Roman"/>
          <w:sz w:val="18"/>
          <w:szCs w:val="18"/>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6" w:name="page277"/>
    <w:bookmarkEnd w:id="276"/>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94"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18"/>
          <w:szCs w:val="18"/>
          <w:color w:val="auto"/>
        </w:rPr>
        <w:t>  (c)        </w:t>
      </w:r>
      <w:r>
        <w:rPr>
          <w:rFonts w:ascii="Times New Roman" w:cs="Times New Roman" w:eastAsia="Times New Roman" w:hAnsi="Times New Roman"/>
          <w:sz w:val="18"/>
          <w:szCs w:val="18"/>
          <w:u w:val="single" w:color="auto"/>
          <w:color w:val="auto"/>
        </w:rPr>
        <w:t>  Holder Optional Redemptions</w:t>
      </w:r>
      <w:r>
        <w:rPr>
          <w:rFonts w:ascii="Times New Roman" w:cs="Times New Roman" w:eastAsia="Times New Roman" w:hAnsi="Times New Roman"/>
          <w:sz w:val="18"/>
          <w:szCs w:val="18"/>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92" w:lineRule="exact"/>
        <w:rPr>
          <w:sz w:val="20"/>
          <w:szCs w:val="20"/>
          <w:color w:val="auto"/>
        </w:rPr>
      </w:pPr>
    </w:p>
    <w:p>
      <w:pPr>
        <w:jc w:val="both"/>
        <w:ind w:firstLine="1620"/>
        <w:spacing w:after="0" w:line="261" w:lineRule="auto"/>
        <w:rPr>
          <w:sz w:val="20"/>
          <w:szCs w:val="20"/>
          <w:color w:val="auto"/>
        </w:rPr>
      </w:pPr>
      <w:r>
        <w:rPr>
          <w:rFonts w:ascii="Times New Roman" w:cs="Times New Roman" w:eastAsia="Times New Roman" w:hAnsi="Times New Roman"/>
          <w:sz w:val="18"/>
          <w:szCs w:val="18"/>
          <w:color w:val="auto"/>
        </w:rPr>
        <w:t xml:space="preserve">  (d)         </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7" w:name="page278"/>
    <w:bookmarkEnd w:id="27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REISSUANCE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  Transfer of Warrant</w:t>
      </w:r>
      <w:r>
        <w:rPr>
          <w:rFonts w:ascii="Times New Roman" w:cs="Times New Roman" w:eastAsia="Times New Roman" w:hAnsi="Times New Roman"/>
          <w:sz w:val="18"/>
          <w:szCs w:val="18"/>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92" w:lineRule="exact"/>
        <w:rPr>
          <w:sz w:val="20"/>
          <w:szCs w:val="20"/>
          <w:color w:val="auto"/>
        </w:rPr>
      </w:pPr>
    </w:p>
    <w:p>
      <w:pPr>
        <w:jc w:val="both"/>
        <w:ind w:firstLine="1620"/>
        <w:spacing w:after="0" w:line="258" w:lineRule="auto"/>
        <w:rPr>
          <w:sz w:val="20"/>
          <w:szCs w:val="20"/>
          <w:color w:val="auto"/>
        </w:rPr>
      </w:pPr>
      <w:r>
        <w:rPr>
          <w:rFonts w:ascii="Times New Roman" w:cs="Times New Roman" w:eastAsia="Times New Roman" w:hAnsi="Times New Roman"/>
          <w:sz w:val="18"/>
          <w:szCs w:val="18"/>
          <w:color w:val="auto"/>
        </w:rPr>
        <w:t>  (b)       </w:t>
      </w:r>
      <w:r>
        <w:rPr>
          <w:rFonts w:ascii="Times New Roman" w:cs="Times New Roman" w:eastAsia="Times New Roman" w:hAnsi="Times New Roman"/>
          <w:sz w:val="18"/>
          <w:szCs w:val="18"/>
          <w:u w:val="single" w:color="auto"/>
          <w:color w:val="auto"/>
        </w:rPr>
        <w:t>  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sz w:val="20"/>
          <w:szCs w:val="20"/>
          <w:color w:val="auto"/>
        </w:rPr>
      </w:pPr>
    </w:p>
    <w:p>
      <w:pPr>
        <w:jc w:val="both"/>
        <w:ind w:firstLine="1620"/>
        <w:spacing w:after="0" w:line="261" w:lineRule="auto"/>
        <w:rPr>
          <w:sz w:val="20"/>
          <w:szCs w:val="20"/>
          <w:color w:val="auto"/>
        </w:rPr>
      </w:pPr>
      <w:r>
        <w:rPr>
          <w:rFonts w:ascii="Times New Roman" w:cs="Times New Roman" w:eastAsia="Times New Roman" w:hAnsi="Times New Roman"/>
          <w:sz w:val="18"/>
          <w:szCs w:val="18"/>
          <w:color w:val="auto"/>
        </w:rPr>
        <w:t>  (c)       </w:t>
      </w:r>
      <w:r>
        <w:rPr>
          <w:rFonts w:ascii="Times New Roman" w:cs="Times New Roman" w:eastAsia="Times New Roman" w:hAnsi="Times New Roman"/>
          <w:sz w:val="18"/>
          <w:szCs w:val="18"/>
          <w:u w:val="single" w:color="auto"/>
          <w:color w:val="auto"/>
        </w:rPr>
        <w:t>  Exchangeable for Multiple Warrants</w:t>
      </w:r>
      <w:r>
        <w:rPr>
          <w:rFonts w:ascii="Times New Roman" w:cs="Times New Roman" w:eastAsia="Times New Roman" w:hAnsi="Times New Roman"/>
          <w:sz w:val="18"/>
          <w:szCs w:val="18"/>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warrants for fractional shares of Common Stock shall be given.</w:t>
      </w:r>
    </w:p>
    <w:p>
      <w:pPr>
        <w:spacing w:after="0" w:line="180" w:lineRule="exact"/>
        <w:rPr>
          <w:sz w:val="20"/>
          <w:szCs w:val="20"/>
          <w:color w:val="auto"/>
        </w:rPr>
      </w:pPr>
    </w:p>
    <w:p>
      <w:pPr>
        <w:jc w:val="both"/>
        <w:ind w:firstLine="1620"/>
        <w:spacing w:after="0" w:line="256" w:lineRule="auto"/>
        <w:rPr>
          <w:sz w:val="20"/>
          <w:szCs w:val="20"/>
          <w:color w:val="auto"/>
        </w:rPr>
      </w:pPr>
      <w:r>
        <w:rPr>
          <w:rFonts w:ascii="Times New Roman" w:cs="Times New Roman" w:eastAsia="Times New Roman" w:hAnsi="Times New Roman"/>
          <w:sz w:val="18"/>
          <w:szCs w:val="18"/>
          <w:color w:val="auto"/>
        </w:rPr>
        <w:t>  (d)       </w:t>
      </w:r>
      <w:r>
        <w:rPr>
          <w:rFonts w:ascii="Times New Roman" w:cs="Times New Roman" w:eastAsia="Times New Roman" w:hAnsi="Times New Roman"/>
          <w:sz w:val="18"/>
          <w:szCs w:val="18"/>
          <w:u w:val="single" w:color="auto"/>
          <w:color w:val="auto"/>
        </w:rPr>
        <w:t>  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8" w:name="page279"/>
    <w:bookmarkEnd w:id="27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NOTICES OF CHANGES IN WARRANT</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83"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7"/>
          <w:szCs w:val="17"/>
          <w:color w:val="auto"/>
        </w:rPr>
        <w:t>9.     </w:t>
      </w:r>
      <w:r>
        <w:rPr>
          <w:rFonts w:ascii="Times New Roman" w:cs="Times New Roman" w:eastAsia="Times New Roman" w:hAnsi="Times New Roman"/>
          <w:sz w:val="17"/>
          <w:szCs w:val="17"/>
          <w:u w:val="single" w:color="auto"/>
          <w:color w:val="auto"/>
        </w:rPr>
        <w:t>  AMENDMENT AND WAIVER</w:t>
      </w:r>
      <w:r>
        <w:rPr>
          <w:rFonts w:ascii="Times New Roman" w:cs="Times New Roman" w:eastAsia="Times New Roman" w:hAnsi="Times New Roman"/>
          <w:sz w:val="17"/>
          <w:szCs w:val="17"/>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6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AND THE HOLDER EACH</w:t>
      </w:r>
    </w:p>
    <w:p>
      <w:pPr>
        <w:spacing w:after="0" w:line="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CONSTRUCTION; HEADINGS; BUSINESS DAYS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0" w:name="page281"/>
    <w:bookmarkEnd w:id="280"/>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NO DISCLOSURE</w:t>
      </w:r>
      <w:r>
        <w:rPr>
          <w:rFonts w:ascii="Times New Roman" w:cs="Times New Roman" w:eastAsia="Times New Roman" w:hAnsi="Times New Roman"/>
          <w:sz w:val="18"/>
          <w:szCs w:val="18"/>
          <w:color w:val="auto"/>
        </w:rPr>
        <w:t>. The Company shall not provide material, non-public information or confidential or proprietary information to the Holder without such Holder’s written consent.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REPRESENTATIONS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  Investment Intent</w:t>
      </w:r>
      <w:r>
        <w:rPr>
          <w:rFonts w:ascii="Times New Roman" w:cs="Times New Roman" w:eastAsia="Times New Roman" w:hAnsi="Times New Roman"/>
          <w:sz w:val="18"/>
          <w:szCs w:val="18"/>
          <w:color w:val="auto"/>
        </w:rPr>
        <w:t>. Each Holder represents and warrants that it is acquiring this Warrant and the Warrant Shares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76"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u w:val="single" w:color="auto"/>
          <w:color w:val="auto"/>
        </w:rPr>
        <w:t>Unregistered Securities</w:t>
      </w:r>
      <w:r>
        <w:rPr>
          <w:rFonts w:ascii="Times New Roman" w:cs="Times New Roman" w:eastAsia="Times New Roman" w:hAnsi="Times New Roman"/>
          <w:sz w:val="18"/>
          <w:szCs w:val="18"/>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76"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 xml:space="preserve">  (c)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  (d)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Each Holder represents and warrants that it is an “accredited investor” as defined in Rule 501(a)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Act.</w:t>
      </w:r>
    </w:p>
    <w:p>
      <w:pPr>
        <w:spacing w:after="0" w:line="9" w:lineRule="exact"/>
        <w:rPr>
          <w:sz w:val="20"/>
          <w:szCs w:val="20"/>
          <w:color w:val="auto"/>
        </w:rPr>
      </w:pPr>
    </w:p>
    <w:p>
      <w:pPr>
        <w:jc w:val="both"/>
        <w:ind w:firstLine="1620"/>
        <w:spacing w:after="0" w:line="255" w:lineRule="auto"/>
        <w:rPr>
          <w:sz w:val="20"/>
          <w:szCs w:val="20"/>
          <w:color w:val="auto"/>
        </w:rPr>
      </w:pPr>
      <w:r>
        <w:rPr>
          <w:rFonts w:ascii="Times New Roman" w:cs="Times New Roman" w:eastAsia="Times New Roman" w:hAnsi="Times New Roman"/>
          <w:sz w:val="18"/>
          <w:szCs w:val="18"/>
          <w:color w:val="auto"/>
        </w:rPr>
        <w:t xml:space="preserve">  (e)         </w:t>
      </w:r>
      <w:r>
        <w:rPr>
          <w:rFonts w:ascii="Times New Roman" w:cs="Times New Roman" w:eastAsia="Times New Roman" w:hAnsi="Times New Roman"/>
          <w:sz w:val="18"/>
          <w:szCs w:val="18"/>
          <w:u w:val="single" w:color="auto"/>
          <w:color w:val="auto"/>
        </w:rPr>
        <w:t>Sophisticated Investor</w:t>
      </w:r>
      <w:r>
        <w:rPr>
          <w:rFonts w:ascii="Times New Roman" w:cs="Times New Roman" w:eastAsia="Times New Roman" w:hAnsi="Times New Roman"/>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6"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  (f)        </w:t>
      </w:r>
      <w:r>
        <w:rPr>
          <w:rFonts w:ascii="Times New Roman" w:cs="Times New Roman" w:eastAsia="Times New Roman" w:hAnsi="Times New Roman"/>
          <w:sz w:val="18"/>
          <w:szCs w:val="18"/>
          <w:u w:val="single" w:color="auto"/>
          <w:color w:val="auto"/>
        </w:rPr>
        <w:t>  Restricted Securities</w:t>
      </w:r>
      <w:r>
        <w:rPr>
          <w:rFonts w:ascii="Times New Roman" w:cs="Times New Roman" w:eastAsia="Times New Roman" w:hAnsi="Times New Roman"/>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6"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18"/>
          <w:szCs w:val="18"/>
          <w:color w:val="auto"/>
        </w:rPr>
        <w:t xml:space="preserve">  (g)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1" w:name="page282"/>
    <w:bookmarkEnd w:id="281"/>
    <w:p>
      <w:pPr>
        <w:jc w:val="both"/>
        <w:ind w:firstLine="1620"/>
        <w:spacing w:after="0" w:line="253" w:lineRule="auto"/>
        <w:rPr>
          <w:sz w:val="20"/>
          <w:szCs w:val="20"/>
          <w:color w:val="auto"/>
        </w:rPr>
      </w:pPr>
      <w:r>
        <w:rPr>
          <w:rFonts w:ascii="Times New Roman" w:cs="Times New Roman" w:eastAsia="Times New Roman" w:hAnsi="Times New Roman"/>
          <w:sz w:val="18"/>
          <w:szCs w:val="18"/>
          <w:color w:val="auto"/>
        </w:rPr>
        <w:t>  (h)       </w:t>
      </w:r>
      <w:r>
        <w:rPr>
          <w:rFonts w:ascii="Times New Roman" w:cs="Times New Roman" w:eastAsia="Times New Roman" w:hAnsi="Times New Roman"/>
          <w:sz w:val="18"/>
          <w:szCs w:val="18"/>
          <w:u w:val="single" w:color="auto"/>
          <w:color w:val="auto"/>
        </w:rPr>
        <w:t>  Non-Reliance</w:t>
      </w:r>
      <w:r>
        <w:rPr>
          <w:rFonts w:ascii="Times New Roman" w:cs="Times New Roman" w:eastAsia="Times New Roman" w:hAnsi="Times New Roman"/>
          <w:sz w:val="18"/>
          <w:szCs w:val="18"/>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90" w:lineRule="exact"/>
        <w:rPr>
          <w:sz w:val="20"/>
          <w:szCs w:val="20"/>
          <w:color w:val="auto"/>
        </w:rPr>
      </w:pPr>
    </w:p>
    <w:p>
      <w:pPr>
        <w:ind w:right="20" w:firstLine="1304"/>
        <w:spacing w:after="0" w:line="282" w:lineRule="auto"/>
        <w:tabs>
          <w:tab w:leader="none" w:pos="157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REPRESENTATIONS OF THE COMPANY</w:t>
      </w:r>
      <w:r>
        <w:rPr>
          <w:rFonts w:ascii="Times New Roman" w:cs="Times New Roman" w:eastAsia="Times New Roman" w:hAnsi="Times New Roman"/>
          <w:sz w:val="18"/>
          <w:szCs w:val="18"/>
          <w:color w:val="auto"/>
        </w:rPr>
        <w:t>. The Company represents and warrants to the Holder that, except as set forth in the SEC Reports (as defined below):</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         The Company (i) is duly organized, validly existing and in good standing under the laws of its jurisdiction of incorporation;</w:t>
      </w:r>
    </w:p>
    <w:p>
      <w:pPr>
        <w:spacing w:after="0" w:line="27" w:lineRule="exact"/>
        <w:rPr>
          <w:sz w:val="20"/>
          <w:szCs w:val="20"/>
          <w:color w:val="auto"/>
        </w:rPr>
      </w:pPr>
    </w:p>
    <w:p>
      <w:pPr>
        <w:jc w:val="both"/>
        <w:ind w:firstLine="8"/>
        <w:spacing w:after="0" w:line="251" w:lineRule="auto"/>
        <w:tabs>
          <w:tab w:leader="none" w:pos="27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93" w:lineRule="exact"/>
        <w:rPr>
          <w:sz w:val="20"/>
          <w:szCs w:val="20"/>
          <w:color w:val="auto"/>
        </w:rPr>
      </w:pPr>
    </w:p>
    <w:p>
      <w:pPr>
        <w:jc w:val="both"/>
        <w:ind w:firstLine="1620"/>
        <w:spacing w:after="0" w:line="261" w:lineRule="auto"/>
        <w:rPr>
          <w:sz w:val="20"/>
          <w:szCs w:val="20"/>
          <w:color w:val="auto"/>
        </w:rPr>
      </w:pPr>
      <w:r>
        <w:rPr>
          <w:rFonts w:ascii="Times New Roman" w:cs="Times New Roman" w:eastAsia="Times New Roman" w:hAnsi="Times New Roman"/>
          <w:sz w:val="18"/>
          <w:szCs w:val="18"/>
          <w:color w:val="auto"/>
        </w:rPr>
        <w:t>  (b)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has not been issued in violation of any preemptive rights created under the Company’s organizational documents or the laws of the State of Delaware.</w:t>
      </w:r>
    </w:p>
    <w:p>
      <w:pPr>
        <w:spacing w:after="0" w:line="180"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  (c)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76"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18"/>
          <w:szCs w:val="18"/>
          <w:color w:val="auto"/>
        </w:rPr>
        <w:t>  (d)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2" w:name="page283"/>
    <w:bookmarkEnd w:id="282"/>
    <w:p>
      <w:pPr>
        <w:jc w:val="both"/>
        <w:ind w:firstLine="1620"/>
        <w:spacing w:after="0" w:line="255" w:lineRule="auto"/>
        <w:rPr>
          <w:sz w:val="20"/>
          <w:szCs w:val="20"/>
          <w:color w:val="auto"/>
        </w:rPr>
      </w:pPr>
      <w:r>
        <w:rPr>
          <w:rFonts w:ascii="Times New Roman" w:cs="Times New Roman" w:eastAsia="Times New Roman" w:hAnsi="Times New Roman"/>
          <w:sz w:val="18"/>
          <w:szCs w:val="18"/>
          <w:color w:val="auto"/>
        </w:rPr>
        <w:t>  (e)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189" w:lineRule="exact"/>
        <w:rPr>
          <w:sz w:val="20"/>
          <w:szCs w:val="20"/>
          <w:color w:val="auto"/>
        </w:rPr>
      </w:pPr>
    </w:p>
    <w:p>
      <w:pPr>
        <w:jc w:val="both"/>
        <w:ind w:firstLine="1620"/>
        <w:spacing w:after="0" w:line="252" w:lineRule="auto"/>
        <w:rPr>
          <w:sz w:val="20"/>
          <w:szCs w:val="20"/>
          <w:color w:val="auto"/>
        </w:rPr>
      </w:pPr>
      <w:r>
        <w:rPr>
          <w:rFonts w:ascii="Times New Roman" w:cs="Times New Roman" w:eastAsia="Times New Roman" w:hAnsi="Times New Roman"/>
          <w:sz w:val="18"/>
          <w:szCs w:val="18"/>
          <w:color w:val="auto"/>
        </w:rPr>
        <w:t>  (f)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i w:val="1"/>
          <w:iCs w:val="1"/>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 w:cs="Times New Roman" w:eastAsia="Times New Roman" w:hAnsi="Times New Roman"/>
          <w:sz w:val="18"/>
          <w:szCs w:val="18"/>
          <w:b w:val="1"/>
          <w:bCs w:val="1"/>
          <w:color w:val="auto"/>
        </w:rPr>
        <w:t>2023 Form 10-K</w:t>
      </w:r>
      <w:r>
        <w:rPr>
          <w:rFonts w:ascii="Times New Roman" w:cs="Times New Roman" w:eastAsia="Times New Roman" w:hAnsi="Times New Roman"/>
          <w:sz w:val="18"/>
          <w:szCs w:val="18"/>
          <w:color w:val="auto"/>
        </w:rPr>
        <w:t>”)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i w:val="1"/>
          <w:iCs w:val="1"/>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7" w:lineRule="exact"/>
        <w:rPr>
          <w:sz w:val="20"/>
          <w:szCs w:val="20"/>
          <w:color w:val="auto"/>
        </w:rPr>
      </w:pPr>
    </w:p>
    <w:p>
      <w:pPr>
        <w:jc w:val="both"/>
        <w:ind w:firstLine="1620"/>
        <w:spacing w:after="0" w:line="258" w:lineRule="auto"/>
        <w:rPr>
          <w:sz w:val="20"/>
          <w:szCs w:val="20"/>
          <w:color w:val="auto"/>
        </w:rPr>
      </w:pPr>
      <w:r>
        <w:rPr>
          <w:rFonts w:ascii="Times New Roman" w:cs="Times New Roman" w:eastAsia="Times New Roman" w:hAnsi="Times New Roman"/>
          <w:sz w:val="18"/>
          <w:szCs w:val="18"/>
          <w:color w:val="auto"/>
        </w:rPr>
        <w:t>  (g)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3" w:name="page284"/>
    <w:bookmarkEnd w:id="283"/>
    <w:p>
      <w:pPr>
        <w:jc w:val="both"/>
        <w:ind w:firstLine="1620"/>
        <w:spacing w:after="0" w:line="256" w:lineRule="auto"/>
        <w:rPr>
          <w:sz w:val="20"/>
          <w:szCs w:val="20"/>
          <w:color w:val="auto"/>
        </w:rPr>
      </w:pPr>
      <w:r>
        <w:rPr>
          <w:rFonts w:ascii="Times New Roman" w:cs="Times New Roman" w:eastAsia="Times New Roman" w:hAnsi="Times New Roman"/>
          <w:sz w:val="18"/>
          <w:szCs w:val="18"/>
          <w:color w:val="auto"/>
        </w:rPr>
        <w:t>  (h)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7"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  (i)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76" w:lineRule="exact"/>
        <w:rPr>
          <w:sz w:val="20"/>
          <w:szCs w:val="20"/>
          <w:color w:val="auto"/>
        </w:rPr>
      </w:pPr>
    </w:p>
    <w:p>
      <w:pPr>
        <w:jc w:val="both"/>
        <w:ind w:firstLine="1620"/>
        <w:spacing w:after="0" w:line="261" w:lineRule="auto"/>
        <w:rPr>
          <w:sz w:val="20"/>
          <w:szCs w:val="20"/>
          <w:color w:val="auto"/>
        </w:rPr>
      </w:pPr>
      <w:r>
        <w:rPr>
          <w:rFonts w:ascii="Times New Roman" w:cs="Times New Roman" w:eastAsia="Times New Roman" w:hAnsi="Times New Roman"/>
          <w:sz w:val="18"/>
          <w:szCs w:val="18"/>
          <w:color w:val="auto"/>
        </w:rPr>
        <w:t>  (j)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0" w:lineRule="exact"/>
        <w:rPr>
          <w:sz w:val="20"/>
          <w:szCs w:val="20"/>
          <w:color w:val="auto"/>
        </w:rPr>
      </w:pPr>
    </w:p>
    <w:p>
      <w:pPr>
        <w:jc w:val="both"/>
        <w:ind w:firstLine="1620"/>
        <w:spacing w:after="0" w:line="255" w:lineRule="auto"/>
        <w:rPr>
          <w:sz w:val="20"/>
          <w:szCs w:val="20"/>
          <w:color w:val="auto"/>
        </w:rPr>
      </w:pPr>
      <w:r>
        <w:rPr>
          <w:rFonts w:ascii="Times New Roman" w:cs="Times New Roman" w:eastAsia="Times New Roman" w:hAnsi="Times New Roman"/>
          <w:sz w:val="18"/>
          <w:szCs w:val="18"/>
          <w:color w:val="auto"/>
        </w:rPr>
        <w:t>  (k)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sz w:val="20"/>
          <w:szCs w:val="20"/>
          <w:color w:val="auto"/>
        </w:rPr>
      </w:pPr>
    </w:p>
    <w:p>
      <w:pPr>
        <w:jc w:val="both"/>
        <w:ind w:firstLine="1620"/>
        <w:spacing w:after="0" w:line="262" w:lineRule="auto"/>
        <w:rPr>
          <w:sz w:val="20"/>
          <w:szCs w:val="20"/>
          <w:color w:val="auto"/>
        </w:rPr>
      </w:pP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(b)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5"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color w:val="auto"/>
        </w:rPr>
        <w:t>          (c)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4" w:name="page285"/>
    <w:bookmarkEnd w:id="284"/>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(d)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8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(e)         “</w:t>
      </w:r>
      <w:r>
        <w:rPr>
          <w:rFonts w:ascii="Times New Roman" w:cs="Times New Roman" w:eastAsia="Times New Roman" w:hAnsi="Times New Roman"/>
          <w:sz w:val="18"/>
          <w:szCs w:val="18"/>
          <w:b w:val="1"/>
          <w:bCs w:val="1"/>
          <w:color w:val="auto"/>
        </w:rPr>
        <w:t>Black Scholes Going Private Value</w:t>
      </w:r>
      <w:r>
        <w:rPr>
          <w:rFonts w:ascii="Times New Roman" w:cs="Times New Roman" w:eastAsia="Times New Roman" w:hAnsi="Times New Roman"/>
          <w:sz w:val="18"/>
          <w:szCs w:val="18"/>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7" w:lineRule="exact"/>
        <w:rPr>
          <w:sz w:val="20"/>
          <w:szCs w:val="20"/>
          <w:color w:val="auto"/>
        </w:rPr>
      </w:pPr>
    </w:p>
    <w:p>
      <w:pPr>
        <w:jc w:val="both"/>
        <w:ind w:firstLine="1620"/>
        <w:spacing w:after="0" w:line="253" w:lineRule="auto"/>
        <w:rPr>
          <w:sz w:val="20"/>
          <w:szCs w:val="20"/>
          <w:color w:val="auto"/>
        </w:rPr>
      </w:pPr>
      <w:r>
        <w:rPr>
          <w:rFonts w:ascii="Times New Roman" w:cs="Times New Roman" w:eastAsia="Times New Roman" w:hAnsi="Times New Roman"/>
          <w:sz w:val="18"/>
          <w:szCs w:val="18"/>
          <w:color w:val="auto"/>
        </w:rPr>
        <w:t>  (f)          “</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(g)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5" w:name="page286"/>
    <w:bookmarkEnd w:id="285"/>
    <w:p>
      <w:pPr>
        <w:jc w:val="both"/>
        <w:ind w:right="20" w:firstLine="1620"/>
        <w:spacing w:after="0" w:line="286" w:lineRule="auto"/>
        <w:rPr>
          <w:sz w:val="20"/>
          <w:szCs w:val="20"/>
          <w:color w:val="auto"/>
        </w:rPr>
      </w:pPr>
      <w:r>
        <w:rPr>
          <w:rFonts w:ascii="Times New Roman" w:cs="Times New Roman" w:eastAsia="Times New Roman" w:hAnsi="Times New Roman"/>
          <w:sz w:val="18"/>
          <w:szCs w:val="18"/>
          <w:color w:val="auto"/>
        </w:rPr>
        <w:t>  (h)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jc w:val="both"/>
        <w:ind w:firstLine="1620"/>
        <w:spacing w:after="0" w:line="253" w:lineRule="auto"/>
        <w:rPr>
          <w:sz w:val="20"/>
          <w:szCs w:val="20"/>
          <w:color w:val="auto"/>
        </w:rPr>
      </w:pP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both"/>
        <w:ind w:firstLine="1620"/>
        <w:spacing w:after="0" w:line="286" w:lineRule="auto"/>
        <w:rPr>
          <w:sz w:val="20"/>
          <w:szCs w:val="20"/>
          <w:color w:val="auto"/>
        </w:rPr>
      </w:pPr>
      <w:r>
        <w:rPr>
          <w:rFonts w:ascii="Times New Roman" w:cs="Times New Roman" w:eastAsia="Times New Roman" w:hAnsi="Times New Roman"/>
          <w:sz w:val="18"/>
          <w:szCs w:val="18"/>
          <w:color w:val="auto"/>
        </w:rPr>
        <w:t>  (j)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55" w:lineRule="exact"/>
        <w:rPr>
          <w:sz w:val="20"/>
          <w:szCs w:val="20"/>
          <w:color w:val="auto"/>
        </w:rPr>
      </w:pPr>
    </w:p>
    <w:p>
      <w:pPr>
        <w:jc w:val="both"/>
        <w:ind w:firstLine="1620"/>
        <w:spacing w:after="0" w:line="286" w:lineRule="auto"/>
        <w:rPr>
          <w:sz w:val="20"/>
          <w:szCs w:val="20"/>
          <w:color w:val="auto"/>
        </w:rPr>
      </w:pPr>
      <w:r>
        <w:rPr>
          <w:rFonts w:ascii="Times New Roman" w:cs="Times New Roman" w:eastAsia="Times New Roman" w:hAnsi="Times New Roman"/>
          <w:sz w:val="18"/>
          <w:szCs w:val="18"/>
          <w:color w:val="auto"/>
        </w:rPr>
        <w:t>  (k)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5" w:lineRule="exact"/>
        <w:rPr>
          <w:sz w:val="20"/>
          <w:szCs w:val="20"/>
          <w:color w:val="auto"/>
        </w:rPr>
      </w:pPr>
    </w:p>
    <w:p>
      <w:pPr>
        <w:jc w:val="both"/>
        <w:ind w:firstLine="1620"/>
        <w:spacing w:after="0" w:line="286" w:lineRule="auto"/>
        <w:rPr>
          <w:sz w:val="20"/>
          <w:szCs w:val="20"/>
          <w:color w:val="auto"/>
        </w:rPr>
      </w:pPr>
      <w:r>
        <w:rPr>
          <w:rFonts w:ascii="Times New Roman" w:cs="Times New Roman" w:eastAsia="Times New Roman" w:hAnsi="Times New Roman"/>
          <w:sz w:val="18"/>
          <w:szCs w:val="18"/>
          <w:color w:val="auto"/>
        </w:rPr>
        <w:t>  (l)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Nasdaq Capital Market, The Nasdaq Global Select Market, The Nasdaq Global Market, the NYSE American, or The New York Stock Exchange.</w:t>
      </w:r>
    </w:p>
    <w:p>
      <w:pPr>
        <w:spacing w:after="0" w:line="155" w:lineRule="exact"/>
        <w:rPr>
          <w:sz w:val="20"/>
          <w:szCs w:val="20"/>
          <w:color w:val="auto"/>
        </w:rPr>
      </w:pPr>
    </w:p>
    <w:p>
      <w:pPr>
        <w:jc w:val="both"/>
        <w:ind w:firstLine="1620"/>
        <w:spacing w:after="0" w:line="252" w:lineRule="auto"/>
        <w:rPr>
          <w:sz w:val="20"/>
          <w:szCs w:val="20"/>
          <w:color w:val="auto"/>
        </w:rPr>
      </w:pPr>
      <w:r>
        <w:rPr>
          <w:rFonts w:ascii="Times New Roman" w:cs="Times New Roman" w:eastAsia="Times New Roman" w:hAnsi="Times New Roman"/>
          <w:sz w:val="18"/>
          <w:szCs w:val="18"/>
          <w:color w:val="auto"/>
        </w:rPr>
        <w:t>  (m)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 w:cs="Times New Roman" w:eastAsia="Times New Roman" w:hAnsi="Times New Roman"/>
          <w:sz w:val="18"/>
          <w:szCs w:val="18"/>
          <w:b w:val="1"/>
          <w:bCs w:val="1"/>
          <w:color w:val="auto"/>
        </w:rPr>
        <w:t>Metropolitan Entities</w:t>
      </w:r>
      <w:r>
        <w:rPr>
          <w:rFonts w:ascii="Times New Roman" w:cs="Times New Roman" w:eastAsia="Times New Roman" w:hAnsi="Times New Roman"/>
          <w:sz w:val="18"/>
          <w:szCs w:val="18"/>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this Warrant and any other warrant issued to the Metropolitan Entities in connection with the Third Amendment and (F) any warrant issued to the Metropolitan Entities in connection with the Forbearance and Fourth Amendment to Credit Agreement, dated as of January 22, 2024, by and among the Company, Metropolitan Partners Group Administration, LLC, a Delaware limited liability corporation, in its capacity as administrative agent and collateral agent under the Credit Agreement, and the Metropolitan Entities.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6" w:name="page287"/>
    <w:bookmarkEnd w:id="286"/>
    <w:p>
      <w:pPr>
        <w:jc w:val="both"/>
        <w:ind w:firstLine="1620"/>
        <w:spacing w:after="0" w:line="286" w:lineRule="auto"/>
        <w:rPr>
          <w:sz w:val="20"/>
          <w:szCs w:val="20"/>
          <w:color w:val="auto"/>
        </w:rPr>
      </w:pPr>
      <w:r>
        <w:rPr>
          <w:rFonts w:ascii="Times New Roman" w:cs="Times New Roman" w:eastAsia="Times New Roman" w:hAnsi="Times New Roman"/>
          <w:sz w:val="18"/>
          <w:szCs w:val="18"/>
          <w:color w:val="auto"/>
        </w:rPr>
        <w:t>  (n)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55" w:lineRule="exact"/>
        <w:rPr>
          <w:sz w:val="20"/>
          <w:szCs w:val="20"/>
          <w:color w:val="auto"/>
        </w:rPr>
      </w:pPr>
    </w:p>
    <w:p>
      <w:pPr>
        <w:jc w:val="both"/>
        <w:ind w:firstLine="1620"/>
        <w:spacing w:after="0" w:line="251" w:lineRule="auto"/>
        <w:rPr>
          <w:sz w:val="20"/>
          <w:szCs w:val="20"/>
          <w:color w:val="auto"/>
        </w:rPr>
      </w:pPr>
      <w:r>
        <w:rPr>
          <w:rFonts w:ascii="Times New Roman" w:cs="Times New Roman" w:eastAsia="Times New Roman" w:hAnsi="Times New Roman"/>
          <w:sz w:val="18"/>
          <w:szCs w:val="18"/>
          <w:color w:val="auto"/>
        </w:rPr>
        <w:t>  (o)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7" w:name="page288"/>
    <w:bookmarkEnd w:id="287"/>
    <w:p>
      <w:pPr>
        <w:ind w:left="1620"/>
        <w:spacing w:after="0"/>
        <w:rPr>
          <w:sz w:val="20"/>
          <w:szCs w:val="20"/>
          <w:color w:val="auto"/>
        </w:rPr>
      </w:pPr>
      <w:r>
        <w:rPr>
          <w:rFonts w:ascii="Times New Roman" w:cs="Times New Roman" w:eastAsia="Times New Roman" w:hAnsi="Times New Roman"/>
          <w:sz w:val="17"/>
          <w:szCs w:val="17"/>
          <w:color w:val="auto"/>
        </w:rPr>
        <w:t>  (p)         “</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 means a “group” as that term is used in Section 13(d) of the Exchange Act and as defined in Rule 13d-5 thereunder.</w:t>
      </w: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(q)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3" w:lineRule="exact"/>
        <w:rPr>
          <w:sz w:val="20"/>
          <w:szCs w:val="20"/>
          <w:color w:val="auto"/>
        </w:rPr>
      </w:pPr>
    </w:p>
    <w:p>
      <w:pPr>
        <w:jc w:val="both"/>
        <w:ind w:firstLine="1620"/>
        <w:spacing w:after="0" w:line="259" w:lineRule="auto"/>
        <w:rPr>
          <w:sz w:val="20"/>
          <w:szCs w:val="20"/>
          <w:color w:val="auto"/>
        </w:rPr>
      </w:pPr>
      <w:r>
        <w:rPr>
          <w:rFonts w:ascii="Times New Roman" w:cs="Times New Roman" w:eastAsia="Times New Roman" w:hAnsi="Times New Roman"/>
          <w:sz w:val="18"/>
          <w:szCs w:val="18"/>
          <w:color w:val="auto"/>
        </w:rPr>
        <w:t>  (r)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9" w:lineRule="exact"/>
        <w:rPr>
          <w:sz w:val="20"/>
          <w:szCs w:val="20"/>
          <w:color w:val="auto"/>
        </w:rPr>
      </w:pPr>
    </w:p>
    <w:p>
      <w:pPr>
        <w:jc w:val="both"/>
        <w:ind w:right="20" w:firstLine="1620"/>
        <w:spacing w:after="0" w:line="286" w:lineRule="auto"/>
        <w:rPr>
          <w:sz w:val="20"/>
          <w:szCs w:val="20"/>
          <w:color w:val="auto"/>
        </w:rPr>
      </w:pPr>
      <w:r>
        <w:rPr>
          <w:rFonts w:ascii="Times New Roman" w:cs="Times New Roman" w:eastAsia="Times New Roman" w:hAnsi="Times New Roman"/>
          <w:sz w:val="18"/>
          <w:szCs w:val="18"/>
          <w:color w:val="auto"/>
        </w:rPr>
        <w:t>  (s)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right="20" w:firstLine="1620"/>
        <w:spacing w:after="0" w:line="286" w:lineRule="auto"/>
        <w:rPr>
          <w:sz w:val="20"/>
          <w:szCs w:val="20"/>
          <w:color w:val="auto"/>
        </w:rPr>
      </w:pPr>
      <w:r>
        <w:rPr>
          <w:rFonts w:ascii="Times New Roman" w:cs="Times New Roman" w:eastAsia="Times New Roman" w:hAnsi="Times New Roman"/>
          <w:sz w:val="18"/>
          <w:szCs w:val="18"/>
          <w:color w:val="auto"/>
        </w:rPr>
        <w:t>  (t)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OTC Bulletin Board or any other Eligible Market, or any national securities exchange, market or trading or quotation facility on which the Common Stock is then listed or quoted.</w:t>
      </w:r>
    </w:p>
    <w:p>
      <w:pPr>
        <w:spacing w:after="0" w:line="1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(u)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(v)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sz w:val="20"/>
          <w:szCs w:val="20"/>
          <w:color w:val="auto"/>
        </w:rPr>
      </w:pPr>
    </w:p>
    <w:p>
      <w:pPr>
        <w:jc w:val="both"/>
        <w:ind w:firstLine="1620"/>
        <w:spacing w:after="0" w:line="268" w:lineRule="auto"/>
        <w:rPr>
          <w:sz w:val="20"/>
          <w:szCs w:val="20"/>
          <w:color w:val="auto"/>
        </w:rPr>
      </w:pPr>
      <w:r>
        <w:rPr>
          <w:rFonts w:ascii="Times New Roman" w:cs="Times New Roman" w:eastAsia="Times New Roman" w:hAnsi="Times New Roman"/>
          <w:sz w:val="18"/>
          <w:szCs w:val="18"/>
          <w:color w:val="auto"/>
        </w:rPr>
        <w:t>  (w)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1" w:lineRule="exact"/>
        <w:rPr>
          <w:sz w:val="20"/>
          <w:szCs w:val="20"/>
          <w:color w:val="auto"/>
        </w:rPr>
      </w:pPr>
    </w:p>
    <w:p>
      <w:pPr>
        <w:jc w:val="both"/>
        <w:ind w:firstLine="1620"/>
        <w:spacing w:after="0" w:line="278" w:lineRule="auto"/>
        <w:rPr>
          <w:sz w:val="20"/>
          <w:szCs w:val="20"/>
          <w:color w:val="auto"/>
        </w:rPr>
      </w:pPr>
      <w:r>
        <w:rPr>
          <w:rFonts w:ascii="Times New Roman" w:cs="Times New Roman" w:eastAsia="Times New Roman" w:hAnsi="Times New Roman"/>
          <w:sz w:val="17"/>
          <w:szCs w:val="17"/>
          <w:color w:val="auto"/>
        </w:rPr>
        <w:t>  (x)          “</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8" w:name="page289"/>
    <w:bookmarkEnd w:id="288"/>
    <w:p>
      <w:pPr>
        <w:jc w:val="both"/>
        <w:ind w:firstLine="1620"/>
        <w:spacing w:after="0" w:line="253" w:lineRule="auto"/>
        <w:rPr>
          <w:sz w:val="20"/>
          <w:szCs w:val="20"/>
          <w:color w:val="auto"/>
        </w:rPr>
      </w:pPr>
      <w:r>
        <w:rPr>
          <w:rFonts w:ascii="Times New Roman" w:cs="Times New Roman" w:eastAsia="Times New Roman" w:hAnsi="Times New Roman"/>
          <w:sz w:val="18"/>
          <w:szCs w:val="18"/>
          <w:color w:val="auto"/>
        </w:rPr>
        <w:t>  (y)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9" w:name="page290"/>
    <w:bookmarkEnd w:id="28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Amended and Restated Warrant to Purchase Common Stock to be duly executed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Date set out above.</w:t>
      </w:r>
    </w:p>
    <w:p>
      <w:pPr>
        <w:spacing w:after="0" w:line="1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C2C2C"/>
        </w:rPr>
        <w:t>PRESTO AUTOMATION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2C2C2C"/>
        </w:rPr>
        <w:t>By:</w:t>
      </w:r>
      <w:r>
        <w:rPr>
          <w:sz w:val="20"/>
          <w:szCs w:val="20"/>
          <w:color w:val="auto"/>
        </w:rPr>
        <w:tab/>
      </w:r>
      <w:r>
        <w:rPr>
          <w:rFonts w:ascii="Times New Roman" w:cs="Times New Roman" w:eastAsia="Times New Roman" w:hAnsi="Times New Roman"/>
          <w:sz w:val="18"/>
          <w:szCs w:val="18"/>
          <w:color w:val="2C2C2C"/>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C2C2C"/>
        </w:rPr>
        <w:t>Name: Xavier Casanova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2C2C2C"/>
        </w:rPr>
        <w:t>Title:</w:t>
      </w:r>
      <w:r>
        <w:rPr>
          <w:sz w:val="20"/>
          <w:szCs w:val="20"/>
          <w:color w:val="auto"/>
        </w:rPr>
        <w:tab/>
      </w:r>
      <w:r>
        <w:rPr>
          <w:rFonts w:ascii="Times New Roman" w:cs="Times New Roman" w:eastAsia="Times New Roman" w:hAnsi="Times New Roman"/>
          <w:sz w:val="17"/>
          <w:szCs w:val="17"/>
          <w:color w:val="2C2C2C"/>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 of the shares 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Presto</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Amended and Restated Warrant to Purchase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900" w:hanging="179"/>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Exercise Price. The Holder intends that payment of the Exercise Price shall be made as:</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 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_________________ Warrant Shares; and/or</w:t>
      </w:r>
    </w:p>
    <w:p>
      <w:pPr>
        <w:spacing w:after="0" w:line="225" w:lineRule="exact"/>
        <w:rPr>
          <w:sz w:val="20"/>
          <w:szCs w:val="20"/>
          <w:color w:val="auto"/>
        </w:rPr>
      </w:pPr>
    </w:p>
    <w:p>
      <w:pPr>
        <w:ind w:left="3000" w:hanging="1048"/>
        <w:spacing w:after="0"/>
        <w:tabs>
          <w:tab w:leader="none" w:pos="3000" w:val="left"/>
        </w:tabs>
        <w:numPr>
          <w:ilvl w:val="0"/>
          <w:numId w:val="7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 Warrant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62" w:lineRule="exact"/>
        <w:rPr>
          <w:sz w:val="20"/>
          <w:szCs w:val="20"/>
          <w:color w:val="auto"/>
        </w:rPr>
      </w:pPr>
    </w:p>
    <w:p>
      <w:pPr>
        <w:jc w:val="both"/>
        <w:ind w:firstLine="721"/>
        <w:spacing w:after="0" w:line="266" w:lineRule="auto"/>
        <w:tabs>
          <w:tab w:leader="none" w:pos="9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 __________________ to the Company in accordance with the terms of the Warrant.</w:t>
      </w:r>
    </w:p>
    <w:p>
      <w:pPr>
        <w:spacing w:after="0" w:line="175" w:lineRule="exact"/>
        <w:rPr>
          <w:rFonts w:ascii="Times New Roman" w:cs="Times New Roman" w:eastAsia="Times New Roman" w:hAnsi="Times New Roman"/>
          <w:sz w:val="18"/>
          <w:szCs w:val="18"/>
          <w:color w:val="auto"/>
        </w:rPr>
      </w:pPr>
    </w:p>
    <w:p>
      <w:pPr>
        <w:ind w:firstLine="721"/>
        <w:spacing w:after="0" w:line="282" w:lineRule="auto"/>
        <w:tabs>
          <w:tab w:leader="none" w:pos="9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The Company shall deliver to the holder ____________________________ Warrant Shares in accordance with the terms of the Warrant.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_________ Electronic Delivery</w:t>
            </w:r>
          </w:p>
        </w:tc>
        <w:tc>
          <w:tcPr>
            <w:tcW w:w="74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DTC Participant:</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24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DTC Number:</w:t>
            </w:r>
          </w:p>
        </w:tc>
        <w:tc>
          <w:tcPr>
            <w:tcW w:w="5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24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Account Name:</w:t>
            </w: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18"/>
                <w:szCs w:val="18"/>
                <w:color w:val="auto"/>
              </w:rPr>
            </w:pPr>
          </w:p>
        </w:tc>
        <w:tc>
          <w:tcPr>
            <w:tcW w:w="24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Account Number:</w:t>
            </w: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_________ Physical Delivery</w:t>
            </w:r>
          </w:p>
        </w:tc>
        <w:tc>
          <w:tcPr>
            <w:tcW w:w="74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1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______________ ____, _________</w:t>
            </w: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76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1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3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9184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3" w:name="page294"/>
    <w:bookmarkEnd w:id="2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606933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60693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60693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60"/>
        <w:spacing w:after="0"/>
        <w:tabs>
          <w:tab w:leader="none" w:pos="9800" w:val="left"/>
        </w:tabs>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u w:val="single" w:color="auto"/>
          <w:color w:val="auto"/>
        </w:rPr>
        <w:t> </w:t>
      </w:r>
      <w:r>
        <w:rPr>
          <w:sz w:val="20"/>
          <w:szCs w:val="20"/>
          <w:color w:val="auto"/>
        </w:rPr>
        <w:tab/>
      </w:r>
      <w:r>
        <w:rPr>
          <w:rFonts w:ascii="Times New Roman" w:cs="Times New Roman" w:eastAsia="Times New Roman" w:hAnsi="Times New Roman"/>
          <w:sz w:val="17"/>
          <w:szCs w:val="17"/>
          <w:color w:val="auto"/>
        </w:rPr>
        <w:t>, ______</w:t>
      </w:r>
    </w:p>
    <w:p>
      <w:pPr>
        <w:spacing w:after="0" w:line="2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17145</wp:posOffset>
            </wp:positionV>
            <wp:extent cx="186055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160020</wp:posOffset>
            </wp:positionV>
            <wp:extent cx="186055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86055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14605</wp:posOffset>
            </wp:positionV>
            <wp:extent cx="18605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86055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4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2024-1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1,909,500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October 16, 2023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Amendment and Restatement: January 30, 2024</w:t>
      </w:r>
    </w:p>
    <w:p>
      <w:pPr>
        <w:spacing w:after="0" w:line="20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CEOF Holdings LP,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1,909,500 duly authorized, validly issued, fully paid, nonassessable shares of Common Stock,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Amended and Restated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and to Section 7 of that certain Third Amended and Restated Fee Letter, dated October 10, 2023, among E La Carte, LLC, the Company and Metropolitan Partners Group Administration (the “</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Capitalized terms used herein and not otherwise defined shall have the definitions ascribed to such terms in the Credit Agreement (as defined in the Fee Letter). This Warrant amends, restates and supersedes in its entirety that certain Warrant for 381,900 shares of Common Stock issued by the Company to the Holder on October 16, 2023 (the “</w:t>
      </w:r>
      <w:r>
        <w:rPr>
          <w:rFonts w:ascii="Times New Roman" w:cs="Times New Roman" w:eastAsia="Times New Roman" w:hAnsi="Times New Roman"/>
          <w:sz w:val="18"/>
          <w:szCs w:val="18"/>
          <w:b w:val="1"/>
          <w:bCs w:val="1"/>
          <w:color w:val="auto"/>
        </w:rPr>
        <w:t>Original Warrant</w:t>
      </w:r>
      <w:r>
        <w:rPr>
          <w:rFonts w:ascii="Times New Roman" w:cs="Times New Roman" w:eastAsia="Times New Roman" w:hAnsi="Times New Roman"/>
          <w:sz w:val="18"/>
          <w:szCs w:val="18"/>
          <w:color w:val="auto"/>
        </w:rPr>
        <w:t>”) and that certain Warrant for 763,800 shares of Common Stock issued by the Company to the Holder on November 21, 2023 (the “November 2023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5" w:name="page296"/>
    <w:bookmarkEnd w:id="295"/>
    <w:p>
      <w:pPr>
        <w:ind w:left="1300"/>
        <w:spacing w:after="0"/>
        <w:rPr>
          <w:sz w:val="20"/>
          <w:szCs w:val="20"/>
          <w:color w:val="auto"/>
        </w:rPr>
      </w:pPr>
      <w:r>
        <w:rPr>
          <w:rFonts w:ascii="Times New Roman" w:cs="Times New Roman" w:eastAsia="Times New Roman" w:hAnsi="Times New Roman"/>
          <w:sz w:val="18"/>
          <w:szCs w:val="18"/>
          <w:color w:val="auto"/>
        </w:rPr>
        <w:t>1.             EXERCISE OF WARRANT.</w:t>
      </w:r>
    </w:p>
    <w:p>
      <w:pPr>
        <w:spacing w:after="0" w:line="225"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On or before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Trading Day following the date on which the Company has received the Exercise Notice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6" w:name="page297"/>
    <w:bookmarkEnd w:id="296"/>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$0.01, subject to adjustment as provided herein.</w:t>
      </w:r>
    </w:p>
    <w:p>
      <w:pPr>
        <w:spacing w:after="0" w:line="229"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7" w:name="page298"/>
    <w:bookmarkEnd w:id="297"/>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Cashless Exercise</w:t>
      </w:r>
      <w:r>
        <w:rPr>
          <w:rFonts w:ascii="Times New Roman" w:cs="Times New Roman" w:eastAsia="Times New Roman" w:hAnsi="Times New Roman"/>
          <w:sz w:val="18"/>
          <w:szCs w:val="18"/>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jc w:val="both"/>
        <w:ind w:left="1440" w:right="140"/>
        <w:spacing w:after="0" w:line="266" w:lineRule="auto"/>
        <w:rPr>
          <w:sz w:val="20"/>
          <w:szCs w:val="20"/>
          <w:color w:val="auto"/>
        </w:rPr>
      </w:pPr>
      <w:r>
        <w:rPr>
          <w:rFonts w:ascii="Times New Roman" w:cs="Times New Roman" w:eastAsia="Times New Roman" w:hAnsi="Times New Roman"/>
          <w:sz w:val="18"/>
          <w:szCs w:val="18"/>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7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8" w:name="page299"/>
    <w:bookmarkEnd w:id="298"/>
    <w:p>
      <w:pPr>
        <w:jc w:val="both"/>
        <w:ind w:firstLine="1944"/>
        <w:spacing w:after="0" w:line="267"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Limitations on Exercises</w:t>
      </w:r>
      <w:r>
        <w:rPr>
          <w:rFonts w:ascii="Times New Roman" w:cs="Times New Roman" w:eastAsia="Times New Roman" w:hAnsi="Times New Roman"/>
          <w:sz w:val="17"/>
          <w:szCs w:val="17"/>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7"/>
          <w:szCs w:val="17"/>
          <w:b w:val="1"/>
          <w:bCs w:val="1"/>
          <w:color w:val="auto"/>
        </w:rPr>
        <w:t>Reduction Shares</w:t>
      </w:r>
      <w:r>
        <w:rPr>
          <w:rFonts w:ascii="Times New Roman" w:cs="Times New Roman" w:eastAsia="Times New Roman" w:hAnsi="Times New Roman"/>
          <w:sz w:val="17"/>
          <w:szCs w:val="17"/>
          <w:color w:val="auto"/>
        </w:rPr>
        <w:t>”) and</w:t>
      </w:r>
    </w:p>
    <w:p>
      <w:pPr>
        <w:spacing w:after="0" w:line="203" w:lineRule="exact"/>
        <w:rPr>
          <w:sz w:val="20"/>
          <w:szCs w:val="20"/>
          <w:color w:val="auto"/>
        </w:rPr>
      </w:pPr>
    </w:p>
    <w:p>
      <w:pPr>
        <w:jc w:val="both"/>
        <w:ind w:firstLine="8"/>
        <w:spacing w:after="0" w:line="250" w:lineRule="auto"/>
        <w:tabs>
          <w:tab w:leader="none" w:pos="28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 w:cs="Times New Roman" w:eastAsia="Times New Roman" w:hAnsi="Times New Roman"/>
          <w:sz w:val="18"/>
          <w:szCs w:val="18"/>
          <w:b w:val="1"/>
          <w:bCs w:val="1"/>
          <w:color w:val="auto"/>
        </w:rPr>
        <w:t>Third Amendment Warrants</w:t>
      </w:r>
      <w:r>
        <w:rPr>
          <w:rFonts w:ascii="Times New Roman" w:cs="Times New Roman" w:eastAsia="Times New Roman" w:hAnsi="Times New Roman"/>
          <w:sz w:val="18"/>
          <w:szCs w:val="18"/>
          <w:color w:val="auto"/>
        </w:rPr>
        <w:t>”), together with the total number of shares of Common Stock issued pursuant to Section 4.11 of the stock purchase agreement, dated October 10, 2023 (the “</w:t>
      </w:r>
      <w:r>
        <w:rPr>
          <w:rFonts w:ascii="Times New Roman" w:cs="Times New Roman" w:eastAsia="Times New Roman" w:hAnsi="Times New Roman"/>
          <w:sz w:val="18"/>
          <w:szCs w:val="18"/>
          <w:b w:val="1"/>
          <w:bCs w:val="1"/>
          <w:color w:val="auto"/>
        </w:rPr>
        <w:t>Cleveland Avenue Purchase Agreement</w:t>
      </w:r>
      <w:r>
        <w:rPr>
          <w:rFonts w:ascii="Times New Roman" w:cs="Times New Roman" w:eastAsia="Times New Roman" w:hAnsi="Times New Roman"/>
          <w:sz w:val="18"/>
          <w:szCs w:val="18"/>
          <w:color w:val="auto"/>
        </w:rPr>
        <w:t>”), by and between the Company and Presto CA LLC (“</w:t>
      </w:r>
      <w:r>
        <w:rPr>
          <w:rFonts w:ascii="Times New Roman" w:cs="Times New Roman" w:eastAsia="Times New Roman" w:hAnsi="Times New Roman"/>
          <w:sz w:val="18"/>
          <w:szCs w:val="18"/>
          <w:b w:val="1"/>
          <w:bCs w:val="1"/>
          <w:color w:val="auto"/>
        </w:rPr>
        <w:t>Cleveland Avenue</w:t>
      </w:r>
      <w:r>
        <w:rPr>
          <w:rFonts w:ascii="Times New Roman" w:cs="Times New Roman" w:eastAsia="Times New Roman" w:hAnsi="Times New Roman"/>
          <w:sz w:val="18"/>
          <w:szCs w:val="18"/>
          <w:color w:val="auto"/>
        </w:rPr>
        <w:t>”), may not exceed the requirements of Nasdaq Listing Rule 5635(d)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19.99%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9" w:name="page300"/>
    <w:bookmarkEnd w:id="299"/>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and the failure to have such sufficient number of authorized and unreserved shares of Common Stock,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0" w:name="page301"/>
    <w:bookmarkEnd w:id="300"/>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ADJUSTMENT OF EXERCISE PRICE AND NUMBER OF WARRANT SHARES</w:t>
      </w:r>
      <w:r>
        <w:rPr>
          <w:rFonts w:ascii="Times New Roman" w:cs="Times New Roman" w:eastAsia="Times New Roman" w:hAnsi="Times New Roman"/>
          <w:sz w:val="18"/>
          <w:szCs w:val="18"/>
          <w:color w:val="auto"/>
        </w:rPr>
        <w:t>. The Exercise Price and the number of Warrant Shares issuable upon exercise of this Warrant are subject to adjustments from time to time as set forth in this Section 2.</w:t>
      </w:r>
    </w:p>
    <w:p>
      <w:pPr>
        <w:spacing w:after="0" w:line="162"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 Upon Subdivision or Combination of Shares of Common Stock</w:t>
      </w:r>
      <w:r>
        <w:rPr>
          <w:rFonts w:ascii="Times New Roman" w:cs="Times New Roman" w:eastAsia="Times New Roman" w:hAnsi="Times New Roman"/>
          <w:sz w:val="18"/>
          <w:szCs w:val="18"/>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190"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Adjustment Upon Issuance of Shares of Common Stock</w:t>
      </w:r>
      <w:r>
        <w:rPr>
          <w:rFonts w:ascii="Times New Roman" w:cs="Times New Roman" w:eastAsia="Times New Roman" w:hAnsi="Times New Roman"/>
          <w:sz w:val="18"/>
          <w:szCs w:val="18"/>
          <w:color w:val="auto"/>
        </w:rPr>
        <w:t>. If and whenever on or after the Issuance Date but prior to April 1, 2024 (the “</w:t>
      </w:r>
      <w:r>
        <w:rPr>
          <w:rFonts w:ascii="Times New Roman" w:cs="Times New Roman" w:eastAsia="Times New Roman" w:hAnsi="Times New Roman"/>
          <w:sz w:val="18"/>
          <w:szCs w:val="18"/>
          <w:b w:val="1"/>
          <w:bCs w:val="1"/>
          <w:color w:val="auto"/>
        </w:rPr>
        <w:t>Anti-Dilution Period</w:t>
      </w:r>
      <w:r>
        <w:rPr>
          <w:rFonts w:ascii="Times New Roman" w:cs="Times New Roman" w:eastAsia="Times New Roman" w:hAnsi="Times New Roman"/>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$0.40 per share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and the foregoing a “</w:t>
      </w:r>
      <w:r>
        <w:rPr>
          <w:rFonts w:ascii="Times New Roman" w:cs="Times New Roman" w:eastAsia="Times New Roman" w:hAnsi="Times New Roman"/>
          <w:sz w:val="18"/>
          <w:szCs w:val="18"/>
          <w:b w:val="1"/>
          <w:bCs w:val="1"/>
          <w:color w:val="auto"/>
        </w:rPr>
        <w:t>Dilutive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w:t>
      </w:r>
      <w:r>
        <w:rPr>
          <w:rFonts w:ascii="Times New Roman" w:cs="Times New Roman" w:eastAsia="Times New Roman" w:hAnsi="Times New Roman"/>
          <w:sz w:val="18"/>
          <w:szCs w:val="18"/>
          <w:color w:val="auto"/>
        </w:rPr>
        <w:t>”), then immediately after such Dilutive Issuance, the number of Warrant Shares shall be increased to an amount equal to (x)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prior to such Dilutive Issuance, multiplied by (y) the quotient of the Applicable Price divided by the New Issuance Price. The Company and Holder acknowledge and agree that the Original Warrant had an Applicable Price of $2.00 per share, the November 2023 Warrant had an Applicable Price of $1.00 per share, and the amendment and restatement is as of a result of a Dilutive Issuance with a $0.40 per share New Issuance Price. For all purposes of the foregoing (including, without limitation, determining the adjusted number of Warrant Shares and the New Issuance Price under this Section 2(b)), the following shall be applicable:</w:t>
      </w:r>
    </w:p>
    <w:p>
      <w:pPr>
        <w:spacing w:after="0" w:line="194" w:lineRule="exact"/>
        <w:rPr>
          <w:sz w:val="20"/>
          <w:szCs w:val="20"/>
          <w:color w:val="auto"/>
        </w:rPr>
      </w:pPr>
    </w:p>
    <w:p>
      <w:pPr>
        <w:jc w:val="both"/>
        <w:ind w:firstLine="2268"/>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Issuance of Options</w:t>
      </w:r>
      <w:r>
        <w:rPr>
          <w:rFonts w:ascii="Times New Roman" w:cs="Times New Roman" w:eastAsia="Times New Roman" w:hAnsi="Times New Roman"/>
          <w:sz w:val="18"/>
          <w:szCs w:val="18"/>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1" w:name="page302"/>
    <w:bookmarkEnd w:id="301"/>
    <w:p>
      <w:pPr>
        <w:jc w:val="both"/>
        <w:ind w:firstLine="2268"/>
        <w:spacing w:after="0" w:line="25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195" w:lineRule="exact"/>
        <w:rPr>
          <w:sz w:val="20"/>
          <w:szCs w:val="20"/>
          <w:color w:val="auto"/>
        </w:rPr>
      </w:pPr>
    </w:p>
    <w:p>
      <w:pPr>
        <w:jc w:val="both"/>
        <w:ind w:firstLine="2268"/>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jc w:val="both"/>
        <w:ind w:firstLine="2268"/>
        <w:spacing w:after="0" w:line="251"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and together with the Primary Security,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“Valuation Event”), the fair value of such consideration will be determined within five Trading Days after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jc w:val="both"/>
        <w:ind w:firstLine="2268"/>
        <w:spacing w:after="0" w:line="258"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3" w:name="page304"/>
    <w:bookmarkEnd w:id="303"/>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Voluntary Adjustment by Company</w:t>
      </w:r>
      <w:r>
        <w:rPr>
          <w:rFonts w:ascii="Times New Roman" w:cs="Times New Roman" w:eastAsia="Times New Roman" w:hAnsi="Times New Roman"/>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PURCHASE RIGHTS; FUNDAMENTAL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Rights</w:t>
      </w:r>
      <w:r>
        <w:rPr>
          <w:rFonts w:ascii="Times New Roman" w:cs="Times New Roman" w:eastAsia="Times New Roman" w:hAnsi="Times New Roman"/>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4" w:name="page305"/>
    <w:bookmarkEnd w:id="304"/>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Fundamental Transactions</w:t>
      </w:r>
      <w:r>
        <w:rPr>
          <w:rFonts w:ascii="Times New Roman" w:cs="Times New Roman" w:eastAsia="Times New Roman" w:hAnsi="Times New Roman"/>
          <w:sz w:val="18"/>
          <w:szCs w:val="18"/>
          <w:color w:val="auto"/>
        </w:rPr>
        <w:t>. The Company shall not enter into or be party to a Fundamental Transaction unless:</w:t>
      </w:r>
    </w:p>
    <w:p>
      <w:pPr>
        <w:spacing w:after="0" w:line="225" w:lineRule="exact"/>
        <w:rPr>
          <w:sz w:val="20"/>
          <w:szCs w:val="20"/>
          <w:color w:val="auto"/>
        </w:rPr>
      </w:pPr>
    </w:p>
    <w:p>
      <w:pPr>
        <w:jc w:val="both"/>
        <w:ind w:firstLine="2592"/>
        <w:spacing w:after="0" w:line="256" w:lineRule="auto"/>
        <w:rPr>
          <w:sz w:val="20"/>
          <w:szCs w:val="20"/>
          <w:color w:val="auto"/>
        </w:rPr>
      </w:pPr>
      <w:r>
        <w:rPr>
          <w:rFonts w:ascii="Times New Roman" w:cs="Times New Roman" w:eastAsia="Times New Roman" w:hAnsi="Times New Roman"/>
          <w:sz w:val="18"/>
          <w:szCs w:val="18"/>
          <w:color w:val="auto"/>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87" w:lineRule="exact"/>
        <w:rPr>
          <w:sz w:val="20"/>
          <w:szCs w:val="20"/>
          <w:color w:val="auto"/>
        </w:rPr>
      </w:pPr>
    </w:p>
    <w:p>
      <w:pPr>
        <w:jc w:val="both"/>
        <w:ind w:firstLine="2592"/>
        <w:spacing w:after="0" w:line="251" w:lineRule="auto"/>
        <w:rPr>
          <w:sz w:val="20"/>
          <w:szCs w:val="20"/>
          <w:color w:val="auto"/>
        </w:rPr>
      </w:pPr>
      <w:r>
        <w:rPr>
          <w:rFonts w:ascii="Times New Roman" w:cs="Times New Roman" w:eastAsia="Times New Roman" w:hAnsi="Times New Roman"/>
          <w:sz w:val="18"/>
          <w:szCs w:val="18"/>
          <w:color w:val="auto"/>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 w:cs="Times New Roman" w:eastAsia="Times New Roman" w:hAnsi="Times New Roman"/>
          <w:sz w:val="18"/>
          <w:szCs w:val="18"/>
          <w:b w:val="1"/>
          <w:bCs w:val="1"/>
          <w:color w:val="auto"/>
        </w:rPr>
        <w:t>Public Fundamental Transaction</w:t>
      </w:r>
      <w:r>
        <w:rPr>
          <w:rFonts w:ascii="Times New Roman" w:cs="Times New Roman" w:eastAsia="Times New Roman" w:hAnsi="Times New Roman"/>
          <w:sz w:val="18"/>
          <w:szCs w:val="18"/>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5" w:name="page306"/>
    <w:bookmarkEnd w:id="305"/>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Holder Optional Redemptions</w:t>
      </w:r>
      <w:r>
        <w:rPr>
          <w:rFonts w:ascii="Times New Roman" w:cs="Times New Roman" w:eastAsia="Times New Roman" w:hAnsi="Times New Roman"/>
          <w:sz w:val="18"/>
          <w:szCs w:val="18"/>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9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 REISSUANCE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 of Warrant</w:t>
      </w:r>
      <w:r>
        <w:rPr>
          <w:rFonts w:ascii="Times New Roman" w:cs="Times New Roman" w:eastAsia="Times New Roman" w:hAnsi="Times New Roman"/>
          <w:sz w:val="18"/>
          <w:szCs w:val="18"/>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9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Exchangeable for Multiple Warrants</w:t>
      </w:r>
      <w:r>
        <w:rPr>
          <w:rFonts w:ascii="Times New Roman" w:cs="Times New Roman" w:eastAsia="Times New Roman" w:hAnsi="Times New Roman"/>
          <w:sz w:val="18"/>
          <w:szCs w:val="18"/>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warrants for fractional shares of Common Stock shall be given.</w:t>
      </w:r>
    </w:p>
    <w:p>
      <w:pPr>
        <w:spacing w:after="0" w:line="183"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7" w:name="page308"/>
    <w:bookmarkEnd w:id="307"/>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NOTICES OF CHANGES IN WARRANT</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8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83"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AND THE HOLDER EACH</w:t>
      </w:r>
    </w:p>
    <w:p>
      <w:pPr>
        <w:spacing w:after="0" w:line="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CONSTRUCTION; HEADINGS; BUSINESS DAYS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8" w:name="page309"/>
    <w:bookmarkEnd w:id="308"/>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spacing w:after="0" w:line="18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9"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9" w:name="page310"/>
    <w:bookmarkEnd w:id="309"/>
    <w:p>
      <w:pPr>
        <w:ind w:left="1380"/>
        <w:spacing w:after="0"/>
        <w:rPr>
          <w:sz w:val="20"/>
          <w:szCs w:val="20"/>
          <w:color w:val="auto"/>
        </w:rPr>
      </w:pPr>
      <w:r>
        <w:rPr>
          <w:rFonts w:ascii="Times New Roman" w:cs="Times New Roman" w:eastAsia="Times New Roman" w:hAnsi="Times New Roman"/>
          <w:sz w:val="17"/>
          <w:szCs w:val="17"/>
          <w:color w:val="auto"/>
        </w:rPr>
        <w:t xml:space="preserve">16.            </w:t>
      </w:r>
      <w:r>
        <w:rPr>
          <w:rFonts w:ascii="Times New Roman" w:cs="Times New Roman" w:eastAsia="Times New Roman" w:hAnsi="Times New Roman"/>
          <w:sz w:val="17"/>
          <w:szCs w:val="17"/>
          <w:u w:val="single" w:color="auto"/>
          <w:color w:val="auto"/>
        </w:rPr>
        <w:t>NO DISCLOSURE</w:t>
      </w:r>
      <w:r>
        <w:rPr>
          <w:rFonts w:ascii="Times New Roman" w:cs="Times New Roman" w:eastAsia="Times New Roman" w:hAnsi="Times New Roman"/>
          <w:sz w:val="17"/>
          <w:szCs w:val="17"/>
          <w:color w:val="auto"/>
        </w:rPr>
        <w:t>. The Company shall not provide material, non-public information or confidential or proprietary information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Holder without such Holder’s written consent.</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REPRESENTATIONS OF HOLDERS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80" w:firstLine="1944"/>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Investment Intent</w:t>
      </w:r>
      <w:r>
        <w:rPr>
          <w:rFonts w:ascii="Times New Roman" w:cs="Times New Roman" w:eastAsia="Times New Roman" w:hAnsi="Times New Roman"/>
          <w:sz w:val="18"/>
          <w:szCs w:val="18"/>
          <w:color w:val="auto"/>
        </w:rPr>
        <w:t>. Each Holder represents and warrants that it is acquiring this Warrant and the Warrant Shares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76" w:lineRule="exact"/>
        <w:rPr>
          <w:sz w:val="20"/>
          <w:szCs w:val="20"/>
          <w:color w:val="auto"/>
        </w:rPr>
      </w:pPr>
    </w:p>
    <w:p>
      <w:pPr>
        <w:jc w:val="both"/>
        <w:ind w:left="80" w:firstLine="1944"/>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Unregistered Securities</w:t>
      </w:r>
      <w:r>
        <w:rPr>
          <w:rFonts w:ascii="Times New Roman" w:cs="Times New Roman" w:eastAsia="Times New Roman" w:hAnsi="Times New Roman"/>
          <w:sz w:val="18"/>
          <w:szCs w:val="18"/>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76" w:lineRule="exact"/>
        <w:rPr>
          <w:sz w:val="20"/>
          <w:szCs w:val="20"/>
          <w:color w:val="auto"/>
        </w:rPr>
      </w:pPr>
    </w:p>
    <w:p>
      <w:pPr>
        <w:jc w:val="both"/>
        <w:ind w:left="80" w:firstLine="1944"/>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Reliance</w:t>
      </w:r>
      <w:r>
        <w:rPr>
          <w:rFonts w:ascii="Times New Roman" w:cs="Times New Roman" w:eastAsia="Times New Roman" w:hAnsi="Times New Roman"/>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Accredited Investor</w:t>
      </w:r>
      <w:r>
        <w:rPr>
          <w:rFonts w:ascii="Times New Roman" w:cs="Times New Roman" w:eastAsia="Times New Roman" w:hAnsi="Times New Roman"/>
          <w:sz w:val="18"/>
          <w:szCs w:val="18"/>
          <w:color w:val="auto"/>
        </w:rPr>
        <w:t>. Each Holder represents and warrants that it is an “accredited investor” as defined in Rule 501(a)</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under the Securities Act.</w:t>
      </w:r>
    </w:p>
    <w:p>
      <w:pPr>
        <w:spacing w:after="0" w:line="207" w:lineRule="exact"/>
        <w:rPr>
          <w:sz w:val="20"/>
          <w:szCs w:val="20"/>
          <w:color w:val="auto"/>
        </w:rPr>
      </w:pPr>
    </w:p>
    <w:p>
      <w:pPr>
        <w:jc w:val="both"/>
        <w:ind w:left="80" w:firstLine="1944"/>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Sophisticated Investor</w:t>
      </w:r>
      <w:r>
        <w:rPr>
          <w:rFonts w:ascii="Times New Roman" w:cs="Times New Roman" w:eastAsia="Times New Roman" w:hAnsi="Times New Roman"/>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6" w:lineRule="exact"/>
        <w:rPr>
          <w:sz w:val="20"/>
          <w:szCs w:val="20"/>
          <w:color w:val="auto"/>
        </w:rPr>
      </w:pPr>
    </w:p>
    <w:p>
      <w:pPr>
        <w:jc w:val="both"/>
        <w:ind w:left="80" w:firstLine="1944"/>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Restricted Securities</w:t>
      </w:r>
      <w:r>
        <w:rPr>
          <w:rFonts w:ascii="Times New Roman" w:cs="Times New Roman" w:eastAsia="Times New Roman" w:hAnsi="Times New Roman"/>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6" w:lineRule="exact"/>
        <w:rPr>
          <w:sz w:val="20"/>
          <w:szCs w:val="20"/>
          <w:color w:val="auto"/>
        </w:rPr>
      </w:pPr>
    </w:p>
    <w:p>
      <w:pPr>
        <w:jc w:val="both"/>
        <w:ind w:left="80" w:firstLine="1944"/>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Information</w:t>
      </w:r>
      <w:r>
        <w:rPr>
          <w:rFonts w:ascii="Times New Roman" w:cs="Times New Roman" w:eastAsia="Times New Roman" w:hAnsi="Times New Roman"/>
          <w:sz w:val="18"/>
          <w:szCs w:val="18"/>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8" w:lineRule="exact"/>
        <w:rPr>
          <w:sz w:val="20"/>
          <w:szCs w:val="20"/>
          <w:color w:val="auto"/>
        </w:rPr>
      </w:pPr>
    </w:p>
    <w:p>
      <w:pPr>
        <w:jc w:val="both"/>
        <w:ind w:left="80" w:firstLine="1944"/>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Non-Reliance</w:t>
      </w:r>
      <w:r>
        <w:rPr>
          <w:rFonts w:ascii="Times New Roman" w:cs="Times New Roman" w:eastAsia="Times New Roman" w:hAnsi="Times New Roman"/>
          <w:sz w:val="18"/>
          <w:szCs w:val="18"/>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17145</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310" w:name="page311"/>
    <w:bookmarkEnd w:id="310"/>
    <w:p>
      <w:pPr>
        <w:ind w:right="20" w:firstLine="1304"/>
        <w:spacing w:after="0" w:line="282" w:lineRule="auto"/>
        <w:tabs>
          <w:tab w:leader="none" w:pos="156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REPRESENTATIONS OF THE COMPANY</w:t>
      </w:r>
      <w:r>
        <w:rPr>
          <w:rFonts w:ascii="Times New Roman" w:cs="Times New Roman" w:eastAsia="Times New Roman" w:hAnsi="Times New Roman"/>
          <w:sz w:val="18"/>
          <w:szCs w:val="18"/>
          <w:color w:val="auto"/>
        </w:rPr>
        <w:t>. The Company represents and warrants to the Holder that, except as set forth in the SEC Reports (as defined below):</w:t>
      </w:r>
    </w:p>
    <w:p>
      <w:pPr>
        <w:spacing w:after="0" w:line="162"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94"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has not been issued in violation of any preemptive rights created under the Company’s organizational documents or the laws of the State of Delaware.</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1" w:name="page312"/>
    <w:bookmarkEnd w:id="311"/>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3" w:lineRule="exact"/>
        <w:rPr>
          <w:sz w:val="20"/>
          <w:szCs w:val="20"/>
          <w:color w:val="auto"/>
        </w:rPr>
      </w:pPr>
    </w:p>
    <w:p>
      <w:pPr>
        <w:ind w:right="20" w:firstLine="8"/>
        <w:spacing w:after="0" w:line="260" w:lineRule="auto"/>
        <w:tabs>
          <w:tab w:leader="none" w:pos="3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181"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i w:val="1"/>
          <w:iCs w:val="1"/>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 w:cs="Times New Roman" w:eastAsia="Times New Roman" w:hAnsi="Times New Roman"/>
          <w:sz w:val="18"/>
          <w:szCs w:val="18"/>
          <w:b w:val="1"/>
          <w:bCs w:val="1"/>
          <w:color w:val="auto"/>
        </w:rPr>
        <w:t>2023 Form 10-K</w:t>
      </w:r>
      <w:r>
        <w:rPr>
          <w:rFonts w:ascii="Times New Roman" w:cs="Times New Roman" w:eastAsia="Times New Roman" w:hAnsi="Times New Roman"/>
          <w:sz w:val="18"/>
          <w:szCs w:val="18"/>
          <w:color w:val="auto"/>
        </w:rPr>
        <w:t>”)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i w:val="1"/>
          <w:iCs w:val="1"/>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83"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2" w:name="page313"/>
    <w:bookmarkEnd w:id="312"/>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auto"/>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0"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71" w:lineRule="exact"/>
        <w:rPr>
          <w:sz w:val="20"/>
          <w:szCs w:val="20"/>
          <w:color w:val="auto"/>
        </w:rPr>
      </w:pPr>
    </w:p>
    <w:p>
      <w:pPr>
        <w:jc w:val="both"/>
        <w:ind w:firstLine="1944"/>
        <w:spacing w:after="0" w:line="275"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b w:val="1"/>
          <w:bCs w:val="1"/>
          <w:color w:val="auto"/>
        </w:rPr>
        <w:t>Attribution Parties</w:t>
      </w:r>
      <w:r>
        <w:rPr>
          <w:rFonts w:ascii="Times New Roman" w:cs="Times New Roman" w:eastAsia="Times New Roman" w:hAnsi="Times New Roman"/>
          <w:sz w:val="17"/>
          <w:szCs w:val="17"/>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Black Scholes Going Private Value</w:t>
      </w:r>
      <w:r>
        <w:rPr>
          <w:rFonts w:ascii="Times New Roman" w:cs="Times New Roman" w:eastAsia="Times New Roman" w:hAnsi="Times New Roman"/>
          <w:sz w:val="18"/>
          <w:szCs w:val="18"/>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4" w:name="page315"/>
    <w:bookmarkEnd w:id="314"/>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55"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5"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Nasdaq Capital Market, The Nasdaq Global Select Market, The Nasdaq Global Market, the NYSE American, or The New York Stock Exchange.</w:t>
      </w:r>
    </w:p>
    <w:p>
      <w:pPr>
        <w:spacing w:after="0" w:line="15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 w:cs="Times New Roman" w:eastAsia="Times New Roman" w:hAnsi="Times New Roman"/>
          <w:sz w:val="18"/>
          <w:szCs w:val="18"/>
          <w:b w:val="1"/>
          <w:bCs w:val="1"/>
          <w:color w:val="auto"/>
        </w:rPr>
        <w:t>Metropolitan Entities</w:t>
      </w:r>
      <w:r>
        <w:rPr>
          <w:rFonts w:ascii="Times New Roman" w:cs="Times New Roman" w:eastAsia="Times New Roman" w:hAnsi="Times New Roman"/>
          <w:sz w:val="18"/>
          <w:szCs w:val="18"/>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this Warrant and any other warrant issued to the Metropolitan Entities in connection with the Third Amendment and (F) any warrant issued to the Metropolitan Entities in connection with the Forbearance and Fourth Amendment to Credit Agreement, dated as of January 22, 2024, by and among the Company, Metropolitan Partners Group Administration, LLC, a Delaware limited liability corporation, in its capacity as administrative agent and collateral agent under the Credit Agreement, and the Metropolitan Entities.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15" w:name="page316"/>
    <w:bookmarkEnd w:id="315"/>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55"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6" w:name="page317"/>
    <w:bookmarkEnd w:id="316"/>
    <w:p>
      <w:pPr>
        <w:ind w:left="19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3"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9"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OTC Bulletin Board or any other Eligible Market, or any national securities exchange, market or trading or quotation facility on which the Common Stock is then listed or quoted.</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w:t>
      </w:r>
    </w:p>
    <w:p>
      <w:pPr>
        <w:spacing w:after="0" w:line="203"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1"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7" w:name="page318"/>
    <w:bookmarkEnd w:id="317"/>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8" w:name="page319"/>
    <w:bookmarkEnd w:id="318"/>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Amended and Restated Warrant to Purchase Common Stock to be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as of the Issuance Date set out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9" w:name="page320"/>
    <w:bookmarkEnd w:id="319"/>
    <w:p>
      <w:pPr>
        <w:ind w:left="102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 of the shares 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Presto</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Amended and Restated Warrant to Purchase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840" w:hanging="184"/>
        <w:spacing w:after="0"/>
        <w:tabs>
          <w:tab w:leader="none" w:pos="8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Exercise Price. The Holder intends that payment of the Exercise Price shall be made as: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_________________ Warrant Shares; and/or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 Warrant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62" w:lineRule="exact"/>
        <w:rPr>
          <w:sz w:val="20"/>
          <w:szCs w:val="20"/>
          <w:color w:val="auto"/>
        </w:rPr>
      </w:pPr>
    </w:p>
    <w:p>
      <w:pPr>
        <w:jc w:val="both"/>
        <w:ind w:firstLine="656"/>
        <w:spacing w:after="0" w:line="266" w:lineRule="auto"/>
        <w:tabs>
          <w:tab w:leader="none" w:pos="8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 to the Company in accordance with the terms of the Warrant.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The Company shall deliver to the holder ____________________ Warrant Shares in accordance with the terms of the Warrant.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__________ Electronic Delivery</w:t>
            </w:r>
          </w:p>
        </w:tc>
        <w:tc>
          <w:tcPr>
            <w:tcW w:w="724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DTC Participant:</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35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DTC Number:</w:t>
            </w:r>
          </w:p>
        </w:tc>
        <w:tc>
          <w:tcPr>
            <w:tcW w:w="37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35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Account Name:</w:t>
            </w: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35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Account Number:</w:t>
            </w: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__________ Physical Delivery</w:t>
            </w:r>
          </w:p>
        </w:tc>
        <w:tc>
          <w:tcPr>
            <w:tcW w:w="724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1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Date:__________ ___, ______</w:t>
            </w:r>
          </w:p>
        </w:tc>
        <w:tc>
          <w:tcPr>
            <w:tcW w:w="1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7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40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16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40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2" w:name="page323"/>
    <w:bookmarkEnd w:id="3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 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308610</wp:posOffset>
            </wp:positionV>
            <wp:extent cx="55721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57212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163195</wp:posOffset>
            </wp:positionV>
            <wp:extent cx="55721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57212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17145</wp:posOffset>
            </wp:positionV>
            <wp:extent cx="55721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Dated:____________________, _____</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21342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160020</wp:posOffset>
            </wp:positionV>
            <wp:extent cx="21342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3423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14605</wp:posOffset>
            </wp:positionV>
            <wp:extent cx="21342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1)"/>
      <w:numFmt w:val="decimal"/>
      <w:start w:val="1"/>
    </w:lvl>
  </w:abstractNum>
  <w:abstractNum w:abstractNumId="2">
    <w:nsid w:val="1D4ED43B"/>
    <w:multiLevelType w:val="hybridMultilevel"/>
    <w:lvl w:ilvl="0">
      <w:lvlJc w:val="left"/>
      <w:lvlText w:val="(%1)"/>
      <w:numFmt w:val="lowerLetter"/>
      <w:start w:val="2"/>
    </w:lvl>
    <w:lvl w:ilvl="1">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decimal"/>
      <w:start w:val="104"/>
    </w:lvl>
  </w:abstractNum>
  <w:abstractNum w:abstractNumId="5">
    <w:nsid w:val="57E4CCAF"/>
    <w:multiLevelType w:val="hybridMultilevel"/>
    <w:lvl w:ilvl="0">
      <w:lvlJc w:val="left"/>
      <w:lvlText w:val="(%1)"/>
      <w:numFmt w:val="upperLetter"/>
      <w:start w:val="1"/>
    </w:lvl>
  </w:abstractNum>
  <w:abstractNum w:abstractNumId="6">
    <w:nsid w:val="7A6D8D3C"/>
    <w:multiLevelType w:val="hybridMultilevel"/>
    <w:lvl w:ilvl="0">
      <w:lvlJc w:val="left"/>
      <w:lvlText w:val="(%1)"/>
      <w:numFmt w:val="upperLetter"/>
      <w:start w:val="9"/>
    </w:lvl>
  </w:abstractNum>
  <w:abstractNum w:abstractNumId="7">
    <w:nsid w:val="4B588F54"/>
    <w:multiLevelType w:val="hybridMultilevel"/>
    <w:lvl w:ilvl="0">
      <w:lvlJc w:val="left"/>
      <w:lvlText w:val="(%1)"/>
      <w:numFmt w:val="lowerRoman"/>
      <w:start w:val="3"/>
    </w:lvl>
  </w:abstractNum>
  <w:abstractNum w:abstractNumId="8">
    <w:nsid w:val="542289EC"/>
    <w:multiLevelType w:val="hybridMultilevel"/>
    <w:lvl w:ilvl="0">
      <w:lvlJc w:val="left"/>
      <w:lvlText w:val="1"/>
      <w:numFmt w:val="bullet"/>
      <w:start w:val="1"/>
    </w:lvl>
  </w:abstractNum>
  <w:abstractNum w:abstractNumId="9">
    <w:nsid w:val="6DE91B18"/>
    <w:multiLevelType w:val="hybridMultilevel"/>
    <w:lvl w:ilvl="0">
      <w:lvlJc w:val="left"/>
      <w:lvlText w:val="(%1)"/>
      <w:numFmt w:val="lowerRoman"/>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1)"/>
      <w:numFmt w:val="lowerRoman"/>
      <w:start w:val="1"/>
    </w:lvl>
  </w:abstractNum>
  <w:abstractNum w:abstractNumId="12">
    <w:nsid w:val="32FFF902"/>
    <w:multiLevelType w:val="hybridMultilevel"/>
    <w:lvl w:ilvl="0">
      <w:lvlJc w:val="left"/>
      <w:lvlText w:val="(%1)"/>
      <w:numFmt w:val="lowerRoman"/>
      <w:start w:val="3"/>
    </w:lvl>
  </w:abstractNum>
  <w:abstractNum w:abstractNumId="13">
    <w:nsid w:val="684A481A"/>
    <w:multiLevelType w:val="hybridMultilevel"/>
    <w:lvl w:ilvl="0">
      <w:lvlJc w:val="left"/>
      <w:lvlText w:val="(%1)"/>
      <w:numFmt w:val="lowerRoman"/>
      <w:start w:val="2"/>
    </w:lvl>
  </w:abstractNum>
  <w:abstractNum w:abstractNumId="14">
    <w:nsid w:val="579478FE"/>
    <w:multiLevelType w:val="hybridMultilevel"/>
    <w:lvl w:ilvl="0">
      <w:lvlJc w:val="left"/>
      <w:lvlText w:val="(%1)"/>
      <w:numFmt w:val="lowerLetter"/>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2"/>
    </w:lvl>
  </w:abstractNum>
  <w:abstractNum w:abstractNumId="17">
    <w:nsid w:val="1BA026FA"/>
    <w:multiLevelType w:val="hybridMultilevel"/>
    <w:lvl w:ilvl="0">
      <w:lvlJc w:val="left"/>
      <w:lvlText w:val="(%1)"/>
      <w:numFmt w:val="decimal"/>
      <w:start w:val="2"/>
    </w:lvl>
  </w:abstractNum>
  <w:abstractNum w:abstractNumId="18">
    <w:nsid w:val="79A1DEAA"/>
    <w:multiLevelType w:val="hybridMultilevel"/>
    <w:lvl w:ilvl="0">
      <w:lvlJc w:val="left"/>
      <w:lvlText w:val="(%1)"/>
      <w:numFmt w:val="lowerRoman"/>
      <w:start w:val="3"/>
    </w:lvl>
  </w:abstractNum>
  <w:abstractNum w:abstractNumId="19">
    <w:nsid w:val="75C6C33A"/>
    <w:multiLevelType w:val="hybridMultilevel"/>
    <w:lvl w:ilvl="0">
      <w:lvlJc w:val="left"/>
      <w:lvlText w:val="(%1)"/>
      <w:numFmt w:val="lowerRoman"/>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1."/>
      <w:numFmt w:val="decimal"/>
      <w:start w:val="1"/>
    </w:lvl>
    <w:lvl w:ilvl="1">
      <w:lvlJc w:val="left"/>
      <w:lvlText w:val="(%2)"/>
      <w:numFmt w:val="lowerLetter"/>
      <w:start w:val="1"/>
    </w:lvl>
  </w:abstractNum>
  <w:abstractNum w:abstractNumId="22">
    <w:nsid w:val="520EEDD1"/>
    <w:multiLevelType w:val="hybridMultilevel"/>
    <w:lvl w:ilvl="0">
      <w:lvlJc w:val="left"/>
      <w:lvlText w:val="%1."/>
      <w:numFmt w:val="decimal"/>
      <w:start w:val="3"/>
    </w:lvl>
    <w:lvl w:ilvl="1">
      <w:lvlJc w:val="left"/>
      <w:lvlText w:val="(%2)"/>
      <w:numFmt w:val="lowerLetter"/>
      <w:start w:val="1"/>
    </w:lvl>
  </w:abstractNum>
  <w:abstractNum w:abstractNumId="23">
    <w:nsid w:val="374A3FE6"/>
    <w:multiLevelType w:val="hybridMultilevel"/>
    <w:lvl w:ilvl="0">
      <w:lvlJc w:val="left"/>
      <w:lvlText w:val="(%1)"/>
      <w:numFmt w:val="lowerLetter"/>
      <w:start w:val="2"/>
    </w:lvl>
  </w:abstractNum>
  <w:abstractNum w:abstractNumId="24">
    <w:nsid w:val="4F4EF005"/>
    <w:multiLevelType w:val="hybridMultilevel"/>
    <w:lvl w:ilvl="0">
      <w:lvlJc w:val="left"/>
      <w:lvlText w:val="(%1)"/>
      <w:numFmt w:val="lowerLetter"/>
      <w:start w:val="3"/>
    </w:lvl>
  </w:abstractNum>
  <w:abstractNum w:abstractNumId="25">
    <w:nsid w:val="23F9C13C"/>
    <w:multiLevelType w:val="hybridMultilevel"/>
    <w:lvl w:ilvl="0">
      <w:lvlJc w:val="left"/>
      <w:lvlText w:val="(%1)"/>
      <w:numFmt w:val="lowerLetter"/>
      <w:start w:val="4"/>
    </w:lvl>
  </w:abstractNum>
  <w:abstractNum w:abstractNumId="26">
    <w:nsid w:val="649BB77C"/>
    <w:multiLevelType w:val="hybridMultilevel"/>
    <w:lvl w:ilvl="0">
      <w:lvlJc w:val="left"/>
      <w:lvlText w:val="%1."/>
      <w:numFmt w:val="decimal"/>
      <w:start w:val="4"/>
    </w:lvl>
    <w:lvl w:ilvl="1">
      <w:lvlJc w:val="left"/>
      <w:lvlText w:val="(%2)"/>
      <w:numFmt w:val="lowerLetter"/>
      <w:start w:val="1"/>
    </w:lvl>
  </w:abstractNum>
  <w:abstractNum w:abstractNumId="27">
    <w:nsid w:val="275AC794"/>
    <w:multiLevelType w:val="hybridMultilevel"/>
    <w:lvl w:ilvl="0">
      <w:lvlJc w:val="left"/>
      <w:lvlText w:val="(%1)"/>
      <w:numFmt w:val="lowerRoman"/>
      <w:start w:val="4"/>
    </w:lvl>
  </w:abstractNum>
  <w:abstractNum w:abstractNumId="28">
    <w:nsid w:val="39386575"/>
    <w:multiLevelType w:val="hybridMultilevel"/>
    <w:lvl w:ilvl="0">
      <w:lvlJc w:val="left"/>
      <w:lvlText w:val="(%1)"/>
      <w:numFmt w:val="lowerRoman"/>
      <w:start w:val="1"/>
    </w:lvl>
  </w:abstractNum>
  <w:abstractNum w:abstractNumId="29">
    <w:nsid w:val="1CF10FD8"/>
    <w:multiLevelType w:val="hybridMultilevel"/>
    <w:lvl w:ilvl="0">
      <w:lvlJc w:val="left"/>
      <w:lvlText w:val="(%1)"/>
      <w:numFmt w:val="lowerRoman"/>
      <w:start w:val="3"/>
    </w:lvl>
  </w:abstractNum>
  <w:abstractNum w:abstractNumId="30">
    <w:nsid w:val="180115BE"/>
    <w:multiLevelType w:val="hybridMultilevel"/>
    <w:lvl w:ilvl="0">
      <w:lvlJc w:val="left"/>
      <w:lvlText w:val="(%1)"/>
      <w:numFmt w:val="lowerLetter"/>
      <w:start w:val="1"/>
    </w:lvl>
  </w:abstractNum>
  <w:abstractNum w:abstractNumId="31">
    <w:nsid w:val="235BA861"/>
    <w:multiLevelType w:val="hybridMultilevel"/>
    <w:lvl w:ilvl="0">
      <w:lvlJc w:val="left"/>
      <w:lvlText w:val="(%1)"/>
      <w:numFmt w:val="lowerRoman"/>
      <w:start w:val="2"/>
    </w:lvl>
  </w:abstractNum>
  <w:abstractNum w:abstractNumId="32">
    <w:nsid w:val="47398C89"/>
    <w:multiLevelType w:val="hybridMultilevel"/>
    <w:lvl w:ilvl="0">
      <w:lvlJc w:val="left"/>
      <w:lvlText w:val="(%1)"/>
      <w:numFmt w:val="decimal"/>
      <w:start w:val="5"/>
    </w:lvl>
  </w:abstractNum>
  <w:abstractNum w:abstractNumId="33">
    <w:nsid w:val="354FE9F9"/>
    <w:multiLevelType w:val="hybridMultilevel"/>
    <w:lvl w:ilvl="0">
      <w:lvlJc w:val="left"/>
      <w:lvlText w:val="(%1)"/>
      <w:numFmt w:val="lowerRoman"/>
      <w:start w:val="4"/>
    </w:lvl>
  </w:abstractNum>
  <w:abstractNum w:abstractNumId="34">
    <w:nsid w:val="15B5AF5C"/>
    <w:multiLevelType w:val="hybridMultilevel"/>
    <w:lvl w:ilvl="0">
      <w:lvlJc w:val="left"/>
      <w:lvlText w:val="(%1)"/>
      <w:numFmt w:val="upperLetter"/>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2"/>
    </w:lvl>
  </w:abstractNum>
  <w:abstractNum w:abstractNumId="37">
    <w:nsid w:val="10233C99"/>
    <w:multiLevelType w:val="hybridMultilevel"/>
    <w:lvl w:ilvl="0">
      <w:lvlJc w:val="left"/>
      <w:lvlText w:val="(%1)"/>
      <w:numFmt w:val="lowerRoman"/>
      <w:start w:val="2"/>
    </w:lvl>
  </w:abstractNum>
  <w:abstractNum w:abstractNumId="38">
    <w:nsid w:val="3F6AB60F"/>
    <w:multiLevelType w:val="hybridMultilevel"/>
    <w:lvl w:ilvl="0">
      <w:lvlJc w:val="left"/>
      <w:lvlText w:val="(%1)"/>
      <w:numFmt w:val="upperLetter"/>
      <w:start w:val="3"/>
    </w:lvl>
  </w:abstractNum>
  <w:abstractNum w:abstractNumId="39">
    <w:nsid w:val="61574095"/>
    <w:multiLevelType w:val="hybridMultilevel"/>
    <w:lvl w:ilvl="0">
      <w:lvlJc w:val="left"/>
      <w:lvlText w:val="%1."/>
      <w:numFmt w:val="decimal"/>
      <w:start w:val="18"/>
    </w:lvl>
  </w:abstractNum>
  <w:abstractNum w:abstractNumId="40">
    <w:nsid w:val="7E0C57B1"/>
    <w:multiLevelType w:val="hybridMultilevel"/>
    <w:lvl w:ilvl="0">
      <w:lvlJc w:val="left"/>
      <w:lvlText w:val="(%1)"/>
      <w:numFmt w:val="lowerRoman"/>
      <w:start w:val="2"/>
    </w:lvl>
  </w:abstractNum>
  <w:abstractNum w:abstractNumId="41">
    <w:nsid w:val="77AE35EB"/>
    <w:multiLevelType w:val="hybridMultilevel"/>
    <w:lvl w:ilvl="0">
      <w:lvlJc w:val="left"/>
      <w:lvlText w:val="(%1)"/>
      <w:numFmt w:val="lowerRoman"/>
      <w:start w:val="4"/>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decimal"/>
      <w:start w:val="2"/>
    </w:lvl>
  </w:abstractNum>
  <w:abstractNum w:abstractNumId="44">
    <w:nsid w:val="5FF87E05"/>
    <w:multiLevelType w:val="hybridMultilevel"/>
    <w:lvl w:ilvl="0">
      <w:lvlJc w:val="left"/>
      <w:lvlText w:val="(%1)"/>
      <w:numFmt w:val="lowerRoman"/>
      <w:start w:val="2"/>
    </w:lvl>
  </w:abstractNum>
  <w:abstractNum w:abstractNumId="45">
    <w:nsid w:val="2F305DEF"/>
    <w:multiLevelType w:val="hybridMultilevel"/>
    <w:lvl w:ilvl="0">
      <w:lvlJc w:val="left"/>
      <w:lvlText w:val="%1."/>
      <w:numFmt w:val="decimal"/>
      <w:start w:val="18"/>
    </w:lvl>
  </w:abstractNum>
  <w:abstractNum w:abstractNumId="46">
    <w:nsid w:val="25A70BF7"/>
    <w:multiLevelType w:val="hybridMultilevel"/>
    <w:lvl w:ilvl="0">
      <w:lvlJc w:val="left"/>
      <w:lvlText w:val="(%1)"/>
      <w:numFmt w:val="lowerRoman"/>
      <w:start w:val="2"/>
    </w:lvl>
  </w:abstractNum>
  <w:abstractNum w:abstractNumId="47">
    <w:nsid w:val="1DBABF00"/>
    <w:multiLevelType w:val="hybridMultilevel"/>
    <w:lvl w:ilvl="0">
      <w:lvlJc w:val="left"/>
      <w:lvlText w:val="(%1)"/>
      <w:numFmt w:val="lowerRoman"/>
      <w:start w:val="4"/>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2"/>
    </w:lvl>
  </w:abstractNum>
  <w:abstractNum w:abstractNumId="50">
    <w:nsid w:val="1381823A"/>
    <w:multiLevelType w:val="hybridMultilevel"/>
    <w:lvl w:ilvl="0">
      <w:lvlJc w:val="left"/>
      <w:lvlText w:val="(%1)"/>
      <w:numFmt w:val="lowerRoman"/>
      <w:start w:val="2"/>
    </w:lvl>
  </w:abstractNum>
  <w:abstractNum w:abstractNumId="51">
    <w:nsid w:val="5DB70AE5"/>
    <w:multiLevelType w:val="hybridMultilevel"/>
    <w:lvl w:ilvl="0">
      <w:lvlJc w:val="left"/>
      <w:lvlText w:val="(%1)"/>
      <w:numFmt w:val="lowerRoman"/>
      <w:start w:val="2"/>
    </w:lvl>
  </w:abstractNum>
  <w:abstractNum w:abstractNumId="52">
    <w:nsid w:val="100F8FCA"/>
    <w:multiLevelType w:val="hybridMultilevel"/>
    <w:lvl w:ilvl="0">
      <w:lvlJc w:val="left"/>
      <w:lvlText w:val="(%1)"/>
      <w:numFmt w:val="lowerRoman"/>
      <w:start w:val="4"/>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1."/>
      <w:numFmt w:val="decimal"/>
      <w:start w:val="2"/>
    </w:lvl>
  </w:abstractNum>
  <w:abstractNum w:abstractNumId="55">
    <w:nsid w:val="5F5E7FD0"/>
    <w:multiLevelType w:val="hybridMultilevel"/>
    <w:lvl w:ilvl="0">
      <w:lvlJc w:val="left"/>
      <w:lvlText w:val="(%1)"/>
      <w:numFmt w:val="lowerRoman"/>
      <w:start w:val="2"/>
    </w:lvl>
  </w:abstractNum>
  <w:abstractNum w:abstractNumId="56">
    <w:nsid w:val="98A3148"/>
    <w:multiLevelType w:val="hybridMultilevel"/>
    <w:lvl w:ilvl="0">
      <w:lvlJc w:val="left"/>
      <w:lvlText w:val="(%1)"/>
      <w:numFmt w:val="lowerRoman"/>
      <w:start w:val="4"/>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decimal"/>
      <w:start w:val="2"/>
    </w:lvl>
  </w:abstractNum>
  <w:abstractNum w:abstractNumId="59">
    <w:nsid w:val="42C296BD"/>
    <w:multiLevelType w:val="hybridMultilevel"/>
    <w:lvl w:ilvl="0">
      <w:lvlJc w:val="left"/>
      <w:lvlText w:val="(%1)"/>
      <w:numFmt w:val="lowerRoman"/>
      <w:start w:val="2"/>
    </w:lvl>
  </w:abstractNum>
  <w:abstractNum w:abstractNumId="60">
    <w:nsid w:val="168E121F"/>
    <w:multiLevelType w:val="hybridMultilevel"/>
    <w:lvl w:ilvl="0">
      <w:lvlJc w:val="left"/>
      <w:lvlText w:val="(%1)"/>
      <w:numFmt w:val="lowerRoman"/>
      <w:start w:val="2"/>
    </w:lvl>
  </w:abstractNum>
  <w:abstractNum w:abstractNumId="61">
    <w:nsid w:val="1EBA5D23"/>
    <w:multiLevelType w:val="hybridMultilevel"/>
    <w:lvl w:ilvl="0">
      <w:lvlJc w:val="left"/>
      <w:lvlText w:val="(%1)"/>
      <w:numFmt w:val="lowerLetter"/>
      <w:start w:val="4"/>
    </w:lvl>
  </w:abstractNum>
  <w:abstractNum w:abstractNumId="62">
    <w:nsid w:val="661E3F1E"/>
    <w:multiLevelType w:val="hybridMultilevel"/>
    <w:lvl w:ilvl="0">
      <w:lvlJc w:val="left"/>
      <w:lvlText w:val="(%1)"/>
      <w:numFmt w:val="lowerLetter"/>
      <w:start w:val="2"/>
    </w:lvl>
  </w:abstractNum>
  <w:abstractNum w:abstractNumId="63">
    <w:nsid w:val="5DC79EA8"/>
    <w:multiLevelType w:val="hybridMultilevel"/>
    <w:lvl w:ilvl="0">
      <w:lvlJc w:val="left"/>
      <w:lvlText w:val="%1."/>
      <w:numFmt w:val="decimal"/>
      <w:start w:val="12"/>
    </w:lvl>
  </w:abstractNum>
  <w:abstractNum w:abstractNumId="64">
    <w:nsid w:val="540A471C"/>
    <w:multiLevelType w:val="hybridMultilevel"/>
    <w:lvl w:ilvl="0">
      <w:lvlJc w:val="left"/>
      <w:lvlText w:val="%1."/>
      <w:numFmt w:val="decimal"/>
      <w:start w:val="16"/>
    </w:lvl>
  </w:abstractNum>
  <w:abstractNum w:abstractNumId="65">
    <w:nsid w:val="7BD3EE7B"/>
    <w:multiLevelType w:val="hybridMultilevel"/>
    <w:lvl w:ilvl="0">
      <w:lvlJc w:val="left"/>
      <w:lvlText w:val="(%1)"/>
      <w:numFmt w:val="lowerLetter"/>
      <w:start w:val="7"/>
    </w:lvl>
  </w:abstractNum>
  <w:abstractNum w:abstractNumId="66">
    <w:nsid w:val="51D9C564"/>
    <w:multiLevelType w:val="hybridMultilevel"/>
    <w:lvl w:ilvl="0">
      <w:lvlJc w:val="left"/>
      <w:lvlText w:val="%1."/>
      <w:numFmt w:val="decimal"/>
      <w:start w:val="18"/>
    </w:lvl>
  </w:abstractNum>
  <w:abstractNum w:abstractNumId="67">
    <w:nsid w:val="613EFDC5"/>
    <w:multiLevelType w:val="hybridMultilevel"/>
    <w:lvl w:ilvl="0">
      <w:lvlJc w:val="left"/>
      <w:lvlText w:val="(%1)"/>
      <w:numFmt w:val="lowerRoman"/>
      <w:start w:val="2"/>
    </w:lvl>
  </w:abstractNum>
  <w:abstractNum w:abstractNumId="68">
    <w:nsid w:val="BF72B14"/>
    <w:multiLevelType w:val="hybridMultilevel"/>
    <w:lvl w:ilvl="0">
      <w:lvlJc w:val="left"/>
      <w:lvlText w:val="(%1)"/>
      <w:numFmt w:val="lowerLetter"/>
      <w:start w:val="8"/>
    </w:lvl>
  </w:abstractNum>
  <w:abstractNum w:abstractNumId="69">
    <w:nsid w:val="11447B73"/>
    <w:multiLevelType w:val="hybridMultilevel"/>
    <w:lvl w:ilvl="0">
      <w:lvlJc w:val="left"/>
      <w:lvlText w:val="(%1)"/>
      <w:numFmt w:val="lowerLetter"/>
      <w:start w:val="11"/>
    </w:lvl>
  </w:abstractNum>
  <w:abstractNum w:abstractNumId="70">
    <w:nsid w:val="42963E5A"/>
    <w:multiLevelType w:val="hybridMultilevel"/>
    <w:lvl w:ilvl="0">
      <w:lvlJc w:val="left"/>
      <w:lvlText w:val="(%1)"/>
      <w:numFmt w:val="lowerLetter"/>
      <w:start w:val="3"/>
    </w:lvl>
  </w:abstractNum>
  <w:abstractNum w:abstractNumId="71">
    <w:nsid w:val="A0382C5"/>
    <w:multiLevelType w:val="hybridMultilevel"/>
    <w:lvl w:ilvl="0">
      <w:lvlJc w:val="left"/>
      <w:lvlText w:val="(%1)"/>
      <w:numFmt w:val="lowerLetter"/>
      <w:start w:val="5"/>
    </w:lvl>
  </w:abstractNum>
  <w:abstractNum w:abstractNumId="72">
    <w:nsid w:val="8F2B15E"/>
    <w:multiLevelType w:val="hybridMultilevel"/>
    <w:lvl w:ilvl="0">
      <w:lvlJc w:val="left"/>
      <w:lvlText w:val="%1."/>
      <w:numFmt w:val="decimal"/>
      <w:start w:val="2"/>
    </w:lvl>
  </w:abstractNum>
  <w:abstractNum w:abstractNumId="73">
    <w:nsid w:val="1A32234B"/>
    <w:multiLevelType w:val="hybridMultilevel"/>
    <w:lvl w:ilvl="0">
      <w:lvlJc w:val="left"/>
      <w:lvlText w:val="(%1)"/>
      <w:numFmt w:val="lowerRoman"/>
      <w:start w:val="2"/>
    </w:lvl>
  </w:abstractNum>
  <w:abstractNum w:abstractNumId="74">
    <w:nsid w:val="3B0FD379"/>
    <w:multiLevelType w:val="hybridMultilevel"/>
    <w:lvl w:ilvl="0">
      <w:lvlJc w:val="left"/>
      <w:lvlText w:val="%1."/>
      <w:numFmt w:val="decimal"/>
      <w:start w:val="18"/>
    </w:lvl>
  </w:abstractNum>
  <w:abstractNum w:abstractNumId="75">
    <w:nsid w:val="68EB2F63"/>
    <w:multiLevelType w:val="hybridMultilevel"/>
    <w:lvl w:ilvl="0">
      <w:lvlJc w:val="left"/>
      <w:lvlText w:val="(%1)"/>
      <w:numFmt w:val="lowerRoman"/>
      <w:start w:val="2"/>
    </w:lvl>
  </w:abstractNum>
  <w:abstractNum w:abstractNumId="76">
    <w:nsid w:val="4962813B"/>
    <w:multiLevelType w:val="hybridMultilevel"/>
    <w:lvl w:ilvl="0">
      <w:lvlJc w:val="left"/>
      <w:lvlText w:val="%1."/>
      <w:numFmt w:val="decimal"/>
      <w:start w:val="1"/>
    </w:lvl>
  </w:abstractNum>
  <w:abstractNum w:abstractNumId="77">
    <w:nsid w:val="60B6DF70"/>
    <w:multiLevelType w:val="hybridMultilevel"/>
    <w:lvl w:ilvl="0">
      <w:lvlJc w:val="left"/>
      <w:lvlText w:val=" "/>
      <w:numFmt w:val="bullet"/>
      <w:start w:val="1"/>
    </w:lvl>
  </w:abstractNum>
  <w:abstractNum w:abstractNumId="78">
    <w:nsid w:val="6A5EE64"/>
    <w:multiLevelType w:val="hybridMultilevel"/>
    <w:lvl w:ilvl="0">
      <w:lvlJc w:val="left"/>
      <w:lvlText w:val="%1."/>
      <w:numFmt w:val="decimal"/>
      <w:start w:val="2"/>
    </w:lvl>
  </w:abstractNum>
  <w:abstractNum w:abstractNumId="79">
    <w:nsid w:val="14330624"/>
    <w:multiLevelType w:val="hybridMultilevel"/>
    <w:lvl w:ilvl="0">
      <w:lvlJc w:val="left"/>
      <w:lvlText w:val="(%1)"/>
      <w:numFmt w:val="lowerRoman"/>
      <w:start w:val="2"/>
    </w:lvl>
  </w:abstractNum>
  <w:abstractNum w:abstractNumId="80">
    <w:nsid w:val="7FFFCA11"/>
    <w:multiLevelType w:val="hybridMultilevel"/>
    <w:lvl w:ilvl="0">
      <w:lvlJc w:val="left"/>
      <w:lvlText w:val="%1."/>
      <w:numFmt w:val="decimal"/>
      <w:start w:val="18"/>
    </w:lvl>
  </w:abstractNum>
  <w:abstractNum w:abstractNumId="81">
    <w:nsid w:val="1A27709E"/>
    <w:multiLevelType w:val="hybridMultilevel"/>
    <w:lvl w:ilvl="0">
      <w:lvlJc w:val="left"/>
      <w:lvlText w:val="(%1)"/>
      <w:numFmt w:val="lowerRoman"/>
      <w:start w:val="4"/>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2024-02-02T16:37:19Z</dcterms:created>
  <dcterms:modified xsi:type="dcterms:W3CDTF">2024-02-02T16:37:19Z</dcterms:modified>
</cp:coreProperties>
</file>