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bookmarkStart w:id="0" w:name="fs12023_prestoauto.htm"/>
      <w:bookmarkStart w:id="1" w:name="ksfs12023_prestoauto"/>
      <w:bookmarkEnd w:id="0"/>
      <w:bookmarkEnd w:id="1"/>
      <w:r>
        <w:rPr>
          <w:rFonts w:ascii="Times New Roman PS Std;serif" w:hAnsi="Times New Roman PS Std;serif"/>
          <w:b/>
          <w:i w:val="false"/>
          <w:caps w:val="false"/>
          <w:smallCaps w:val="false"/>
          <w:sz w:val="20"/>
        </w:rPr>
        <w:t>As filed with the Securities and Exchange Commission on May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1, 2023</w:t>
      </w:r>
    </w:p>
    <w:p>
      <w:pPr>
        <w:pStyle w:val="TextBody"/>
        <w:keepNext w:val="false"/>
        <w:pageBreakBefore w:val="false"/>
        <w:widowControl/>
        <w:pBdr/>
        <w:spacing w:before="80" w:after="283"/>
        <w:ind w:left="0" w:right="48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w:t>
      </w:r>
    </w:p>
    <w:p>
      <w:pPr>
        <w:pStyle w:val="TextBody"/>
        <w:keepNext w:val="true"/>
        <w:pageBreakBefore w:val="false"/>
        <w:widowControl/>
        <w:pBdr/>
        <w:spacing w:before="8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S-1</w:t>
        <w:br/>
        <w:t>REGISTRATION STATEMENT</w:t>
        <w:br/>
      </w:r>
      <w:r>
        <w:rPr>
          <w:rFonts w:ascii="Times New Roman PS Std;serif" w:hAnsi="Times New Roman PS Std;serif"/>
          <w:b/>
          <w:i/>
          <w:caps w:val="false"/>
          <w:smallCaps w:val="false"/>
          <w:sz w:val="20"/>
        </w:rPr>
        <w:t>UNDER</w:t>
        <w:br/>
        <w:t>THE SECURITIES ACT OF 1933</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PRESTO AUTOMATION INC.</w:t>
        <w:br/>
      </w:r>
      <w:r>
        <w:rPr>
          <w:rFonts w:ascii="Times New Roman PS Std;serif" w:hAnsi="Times New Roman PS Std;serif"/>
          <w:b/>
          <w:i w:val="false"/>
          <w:caps w:val="false"/>
          <w:smallCaps w:val="false"/>
          <w:sz w:val="20"/>
        </w:rPr>
        <w:t>(Exact name of registrant as specified in its charter)</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tbl>
      <w:tblPr>
        <w:tblW w:w="9640" w:type="dxa"/>
        <w:jc w:val="left"/>
        <w:tblInd w:w="0" w:type="dxa"/>
        <w:tblCellMar>
          <w:top w:w="0" w:type="dxa"/>
          <w:left w:w="0" w:type="dxa"/>
          <w:bottom w:w="0" w:type="dxa"/>
          <w:right w:w="0" w:type="dxa"/>
        </w:tblCellMar>
      </w:tblPr>
      <w:tblGrid>
        <w:gridCol w:w="3406"/>
        <w:gridCol w:w="146"/>
        <w:gridCol w:w="3301"/>
        <w:gridCol w:w="146"/>
        <w:gridCol w:w="2641"/>
      </w:tblGrid>
      <w:tr>
        <w:trPr/>
        <w:tc>
          <w:tcPr>
            <w:tcW w:w="3406" w:type="dxa"/>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shd w:fill="auto" w:val="clear"/>
            <w:vAlign w:val="bottom"/>
          </w:tcPr>
          <w:p>
            <w:pPr>
              <w:pStyle w:val="TableContents"/>
              <w:spacing w:before="0" w:after="283"/>
              <w:rPr/>
            </w:pPr>
            <w:r>
              <w:rPr/>
              <w:t> </w:t>
            </w:r>
          </w:p>
        </w:tc>
        <w:tc>
          <w:tcPr>
            <w:tcW w:w="33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7372</w:t>
            </w:r>
          </w:p>
        </w:tc>
        <w:tc>
          <w:tcPr>
            <w:tcW w:w="146" w:type="dxa"/>
            <w:tcBorders/>
            <w:shd w:fill="auto" w:val="clear"/>
            <w:vAlign w:val="bottom"/>
          </w:tcPr>
          <w:p>
            <w:pPr>
              <w:pStyle w:val="TableContents"/>
              <w:spacing w:before="0" w:after="283"/>
              <w:rPr/>
            </w:pPr>
            <w:r>
              <w:rPr/>
              <w:t> </w:t>
            </w:r>
          </w:p>
        </w:tc>
        <w:tc>
          <w:tcPr>
            <w:tcW w:w="26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84-2968594</w:t>
            </w:r>
          </w:p>
        </w:tc>
      </w:tr>
      <w:tr>
        <w:trPr/>
        <w:tc>
          <w:tcPr>
            <w:tcW w:w="3406" w:type="dxa"/>
            <w:tcBorders/>
            <w:shd w:fill="auto" w:val="clear"/>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(State or other jurisdiction of </w:t>
              <w:br/>
              <w:t>incorporation or organization)</w:t>
            </w:r>
          </w:p>
        </w:tc>
        <w:tc>
          <w:tcPr>
            <w:tcW w:w="146" w:type="dxa"/>
            <w:tcBorders/>
            <w:shd w:fill="auto" w:val="clear"/>
          </w:tcPr>
          <w:p>
            <w:pPr>
              <w:pStyle w:val="TableContents"/>
              <w:spacing w:before="0" w:after="283"/>
              <w:rPr/>
            </w:pPr>
            <w:r>
              <w:rPr/>
              <w:t> </w:t>
            </w:r>
          </w:p>
        </w:tc>
        <w:tc>
          <w:tcPr>
            <w:tcW w:w="3301" w:type="dxa"/>
            <w:tcBorders/>
            <w:shd w:fill="auto" w:val="clear"/>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(Primary Standard Industrial </w:t>
              <w:br/>
              <w:t>Classification Code Number)</w:t>
            </w:r>
          </w:p>
        </w:tc>
        <w:tc>
          <w:tcPr>
            <w:tcW w:w="146" w:type="dxa"/>
            <w:tcBorders/>
            <w:shd w:fill="auto" w:val="clear"/>
          </w:tcPr>
          <w:p>
            <w:pPr>
              <w:pStyle w:val="TableContents"/>
              <w:spacing w:before="0" w:after="283"/>
              <w:rPr/>
            </w:pPr>
            <w:r>
              <w:rPr/>
              <w:t> </w:t>
            </w:r>
          </w:p>
        </w:tc>
        <w:tc>
          <w:tcPr>
            <w:tcW w:w="2641" w:type="dxa"/>
            <w:tcBorders/>
            <w:shd w:fill="auto" w:val="clear"/>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(I.R.S. Employer </w:t>
              <w:br/>
              <w:t>Identification Number)</w:t>
            </w:r>
          </w:p>
        </w:tc>
      </w:tr>
    </w:tbl>
    <w:p>
      <w:pPr>
        <w:pStyle w:val="TextBody"/>
        <w:keepNext w:val="true"/>
        <w:pageBreakBefore w:val="false"/>
        <w:widowControl/>
        <w:pBdr/>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985 Industrial Road</w:t>
        <w:br/>
        <w:t>San Carlos, CA 94070</w:t>
        <w:br/>
        <w:t>Telephone: (650) 817-9012</w:t>
        <w:br/>
        <w:t>(Address, including zip code and telephone number, including area code, of Registrant’s principal executive offices)</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Krishna Gupta</w:t>
        <w:br/>
        <w:t>Presto Automation Inc.</w:t>
        <w:br/>
        <w:t>985 Industrial Road</w:t>
        <w:br/>
        <w:t>San Carlos, CA 94070</w:t>
        <w:br/>
        <w:t>Telephone: (650) 817-9012</w:t>
        <w:br/>
        <w:t>(Name, address, including zip code and telephone number, including area code, of agent for service)</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Copies to:</w:t>
      </w:r>
    </w:p>
    <w:p>
      <w:pPr>
        <w:pStyle w:val="TextBody"/>
        <w:keepNext w:val="tru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Colin Diamond</w:t>
        <w:br/>
        <w:t>Laura Katherine Mann</w:t>
        <w:br/>
        <w:t>White &amp; Case LLP</w:t>
        <w:br/>
        <w:t>1221 Avenue of the Americas</w:t>
        <w:br/>
        <w:t>New York, New York 10020</w:t>
        <w:br/>
        <w:t>Telephone: (212) 819-8200</w:t>
      </w:r>
    </w:p>
    <w:p>
      <w:pPr>
        <w:pStyle w:val="TextBody"/>
        <w:keepNext w:val="tru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false"/>
        <w:pageBreakBefore w:val="false"/>
        <w:widowControl/>
        <w:pBdr/>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Approximate date of commencement of proposed sale of the securities to the public:    </w:t>
      </w:r>
      <w:r>
        <w:rPr>
          <w:rFonts w:ascii="Times New Roman PS Std;serif" w:hAnsi="Times New Roman PS Std;serif"/>
          <w:b w:val="false"/>
          <w:i w:val="false"/>
          <w:caps w:val="false"/>
          <w:smallCaps w:val="false"/>
          <w:sz w:val="18"/>
        </w:rPr>
        <w:t>From time to time after this Registration Statement becomes effective.</w:t>
      </w:r>
    </w:p>
    <w:p>
      <w:pPr>
        <w:pStyle w:val="TextBody"/>
        <w:keepNext w:val="false"/>
        <w:pageBreakBefore w:val="false"/>
        <w:widowControl/>
        <w:pBdr/>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any of the securities being registered on this Form are to be offered on a delayed or continuous basis pursuant to Rule 415 under the Securities Act of 1933 (the “Securities Act”)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4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If this Form is a post-effective amendment filed pursuant to Rule 462(d) under the Securities Act, check the following box and list the Securities Act registration statement number of the earlier effective registration statement for the same offering.</w:t>
      </w:r>
    </w:p>
    <w:p>
      <w:pPr>
        <w:pStyle w:val="TextBody"/>
        <w:keepNext w:val="false"/>
        <w:pageBreakBefore w:val="false"/>
        <w:widowControl/>
        <w:pBdr/>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r>
        <w:rPr>
          <w:rFonts w:ascii="Times New Roman PS Std;serif" w:hAnsi="Times New Roman PS Std;serif"/>
          <w:b w:val="false"/>
          <w:i w:val="false"/>
          <w:caps w:val="false"/>
          <w:smallCaps w:val="false"/>
          <w:sz w:val="20"/>
        </w:rPr>
        <w:t>☐</w:t>
      </w:r>
    </w:p>
    <w:tbl>
      <w:tblPr>
        <w:tblW w:w="5857" w:type="dxa"/>
        <w:jc w:val="left"/>
        <w:tblInd w:w="0" w:type="dxa"/>
        <w:tblCellMar>
          <w:top w:w="0" w:type="dxa"/>
          <w:left w:w="0" w:type="dxa"/>
          <w:bottom w:w="0" w:type="dxa"/>
          <w:right w:w="0" w:type="dxa"/>
        </w:tblCellMar>
      </w:tblPr>
      <w:tblGrid>
        <w:gridCol w:w="2146"/>
        <w:gridCol w:w="146"/>
        <w:gridCol w:w="316"/>
        <w:gridCol w:w="146"/>
        <w:gridCol w:w="2596"/>
        <w:gridCol w:w="146"/>
        <w:gridCol w:w="361"/>
      </w:tblGrid>
      <w:tr>
        <w:trPr/>
        <w:tc>
          <w:tcPr>
            <w:tcW w:w="214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Large accelerated filer</w:t>
            </w:r>
          </w:p>
        </w:tc>
        <w:tc>
          <w:tcPr>
            <w:tcW w:w="146" w:type="dxa"/>
            <w:tcBorders/>
            <w:shd w:fill="auto" w:val="clear"/>
            <w:vAlign w:val="bottom"/>
          </w:tcPr>
          <w:p>
            <w:pPr>
              <w:pStyle w:val="TableContents"/>
              <w:spacing w:before="0" w:after="283"/>
              <w:rPr/>
            </w:pPr>
            <w:r>
              <w:rPr/>
              <w:t> </w:t>
            </w:r>
          </w:p>
        </w:tc>
        <w:tc>
          <w:tcPr>
            <w:tcW w:w="316"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259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Accelerated filer</w:t>
            </w:r>
          </w:p>
        </w:tc>
        <w:tc>
          <w:tcPr>
            <w:tcW w:w="146" w:type="dxa"/>
            <w:tcBorders/>
            <w:shd w:fill="auto" w:val="clear"/>
            <w:vAlign w:val="bottom"/>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r>
        <w:trPr/>
        <w:tc>
          <w:tcPr>
            <w:tcW w:w="214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Non-accelerated filer</w:t>
            </w:r>
          </w:p>
        </w:tc>
        <w:tc>
          <w:tcPr>
            <w:tcW w:w="146" w:type="dxa"/>
            <w:tcBorders/>
            <w:shd w:fill="auto" w:val="clear"/>
            <w:vAlign w:val="bottom"/>
          </w:tcPr>
          <w:p>
            <w:pPr>
              <w:pStyle w:val="TableContents"/>
              <w:spacing w:before="0" w:after="283"/>
              <w:rPr/>
            </w:pPr>
            <w:r>
              <w:rPr/>
              <w:t> </w:t>
            </w:r>
          </w:p>
        </w:tc>
        <w:tc>
          <w:tcPr>
            <w:tcW w:w="316"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259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Smaller reporting company</w:t>
            </w:r>
          </w:p>
        </w:tc>
        <w:tc>
          <w:tcPr>
            <w:tcW w:w="146" w:type="dxa"/>
            <w:tcBorders/>
            <w:shd w:fill="auto" w:val="clear"/>
            <w:vAlign w:val="bottom"/>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r>
        <w:trPr/>
        <w:tc>
          <w:tcPr>
            <w:tcW w:w="21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59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Emerging growth company</w:t>
            </w:r>
          </w:p>
        </w:tc>
        <w:tc>
          <w:tcPr>
            <w:tcW w:w="146" w:type="dxa"/>
            <w:tcBorders/>
            <w:shd w:fill="auto" w:val="clear"/>
            <w:vAlign w:val="bottom"/>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bl>
    <w:p>
      <w:pPr>
        <w:pStyle w:val="TextBody"/>
        <w:keepNext w:val="false"/>
        <w:pageBreakBefore w:val="false"/>
        <w:widowControl/>
        <w:pBdr/>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r>
        <w:rPr>
          <w:rFonts w:ascii="Times New Roman PS Std;serif" w:hAnsi="Times New Roman PS Std;serif"/>
          <w:b w:val="false"/>
          <w:i w:val="false"/>
          <w:caps w:val="false"/>
          <w:smallCaps w:val="false"/>
          <w:sz w:val="18"/>
        </w:rPr>
        <w:t>.</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val="false"/>
          <w:caps w:val="false"/>
          <w:smallCaps w:val="false"/>
          <w:color w:val="D2232A"/>
          <w:sz w:val="20"/>
        </w:rPr>
      </w:pPr>
      <w:r>
        <w:rPr>
          <w:rFonts w:ascii="Times New Roman PS Std;serif" w:hAnsi="Times New Roman PS Std;serif"/>
          <w:b w:val="false"/>
          <w:i w:val="false"/>
          <w:caps w:val="false"/>
          <w:smallCaps w:val="false"/>
          <w:color w:val="D2232A"/>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MAY 1, 2023</w:t>
      </w:r>
    </w:p>
    <w:p>
      <w:pPr>
        <w:pStyle w:val="TextBody"/>
        <w:keepNext w:val="false"/>
        <w:pageBreakBefore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PROSPECTUS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PRESTO AUTOMATION INC.</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400,000 Shares of Common Stock by the Selling Securityholders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This prospectus relates to the resale from time to time by the selling securityholders named in this prospectus (together with their respective donees, transferees or other successors in interest, referred to as the Selling Securityholders) of up to 400,000 shares (the “Resale Shares”) of our common stock, par value $0.0001 per share (the “Common Stock”), issuable upon the exercise of warrants to purchase shares of our Common Stock, at an exercise price of $0.01 per share, subject to adjustment (the “Resale Warrants”), held by the Selling Securityholders.</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We will receive only nominal proceeds upon the exercise of the Resale Warrants, but we will not receive proceeds from the sale of the underlying shares of Common Stock issued upon exercise of such Resale Warrants.</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Our registration of the securities covered by this prospectus does not mean that the Selling Securityholders will offer or sell any of the Resale Shares. The Selling Securityholders may sell the Resale Shares covered by this prospectus in a number of different ways and at varying prices. We provide additional information about how the Selling Securityholders may sell the Resale Shares in the section entitled “</w:t>
      </w:r>
      <w:r>
        <w:rPr>
          <w:rFonts w:ascii="Times New Roman PS Std;serif" w:hAnsi="Times New Roman PS Std;serif"/>
          <w:b w:val="false"/>
          <w:i/>
          <w:caps w:val="false"/>
          <w:smallCaps w:val="false"/>
          <w:sz w:val="22"/>
        </w:rPr>
        <w:t>Plan of Distribution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beginning on page 110 of this prospectus.</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You should read this prospectus and any prospectus supplement or amendment carefully before you invest in our securities.</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Our shares of Common Stock are listed on the Nasdaq Stock Market under the symbol “PRST.” On April 28, 2023, the closing sale price of shares of our Common Stock was $3.33. Our warrants are listed on the Nasdaq Stock Market under the symbol “PRSTW.” On April 28, 2023, the closing sale price of our warrants was $0.07 per warrant.</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We are an “emerging growth company” and a “smaller reporting company” as such terms are defined under the federal securities laws and, as such, are subject to certain reduced public company reporting requirements.</w:t>
      </w:r>
    </w:p>
    <w:p>
      <w:pPr>
        <w:pStyle w:val="TextBody"/>
        <w:keepNext w:val="false"/>
        <w:pageBreakBefore w:val="false"/>
        <w:widowControl/>
        <w:pBdr/>
        <w:spacing w:before="240" w:after="283"/>
        <w:ind w:left="0" w:right="0" w:firstLine="480"/>
        <w:jc w:val="both"/>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Investing in shares of our Common Stock or warrants involves risks that are described in the “Risk Factors” section beginning on page 6 of this prospectus.</w:t>
      </w:r>
    </w:p>
    <w:p>
      <w:pPr>
        <w:pStyle w:val="TextBody"/>
        <w:keepNext w:val="false"/>
        <w:pageBreakBefore w:val="false"/>
        <w:widowControl/>
        <w:pBdr/>
        <w:spacing w:before="240" w:after="283"/>
        <w:ind w:left="0" w:right="0" w:firstLine="480"/>
        <w:jc w:val="both"/>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The date of this prospectus is            , 2023.</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 w:name="TOC001"/>
      <w:bookmarkEnd w:id="2"/>
      <w:r>
        <w:rPr>
          <w:rFonts w:ascii="Times New Roman PS Std;serif" w:hAnsi="Times New Roman PS Std;serif"/>
          <w:b/>
          <w:i w:val="false"/>
          <w:caps/>
          <w:sz w:val="20"/>
        </w:rPr>
        <w:t>TABLE OF CONTENTS</w:t>
      </w:r>
    </w:p>
    <w:tbl>
      <w:tblPr>
        <w:tblW w:w="10205" w:type="dxa"/>
        <w:jc w:val="left"/>
        <w:tblInd w:w="0" w:type="dxa"/>
        <w:tblCellMar>
          <w:top w:w="0" w:type="dxa"/>
          <w:left w:w="0" w:type="dxa"/>
          <w:bottom w:w="0" w:type="dxa"/>
          <w:right w:w="0" w:type="dxa"/>
        </w:tblCellMar>
      </w:tblPr>
      <w:tblGrid>
        <w:gridCol w:w="9398"/>
        <w:gridCol w:w="146"/>
        <w:gridCol w:w="661"/>
      </w:tblGrid>
      <w:tr>
        <w:trPr/>
        <w:tc>
          <w:tcPr>
            <w:tcW w:w="939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TRADEMARKS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FREQUENTLY USED TERMS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CAUTIONARY STATEMENT REGARDING FORWARD-LOOKING STATEMENTS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SUMMARY OF THE PROSPECTUS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THE OFFERING</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MARKET PRICE OF OUR COMMON STOCK AND WARRANTS AND DIVIDEND INFORMATION</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BUSINESS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MANAGEMENT</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EXECUTIVE AND DIRECTOR COMPENSATION</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BENEFICIAL OWNERSHIP OF SECURITIES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SELLING SECURITYHOLDERS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CERTAIN RELATIONSHIPS AND RELATED PERSON TRANSACTIONS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MATERIAL UNITED STATES FEDERAL INCOME TAX CONSIDERATIONS FOR NON-U.S. HOLDERS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DESCRIPTION OF SECURITIES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SECURITIES ACT RESTRICTIONS ON RESALE OF SECURITIES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EXPERTS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INDEX TO FINANCIAL STATEMENTS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3" w:name="T21"/>
      <w:bookmarkEnd w:id="3"/>
      <w:r>
        <w:rPr>
          <w:rFonts w:ascii="Times New Roman PS Std;serif" w:hAnsi="Times New Roman PS Std;serif"/>
          <w:b/>
          <w:i w:val="false"/>
          <w:caps/>
          <w:sz w:val="20"/>
        </w:rPr>
        <w:t>ABOUT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S-1 that we filed with the Securities and Exchange Commission (the “SEC”) using a “shelf” registration process. Under this shelf registration process, the Selling Securityholders may sell up to an aggregate of 400,000 shares of Common Stock from time to time through any means described in the section entitled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More specific terms of any securities that the Selling Securityholders offer and sell may be provided in a prospectus supplement that describes, among other things, the specific amounts and prices of the common stock being offered and the terms of the offering.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10, 2021, Ventoux CCM Acquisition Corp. (“VTAQ”), Ventoux Merger Sub I Inc. (“Ventoux Merger Sub I”), Ventoux Merger Sub II LLC (“Ventoux Merger Sub II”), and E La Carte, Inc. (“Legacy Presto”) entered into an Agreement and Plan of Merger, as amended on April 1, 2022 and July 25, 2022 (the “Merger Agreement”), pursuant to which, among other transactions, on September 21, 2022 (the “Closing Date”), Ventoux Merger Sub I merged with and into Legacy Presto (the “First Merger”), with Legacy Presto surviving as a wholly-owned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Merger Agreement, the “Business Combination”). In connection with the closing of the Business Combination, VTAQ changed its name to “Presto Automation Inc.” (sometimes referred to herein as “New Presto”).</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4" w:name="T20"/>
      <w:bookmarkEnd w:id="4"/>
      <w:r>
        <w:rPr>
          <w:rFonts w:ascii="Times New Roman PS Std;serif" w:hAnsi="Times New Roman PS Std;serif"/>
          <w:b/>
          <w:i w:val="false"/>
          <w:caps/>
          <w:sz w:val="20"/>
        </w:rPr>
        <w:t>TRADEMARKS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5" w:name="T19"/>
      <w:bookmarkEnd w:id="5"/>
      <w:r>
        <w:rPr>
          <w:rFonts w:ascii="Times New Roman PS Std;serif" w:hAnsi="Times New Roman PS Std;serif"/>
          <w:b/>
          <w:i w:val="false"/>
          <w:caps/>
          <w:sz w:val="20"/>
        </w:rPr>
        <w:t>FREQUENTLY USED TERMS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or unless the context otherwise requires, the terms “we,” “us,” “our,” and “Presto” refer to Presto Automation Inc.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document: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Aggregate Fully Diluted Company Common Shares” means (A) the fully-diluted number of shares of Presto Common Stock outstanding immediately prior to the Effective Time minus, if any, (B) any shares of Presto Common Stock (1) issued or issuable in connection with certain permitted acquisitions undertaken by the Company prior to the Closing, (2) held in the treasury of the Company or owned by VTAQ, Ventoux Merger Sub, Ventoux Merger Sub II or the Company immediately prior to the Effective Time, and (3) owned by a holder who is entitled to demand and has properly demanded appraisal for such shares in accordance with, and who complies in all respects with, Section 262 of the Delaware General Corporation Law;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Amended and Restated Registration Rights Agreement” means the amended and restated registration rights agreement entered into between New Presto, the Sponsors, Cleveland Avenue, VTAQ’s directors and officers, the Note Investor and certain Presto Stockholders in connection with the consummation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Amended and Restated Warrant Agreement” means the amended and restated warrant agreement entered into between New Presto, the Sponsors and Continental in connection with the consummation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 means the business combination pursuant to the Merger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Bylaws” means the bylaws of Presto;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Chardan” means Chardan Capital Markets, LLC, a New York limited liability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Chardan Investments” means Chardan International Investments, LLC, one of the Sponsors of VTAQ;</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Charter” or “Current Charter” means Presto’s current amended and restated certificate of incorporation as filed with the Secretary of State on September 21, 2022;</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Closing” means the closing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Code” means the Internal Revenue Code of 1986, as amended;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Committee” means a committee of at least two people appointed by the Presto Board to administer the Incentive Plan;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Continental” means Continental Stock Transfer &amp; Trust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Contingent Consideration” means 15,000,000 additional shares of the common stock of New Presto to be issued to the securityholders of Presto, contingent on achievement of certain milestones;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DGCL” means the Delaware General Corporation Law;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 Time” means the time at which the Business Combination became effective pursuant to its terms;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means the Securities Exchange Act of 1934, as amended;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Ratio” means the quotient obtained by dividing (a) 52,500,000 by (b) the number of Aggregate Fully Diluted Company Common Shares;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Financing Warrants” means 1,500,000 warrants that were newly issued to the lenders party to the Credit Agreement, bearing substantially similar terms to the Private Placement Warrants;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First Merger” means the merger pursuant to which Ventoux Merger Sub will merge with and into Presto;</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iv</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Founders Shares” means the outstanding shares of our Common Stock held by the Sponsors, current and former directors and affiliates of our management team and certain permitted transferees since December 23, 2020;</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Presto” means E La Carte, Inc., a Delaware corporation, prior to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Mergers” means the First Merger and Second Merger;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Agreement” means the Agreement and Plan of Merger, dated as of November 10, 2021, as amended by that certain Amendment to Agreement and Plan of Merger, dated as of April 1, 2022, as further amended by that Second Amendment to Agreement and Plan of Merger, dated as of July 25, 2022, by and among VTAQ, Ventoux Merger Sub I, Ventoux Merger Sub II and Presto;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Metropolitan” means Metropolitan Partners Group Administration, LLC, a Delaware limited liability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Metropolitan Entities” means Metropolitan Levered Partners Fund VII, LP, a Delaware limited partnership, Metropolitan Partners Fund VII, LP, a Delaware limited partnership, Metropolitan Offshore Partners Fund VII, LP, a Delaware limited partnership and CEOF Holdings LP, a Delaware limited partnership;</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Metropolitan Registration Rights Agreement” means the registration rights agreement dated as of March 31, 2023, by and among Presto and the Metropolitan Entities;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Presto” means VTAQ after the event in which Presto becomes a wholly-owned subsidiary of VTAQ and VTAQ changes its name to Presto Automation Inc.;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PIPE Investment” means the sale of an aggregate of 7,143,687 shares of Common Stock for an aggregate consideration of $55,000,000 in a private placement that closed simultaneously with the consummation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Preferred Stock” means 1,000,000 shares of preferred stock, par value $0.0001 per share, of the 51,000,000 total number of authorized shares of all classes of capital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Presto Board” means the board of directors of Presto Automation Inc. following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Presto Common Stock” means the common stock of New Presto, $0.0001 par value per share;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Presto RSU” means each outstanding restricted stock unit in respect of Presto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 Placement Warrants” or “Private Warrants” means 6,125,000 warrants that were sold by VTAQ to the Sponsor in a private sale prior to the VTAQ IPO and that remain outstanding as of the date of this prospectus;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Warrants” means the warrants issued in the VTAQ IPO, each of which entitles the holder to purchase one-half (1/2) of a share of Common Stock, initially at an exercise price of $11.50 per share and as subsequently adjusted to an exercise price of $8.21 per share as further described herein;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Resale Warrants” means the Warrants to Purchase Common Stock, dated as of March 31, 2023, by and between Presto and each of the Metropolitan Entities;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RSUs” means restricted stock units;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Second Merger” means the merger immediately following the First Merger between the Surviving Corporation and Ventoux Merger Sub II;</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Act” means the Securities Act of 1933, as amended;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Sponsors” means Ventoux Acquisition Holdings LLC and Chardan International Investments, LLC;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Surviving Corporation” means the surviving entity following the First Merger and continuing (immediately following the First Merger) as a wholly-owned subsidiary of VTAQ;</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Trust Account” means the Trust Account of VTAQ, which holds the net proceeds of the VTAQ IPO and the sale of the private units, together with interest earned thereon, less amounts released to pay franchise and income tax obligations;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Unit” means a unit consisting of one share of Common Stock, one warrant to purchase one-half (1/2) of a share of Common Stock and one right to receive one-twentieth (1/20) of a share of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Ventoux Acquisition” means Ventoux Acquisition Holdings LLC;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Ventoux Merger Sub I” means Ventoux Merger Sub I Inc., a Delaware corporation and a direct, wholly-owned subsidiary of VTAQ;</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Ventoux Merger Sub II” means Ventoux Merger Sub II, LLC, a Delaware limited liability company and a direct, wholly-owned subsidiary of VTAQ;</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VTAQ” means Ventoux CCM Acquisition Corp;</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VTAQ Common Stock” means the common stock of VTAQ, $0.0001 par value per share;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VTAQ IPO” means VTAQ’s initial public offering.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6" w:name="T18"/>
      <w:bookmarkEnd w:id="6"/>
      <w:r>
        <w:rPr>
          <w:rFonts w:ascii="Times New Roman PS Std;serif" w:hAnsi="Times New Roman PS Std;serif"/>
          <w:b/>
          <w:i w:val="false"/>
          <w:caps/>
          <w:sz w:val="20"/>
        </w:rPr>
        <w:t>CAUTIONARY STATEMENT REGARDING FORWARD-LOOKING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for purposes of the safe harbor provisions under the United States Private Securities Litigation Reform Act of 1995, including statements about the financial condition, results of operations, earnings outlook and prospects of Presto.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that could cause actual results to differ from those implied by the forward-looking statements in this prospectus are more fully described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elsewhere in this prospectus. The risks described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are not exhaustive. Other sections of this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0" w:after="283"/>
        <w:jc w:val="center"/>
        <w:rPr>
          <w:rFonts w:ascii="Times New Roman PS Std;serif" w:hAnsi="Times New Roman PS Std;serif"/>
          <w:b/>
          <w:i w:val="false"/>
          <w:caps/>
          <w:sz w:val="20"/>
          <w:bdr w:val="single" w:sz="8" w:space="10" w:color="000000"/>
        </w:rPr>
      </w:pPr>
      <w:bookmarkStart w:id="7" w:name="T17"/>
      <w:bookmarkEnd w:id="7"/>
      <w:r>
        <w:rPr>
          <w:rFonts w:ascii="Times New Roman PS Std;serif" w:hAnsi="Times New Roman PS Std;serif"/>
          <w:b/>
          <w:i w:val="false"/>
          <w:caps/>
          <w:sz w:val="20"/>
          <w:bdr w:val="single" w:sz="8" w:space="10" w:color="000000"/>
        </w:rPr>
        <w:t>SUMMARY OF THE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titled “Where You Can Find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Unless the context otherwise requires, references in this prospectus to the “Company,” “we,” “us” or “our” are to Presto Automation Inc.</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Presto, a Delaware corporation headquartered in San Carlos, California, seeks to overlay next-generation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and AI Platform products to restaurants.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Touch </w:t>
      </w:r>
      <w:r>
        <w:rPr>
          <w:rFonts w:ascii="Times New Roman PS Std;serif" w:hAnsi="Times New Roman PS Std;serif"/>
          <w:b w:val="false"/>
          <w:i w:val="false"/>
          <w:caps w:val="false"/>
          <w:smallCaps w:val="false"/>
          <w:sz w:val="20"/>
          <w:bdr w:val="single" w:sz="8" w:space="10" w:color="000000"/>
        </w:rPr>
        <w:t>— Presto’s Touch products enable self-serve ordering, payment processing, customer (frequently referred to as logos herein) 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AI Platform </w:t>
      </w:r>
      <w:r>
        <w:rPr>
          <w:rFonts w:ascii="Times New Roman PS Std;serif" w:hAnsi="Times New Roman PS Std;serif"/>
          <w:b w:val="false"/>
          <w:i w:val="false"/>
          <w:caps w:val="false"/>
          <w:smallCaps w:val="false"/>
          <w:sz w:val="20"/>
          <w:bdr w:val="single" w:sz="8" w:space="10" w:color="000000"/>
        </w:rPr>
        <w:t>— Presto’s AI-powered computer vision application provides real-time error detection, visual order tracking capabilities, and repeat guest identification. AI Platform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AI Platform’s smart analytics promotes items with short preparation times when queues are long and notifies managers to deploy line-busting tablets when drive-through wait times or abandonment rates are high. The AI Platform product also helps boost order accuracy in the restaurant hospitality industry by deploying its technology to kitchens, which allows management to monitor whether orders going out the door are substantially accurate. Presto’s speech recognition technology offers guests voice-based ordering in the drive-through and other restaurant settings. The AI Platform product takes orders using automated A.I. that frees up staff by automatically transmitting orders to the restaurant’s POS system. The AI Platform technology enables faster transactions and improved order accuracy by eliminating human order taking. The AI Platform product also increases check sizes with automatic upselling and cross-selling functionality.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shareholders should carefully consider the following risk factors, together with all of the other information included in this prospectus.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Presto’s Business and Industry:</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Presto fails to manage its growth effectively, to sustain its recent revenue growth or attract new customers, it may be unable to execute its business plan, maintain high levels of service and customer satisfaction, or adequately address competitive challenges.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Presto’s limited operating history with its new AI Platform (previously Vision and Voice) products in a new and developing market makes it difficult to evaluate its current business and future prospects and may increase the risk that it will not be successful.</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has a history of generating net losses, and if it is unable to achieve adequate revenue growth while its expenses increase, it may not achieve or maintain profitability in the future.</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ongoing COVID-19 pandemic has adversely impacted (including as a result of global supply chain shortages that Presto expects to continue for the foreseeable future) and may continue to adversely impact Presto’s results of operations and financial condition.</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generates a significant portion of its revenue from its three largest customers, and the loss or decline in revenue from any of these customers could harm its business, results of operations, and financial condition.</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Presto fails to continue to improve and enhance the functionality, performance, reliability, design, security, or scalability of its platform in a manner that responds to its customers’ evolving needs, its business may be adversely affected.</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Presto recognizes revenue from the sale of its products over a multi-year term, downturns or upturns in sales are not immediately reflected in full in its results of operations.</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and certain of its third-party partners, service providers, and subprocessors transmit and store personal information of its customers and consumers. If the security of this information is compromised, Presto’s reputation may be harmed, and it may be exposed to liability and loss of business.</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is subject to stringent and changing privacy laws, regulations and standards, and contractual obligations related to data privacy and security, and noncompliance with such laws could adversely affect its business.</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Unfavorable conditions in the restaurant industry or the global economy, including with respect to food, labor, and occupancy costs, could limit Presto’s ability to grow its business and materially impact its financial performance.</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has outstanding secured debt that contains financial covenants and other restrictions on its actions that may limit its operational flexibility or otherwise adversely affect its results of operations.</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Presto’s sales cycles can be long and unpredictable, and its sales efforts require considerable investment of time and expense.</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has identified material weaknesses in its internal control over financial reporting and, if it fails to remediate these deficiencies, it may not be able to accurately or timely report its financial condition or results of operations.</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is substantial doubt about our ability to continue as a going concern if we do not receive additional financing in a timely manner.</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Recent turmoil in the banking industry may negatively impact our business, results of operations and financial condition.</w:t>
      </w:r>
    </w:p>
    <w:p>
      <w:pPr>
        <w:pStyle w:val="TextBody"/>
        <w:keepNext w:val="true"/>
        <w:pageBreakBefore w:val="false"/>
        <w:widowControl/>
        <w:pBdr/>
        <w:spacing w:before="20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Third Parties:</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relies on a limited number of suppliers to provide part of the technology it offers. Thus, it is at risk of shortages, price increases, changes, delays or discontinuations of hardware.</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pStyle w:val="TextBody"/>
        <w:keepNext w:val="false"/>
        <w:pageBreakBefore w:val="false"/>
        <w:widowControl/>
        <w:pBdr/>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relies on computer hardware, licensed software and services rendered by third parties and the interoperability thereof in order to run its business.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Regulatory, Legal and Compliance Matters: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Significant changes in U.S. and international trade policies that restrict imports or increase tariffs could have a material adverse effect on Presto’s results of operations.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could be required to collect additional sales taxes or be subject to other tax liabilities that may increase the costs its customers would have to pay for its products and adversely affect its results of operations.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Presto’s Intellectual Property:</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Presto fails to adequately protect its intellectual property rights, its competitive position could be impaired and it may lose valuable assets, generate reduced revenue and become subject to costly litigation to protect its rights.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may be subject to claims by third parties of intellectual property infringement.</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uses open-source software in its platform, which could negatively affect its ability to sell its services or subject it to litigation or other actions.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First Amendment to Credit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March 31, 2023, Presto entered into a First Amendment to the Credit Agreement (as defined below) with Metropolitan, the administrative, payment and collateral agent for the lenders, in which the parties amended certain covenants and payment provisions of the Credit Agreement (as defined below). In consideration for Metropolitan’s entering into the First Amendment, Presto entered into the Fee Letter (as defined below) with Metropolitan, pursuant to which Presto paid an amendment fee equal to $200,000 and granted the Resale Warrants to purchase 400,000 shares of Presto Common Stock to the Metropolitan Entities. </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accordance with the terms of the First Amendment, Presto and Metropolitan entered into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agreed to provide customary registration rights to the Metropolitan Entities with respect to the shares of Presto Common Stock issuable upon exercise of the Warrants described above. </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Departure of Chief Executive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27, 2023, Presto announced that the Presto Board accepted the resignation of Rajat Suri, Presto’s founder, as Chief Executive Officer and member of the Presto Board, effective as of March 21, 2023. Mr. Suri’s resignation did not result from any disagreement with Presto on any matter relating to its operations, policies or practices. Mr. Suri will serve as a Strategic Advisor to the Presto Board going forward.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March 23, 2023, the Presto Board appointed Krishna Gupta, Presto’s Chairman, to serve as Interim Chief Executive Officer until a permanent successor to Mr. Suri is appointed. </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Departure of Chief Financial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Amendments to Purchase and Services Agreements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purchase and services agreement with our largest customer was amended in March 2023 to extend its term to December 2023, subject to further extension upon mutual agreement of the parties. If the customer does not decide to move forward with an extension 180 days before a term lapses, Presto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services agreement with our second largest customer was amended in March 2023 to extend the services agreement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been renewed since calendar 2018. The services agreement was renewed on a month-to-month basis up to March 2024. The services agreement can also be terminated by the customer with 30 days prior written notice at any time if there is not an SOW outstanding. </w:t>
      </w:r>
    </w:p>
    <w:p>
      <w:pPr>
        <w:pStyle w:val="TextBody"/>
        <w:keepNext w:val="true"/>
        <w:pageBreakBefore w:val="false"/>
        <w:widowControl/>
        <w:pBdr/>
        <w:spacing w:before="20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Departure of Director and Appointment of New Director</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6, 2023, Kim Lopdrup resigned from the Presto Board. Mr. Lopdrup’s resignation was not the result of any disagreement with Presto or its management with respect to any matter relating to Presto’s operations, policies or practices.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8, 2023, the Presto Board appointed Scott Raskin to the Presto Board. Mr. Raskin serves as a Class III director with a term expiring at Presto’s 2025 annual meeting of stockholders. In addition, Mr. Raskin has been appointed to serve on the Compensation Committee and as its Chair. Mr. Raskin, age 61,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pStyle w:val="TextBody"/>
        <w:keepNext w:val="true"/>
        <w:pageBreakBefore w:val="false"/>
        <w:widowControl/>
        <w:pBdr/>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 is located at 985 Industrial Road, San Carlos, CA 94070. Our telephone number is (650) 817-9012. Our website address is </w:t>
      </w:r>
      <w:r>
        <w:rPr>
          <w:rFonts w:ascii="Times New Roman PS Std;serif" w:hAnsi="Times New Roman PS Std;serif"/>
          <w:b w:val="false"/>
          <w:i/>
          <w:caps w:val="false"/>
          <w:smallCaps w:val="false"/>
          <w:sz w:val="20"/>
          <w:bdr w:val="single" w:sz="8" w:space="10" w:color="000000"/>
        </w:rPr>
        <w:t>www.presto.com</w:t>
      </w:r>
      <w:r>
        <w:rPr>
          <w:rFonts w:ascii="Times New Roman PS Std;serif" w:hAnsi="Times New Roman PS Std;serif"/>
          <w:b w:val="false"/>
          <w:i w:val="false"/>
          <w:caps w:val="false"/>
          <w:smallCaps w:val="false"/>
          <w:sz w:val="20"/>
          <w:bdr w:val="single" w:sz="8" w:space="10" w:color="000000"/>
        </w:rPr>
        <w:t>. Information contained on our website is not a part of this prospectus, and the inclusion of our website address in this prospectus is an inactive textual reference only.</w:t>
      </w:r>
    </w:p>
    <w:p>
      <w:pPr>
        <w:pStyle w:val="TextBody"/>
        <w:keepNext w:val="true"/>
        <w:pageBreakBefore w:val="false"/>
        <w:widowControl/>
        <w:pBdr/>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Emerging Growth Company</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Section 102(b)(1) of the Jumpstart Our Business Startups Act of 2012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Presto’s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earlier of: (1) the last day of the fiscal year (a) following the fifth anniversary of the Closing of Ventoux’s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0" w:after="283"/>
        <w:jc w:val="center"/>
        <w:rPr>
          <w:rFonts w:ascii="Times New Roman PS Std;serif" w:hAnsi="Times New Roman PS Std;serif"/>
          <w:b/>
          <w:i w:val="false"/>
          <w:caps/>
          <w:sz w:val="20"/>
          <w:bdr w:val="single" w:sz="8" w:space="10" w:color="000000"/>
        </w:rPr>
      </w:pPr>
      <w:bookmarkStart w:id="8" w:name="T16"/>
      <w:bookmarkEnd w:id="8"/>
      <w:r>
        <w:rPr>
          <w:rFonts w:ascii="Times New Roman PS Std;serif" w:hAnsi="Times New Roman PS Std;serif"/>
          <w:b/>
          <w:i w:val="false"/>
          <w:caps/>
          <w:sz w:val="20"/>
          <w:bdr w:val="single" w:sz="8" w:space="10" w:color="000000"/>
        </w:rPr>
        <w:t>THE OFFERING</w:t>
      </w:r>
    </w:p>
    <w:tbl>
      <w:tblPr>
        <w:tblW w:w="10205" w:type="dxa"/>
        <w:jc w:val="left"/>
        <w:tblInd w:w="0" w:type="dxa"/>
        <w:tblCellMar>
          <w:top w:w="0" w:type="dxa"/>
          <w:left w:w="0" w:type="dxa"/>
          <w:bottom w:w="0" w:type="dxa"/>
          <w:right w:w="0" w:type="dxa"/>
        </w:tblCellMar>
      </w:tblPr>
      <w:tblGrid>
        <w:gridCol w:w="4651"/>
        <w:gridCol w:w="146"/>
        <w:gridCol w:w="5408"/>
      </w:tblGrid>
      <w:tr>
        <w:trPr/>
        <w:tc>
          <w:tcPr>
            <w:tcW w:w="465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to be issued by us upon exercise of the Resale Warrants to be resold from time to time by the Selling Securityholders</w:t>
            </w:r>
          </w:p>
        </w:tc>
        <w:tc>
          <w:tcPr>
            <w:tcW w:w="146" w:type="dxa"/>
            <w:tcBorders/>
            <w:shd w:fill="auto" w:val="clear"/>
          </w:tcPr>
          <w:p>
            <w:pPr>
              <w:pStyle w:val="TableContents"/>
              <w:spacing w:before="0" w:after="283"/>
              <w:rPr/>
            </w:pPr>
            <w:r>
              <w:rPr/>
              <w:t> </w:t>
            </w:r>
          </w:p>
        </w:tc>
        <w:tc>
          <w:tcPr>
            <w:tcW w:w="5408"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br/>
              <w:t>400,000 shares of Common Stock</w:t>
            </w:r>
          </w:p>
        </w:tc>
      </w:tr>
      <w:tr>
        <w:trPr/>
        <w:tc>
          <w:tcPr>
            <w:tcW w:w="4651"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outstanding</w:t>
            </w:r>
          </w:p>
        </w:tc>
        <w:tc>
          <w:tcPr>
            <w:tcW w:w="146" w:type="dxa"/>
            <w:tcBorders/>
            <w:shd w:fill="auto" w:val="clear"/>
          </w:tcPr>
          <w:p>
            <w:pPr>
              <w:pStyle w:val="TableContents"/>
              <w:spacing w:before="0" w:after="283"/>
              <w:rPr/>
            </w:pPr>
            <w:r>
              <w:rPr/>
              <w:t> </w:t>
            </w:r>
          </w:p>
        </w:tc>
        <w:tc>
          <w:tcPr>
            <w:tcW w:w="540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April 25, 2023, 51,365,106 shares of Common Stock prior to any exercise of the Resale Warrants. </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51,765,106 shares of Common Stock after giving effect to the exercise of all of the outstanding Resale Warrants.</w:t>
            </w:r>
          </w:p>
        </w:tc>
      </w:tr>
      <w:tr>
        <w:trPr/>
        <w:tc>
          <w:tcPr>
            <w:tcW w:w="4651"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shd w:fill="auto" w:val="clear"/>
          </w:tcPr>
          <w:p>
            <w:pPr>
              <w:pStyle w:val="TableContents"/>
              <w:spacing w:before="0" w:after="283"/>
              <w:rPr/>
            </w:pPr>
            <w:r>
              <w:rPr/>
              <w:t> </w:t>
            </w:r>
          </w:p>
        </w:tc>
        <w:tc>
          <w:tcPr>
            <w:tcW w:w="540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not receive any proceeds from the sale of shares of Common Stock by the Selling Securityholders. We expect to receive only nominal proceeds from the exercise of the Resale Warrants. </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w:t>
            </w:r>
          </w:p>
        </w:tc>
      </w:tr>
      <w:tr>
        <w:trPr/>
        <w:tc>
          <w:tcPr>
            <w:tcW w:w="4651"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Ticker Symbol</w:t>
            </w:r>
          </w:p>
        </w:tc>
        <w:tc>
          <w:tcPr>
            <w:tcW w:w="146" w:type="dxa"/>
            <w:tcBorders/>
            <w:shd w:fill="auto" w:val="clear"/>
          </w:tcPr>
          <w:p>
            <w:pPr>
              <w:pStyle w:val="TableContents"/>
              <w:spacing w:before="0" w:after="283"/>
              <w:rPr/>
            </w:pPr>
            <w:r>
              <w:rPr/>
              <w:t> </w:t>
            </w:r>
          </w:p>
        </w:tc>
        <w:tc>
          <w:tcPr>
            <w:tcW w:w="540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PRST</w:t>
            </w:r>
          </w:p>
        </w:tc>
      </w:tr>
      <w:tr>
        <w:trPr/>
        <w:tc>
          <w:tcPr>
            <w:tcW w:w="4651"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shd w:fill="auto" w:val="clear"/>
          </w:tcPr>
          <w:p>
            <w:pPr>
              <w:pStyle w:val="TableContents"/>
              <w:spacing w:before="0" w:after="283"/>
              <w:rPr/>
            </w:pPr>
            <w:r>
              <w:rPr/>
              <w:t> </w:t>
            </w:r>
          </w:p>
        </w:tc>
        <w:tc>
          <w:tcPr>
            <w:tcW w:w="540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other information included in this prospectus for a discussion of factors you should carefully consider before deciding to invest in shares of our Common Stock.</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Unless otherwise indicated, all information in this prospectus relating to the number of shares of our common stock outstanding is based on 51,365,106 shares of Common Stock outstanding as of April 25, 2023 and does not include:</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400,000 shares of Common Stock issuable upon the exercise of the Resale Warrants;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4,500,000 and 8,625,000 shares of Common Stock issuable upon the exercise of certain outstanding warrants that are not Resale Warrants with an exercise price of $11.50 and $8.21 per share, respectively; and</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16,014,728 shares of Common Stock underlying certain outstanding stock options previously granted under the Company’s equity incentive plans.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Unless otherwise indicated, all information in this prospectus reflects or assumes no exercise or termination of options or warrants outstanding as of April 25, 2023.</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9" w:name="T15"/>
      <w:bookmarkEnd w:id="9"/>
      <w:r>
        <w:rPr>
          <w:rFonts w:ascii="Times New Roman PS Std;serif" w:hAnsi="Times New Roman PS Std;serif"/>
          <w:b/>
          <w:i w:val="false"/>
          <w:caps/>
          <w:sz w:val="20"/>
        </w:rPr>
        <w:t>RISK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prospectus, including matters addressed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Business and Business Development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Relating to our Business Plan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manage our growth effectively, we may be unable to execute our business plan, maintain high levels of service and customer satisfaction, or adequately address competitive challenges.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have expanded rapidly and we expect that will continue. To manage our current and anticipated future growth effectively, we must continue to maintain and enhance our finance and accounting systems and controls, as well as our information technology (“IT”) and security infrastructure. For example, we expect we will need to invest in and seek to enhance our supply chain, inventory and IT systems and capabilities, including with respect to internal information sharing and interconnectivity between various systems within our infrastructure.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also attract, train, and retain a significant number of qualified sales and marketing personnel, client support personnel, professional services personnel, software engineers, technical personnel, and management personnel, without undermining our corporate culture of rapid innovation, teamwork, and attention to customer success that has been central to our growth.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effectively manage our growth could also lead us to over-invest or under-invest in our development and operations, result in weaknesses in our infrastructure, systems, or controls, give rise to operational mistakes, financial losses, loss of productivity or business opportunities, and result in loss of employees and reduced productivity of remaining employees. To support our growth, we expect to make significant sales and marketing expenditures to increase sales of our platform and increase awareness of our brand and significant research and development expenses to increase the functionality of our platform and to introduce additional related products and services. A significant portion of our investments in our sales and marketing and research and development activities will precede the benefits from such investments, and we cannot be sure that we will receive an adequate return on our investments. If our management is unable to effectively manage our growth, our expenses may increase more than expected, our revenue may not increase or may grow more slowly than expected, and we may be unable to implement our business strategy.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may be materially adversely affected if our existing and future products fail to achieve and maintain customer acceptance.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is made up of our Touch and AI Platform products, of which the AI Platform products are relatively new. It is possible that these products may be difficult to sell and/or it may become evident that these products, or different products that we develop in the future, are not productive uses of our capital or time. This could result in us modifying our business and focus away from these products. There are substantial risks and uncertainties associated with these efforts, and we could invest significant capital and resources.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eliminate or phase out a product and are not able to offer and successfully market and sell an alternative product, our revenue may decrease, which could have a material adverse effect on our results of operations. Developing new products also imposes burdens on our internal teams, including management, compliance, product development and marketing. These processes are costly, and our efforts to develop, integrate and enhance our products may not be successful, or our initial timetables for the development, introduction and roll-out of new products and profitability targets may not be met. If we incur significant costs in developing new products, if we are not able to successfully market and sell these new products, or if our customers fail to widely accept these new products, there could be a material adverse effect on our results of operations due to a decrease of our revenues and a reduction of our profitability.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revenues, costs, margin, and cash flow may fluctuate because new products generally require startup costs while revenues take time to develop, which may adversely impact our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do not attract new customers and increase our customers’ use of our platform, our business will suffer.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and expect to continue to derive, a majority of our revenue and cash inflows from our integrated cloud-based platform, which encompasses software and hardware components. As such, our ability to attract new customers, retain existing customers, and increase the use of our platform by existing customers is critical to our success.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revenue will depend on our success in attracting additional customers to our platform. Our ability to attract additional customers will depend on a number of factors, including the effectiveness of our sales team, the success of our marketing levels, our levels of investment in expanding our sales and marketing teams, referrals by existing customers,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attracting new customers, we will seek to expand the usage of our platform by broadening the adoption by our customers of various products included within our platform. Further, while many of our customers deploy our platform to all of their restaurant locations, some of our customers initially deploy our platform to a subset of locations. For those customers, we seek to expand the use of our platform to additional locations over time. Our ability to increase adoption of our products by our customers and to increase penetration of our existing customers’ locations will depend on a number of factors, including our customers’ satisfaction with our platform, competition, pricing and our ability to demonstrate the value proposition of our products.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sustain our recent revenue growth in future periods.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grown rapidly over the last several years, and our recent revenue growth rate and financial performance should not be considered indicative of our future performance. You should not rely on our revenue or key business metrics for any previous quarterly or annual period as indicative of our revenue, revenue growth, key business metrics, or key business metrics growth in future periods. In particular, our revenue growth rate has fluctuated in prior periods. We expect our revenue growth rate to fluctuate over the short and long term. We may experience declines in our revenue growth rate as a result of a number of factors, including slowing demand for our platform, insufficient growth in the number of customers and their guests that utilize our platform, increasing competition, changing customer and guest behaviors, a decrease in the growth of our overall market, our failure to continue to capitalize on growth opportunities, the impact of regulatory requirements, and the maturation of our business, among others.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COVID-19 pandemic has adversely impacted and may continue to adversely impact our business, financial condition,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pandemic has adversely affected workforces, consumers, economies, and financial markets globally. The adverse impact of the pandemic has been and may continue to be particularly acute among enterprise restaurant customers, which comprise the majority of our customer base, and many franchisees have been required to cease or substantially diminish business operations for an indeterminate period of time. The pandemic also has disrupted, and may continue to disrupt, our supply chains and relationships with third-party partners. For example, during 2020 and 2021, we experienced difficulties related to equipment availability and spare parts, extended repair times and international shipping delays. These issues resulted in a delay in product expansion and maintenance revenue, as well as increased the time necessary to negotiate customer contracts and for product implementation. While we have seen these difficulties subside during 2022, especially in regards to international shipments, there can be no assurance that these improvements will continue. Furthermore, the pandemic has also had, and may continue to have, a variety of additional effects on our business and operations, including reducing the demand for our platform, restricting our operations and sales and marketing efforts, impeding our ability to conduct product development and other important business activities, and decreasing technology spending.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However, while adversely impacting the restaurant industry and our business, the COVID-19 pandemic has also increased the focus by restaurants on the need for a digital technology platform that can address the need for safe, frictionless, contact-free experiences in restaurants and address off-premise dining. While we believe these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trends may positively impact our business in the longer-term, we cannot predict the extent to which the increased focus on the need for digital solutions such as those offered by our platform will persist. For example, we cannot predict the manner and extent to which the reemergence of on-premise dining and other types of in-person activity will impact our business, including with respect to engaging with our products. Due to the uncertainty of the COVID-19 pandemic, we will continue to assess the situation, including abiding by any government-imposed restrictions, market-by-market. We are unable to accurately predict the ultimate impact that the COVID-19 pandemic will have on our operations going forward due to uncertainties that will be dictated by the length of time that the disruptions resulting from the pandemic continue, which will, in turn, depend on the currently unknowable duration and severity of the COVID-19 pandemic, the impact of governmental regulations that might be imposed in response to the pandemic, the effectiveness and wide-spread availability of the vaccines, the speed and extent to which normal economic and operating conditions will resume, and overall changes in consumer behavior. We also cannot accurately forecast the potential impact of additional outbreaks as government restrictions are relaxed, the impact of further shelter-in-place or other government restrictions that are implemented in response to such outbreaks, or the impact on our customers’ ability to remain in business, each of which could continue to have an adverse impact on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 COVID-19 pandemic adversely affects our business and financial results, it may also have the effect of heightening many of the other risks described in this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section, such as those relating to our liquidity, our indebtedness, and our ability to comply with the covenants contained in the agreements that govern our indebtedness.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limited operating history with our new products in a new and developing market makes it difficult to evaluate our current business and future prospects, and may increase the risk that we will not be successful.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limited operating history with our products, particularly our AI Platform products. As a result, we have less experience with these products and their related pricing models, which makes it difficult to accurately assess our future prospects. You should consider our future prospects in light of the challenges and uncertainties that we face,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it may not be possible to fully discern the trends that we are subject 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we operate in a new and developing market with a rapidly changing competitive landscape;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we may be unable to accurately predict our revenue and operating expenses for new products that we release;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enhance or retain our brand among customers and potential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we may in the future enter into additional new and developing markets that may not develop as we expect or that our platform may not adequately address;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elements of our business strategy are new and subject to ongoing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encountered and will continue to encounter risks and difficulties frequently experienced by growing companies in rapidly changing industries, including increasing and unforeseen expenses as we continue to grow our business. If our assumptions regarding these risks and uncertainties, which we use to plan and operate our business, are incorrect or change, or if we do not manage these risks successfully, our reputation, business, results of operations, and prospects will be harmed.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generate significant revenue from a small number of large customers, and the loss or decline in revenue from any of these customers could harm our business, results of operations, and financial condition.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and 2021 and the years ended June 30, 2022 and 2021, our three largest restaurant logos (including, as applicable, the franchisees of such restaurants aggregated as a single customer for reporting purposes) generated an aggregate of approximately 97%, 94%, 93% and 93% of our revenue, respectively. Although these customers have previously entered into multi-year term contracts with us, they may reduce or terminate their usage of our platform or decide not to renew their agreements with us and we have and may continue to transition certain customer relationships between the enterprise and franchisee levels.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 the past, and we may in the future, lose one or more of our largest customers. While no such losses have been material to date, in the event that any other of our largest restaurant customers do not continue to use our platform, use fewer of our products, use our products in a more limited capacity, or not at all, our business, results of operations, and financial condition could be adversely affected in the future.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continue to improve and enhance the functionality, performance, reliability, design, security, or scalability of our platform in a manner that responds to our customers’ evolving needs, our business may be adversely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industry is characterized by rapid technological change, frequent new product and service introductions, and evolving industry standards. Our success has been based on our ability to identify and anticipate the needs of our customers and design and maintain a platform that provides them with the tools they need to operate their businesses in a manner that is productive and meets or exceeds their expectations. Our ability to attract new customers and increase sales to both new and existing customers will depend in large part on our ability to continue to improve and enhance the functionality, performance, reliability, design, security, and scalability of our platform. Additionally, to achieve and maintain market acceptance for our platform, we must effectively integrate with new or existing software solutions that meet changing customer demands in a timely manner.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expand our platform and services, and as the number of our customers with higher volume sales increases, we expect that we will need to offer increased functionality, scalability and support, including to keep our platform, systems, and services secure, which requires us to devote additional resources to such efforts. To the extent we are not able to enhance our platform’s functionality in order to maintain its utility and security, enhance our platform’s scalability in order to maintain its performance and availability, or improve our support functions in order to meet increased customer service demands, our business, operating results, and financial condition could be adversely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experience difficulties with software development that could delay or prevent the development, deployment, introduction, or implementation of new products and enhancements. Software development involves a significant amount of time, as it can take our developers months to update, code, and test new and upgraded products and integrate those products into our platform. We must also continually update, test, certify, maintain, and enhance our software platform. We may make significant investments in new products or enhancements that may not achieve expected returns. The continual improvement and enhancement of our platform requires significant investment and we may not have the resources to make such investment.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brand is integral to our success. If we fail to effectively maintain, promote, and enhance our brand, our business and competitive advantage may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maintaining, promoting, and enhancing the Presto brand is critical to expanding our business. Maintaining and enhancing our brand will depend largely on our ability to continue to provide high-quality, well-designed, useful, reliable, and innovative products, which we may not do successfully in the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Errors, defects, security incidents, disruptions, or other performance problems with our platform, including with third-party applications, services, or partners, including our partners who provide payment processing services, may harm our reputation and brand. We may introduce new products or terms of service that our customers or their consumers do not like, which may negatively affect our brand. Additionally, if our customers or their consumers have a negative experience using our products or third-party solutions integrated within our platform, such an experience may affect our brand, especially as and if we continue to attract multi-location restaurant customers to our platform.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unfavorable media coverage or negative publicity about our company, for example, the quality and reliability of our platform, our privacy and security practices or the loss or misuse of our customer data or consumers’ personal information, our platform changes, litigation, or regulatory activity, or regarding the actions of our partners or our customers, could seriously harm our reputation. Such negative publicity could also adversely affect the size, demographics, engagement, and loyalty of our customers, and result in decreased revenue, which could seriously harm our business.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importance of brand recognition will increase as competition in our market increases, which we expect to occur. In addition to our ability to provide reliable and useful products at competitive prices, successful promotion of our brand will depend on the effectiveness of our marketing efforts. While we primarily market our platform through direct sales efforts, our platform is also marketed through a number of free traffic sources, including customer referrals and word-of-mouth. Our efforts to market our brand have involved significant expenses, which we intend to increase, and as our market becomes increasingly competitive, these marketing initiatives may become increasingly difficult and expensive. Our marketing spend may not yield increased revenue, and even if it does, any increased revenue may not offset the expenses we incur in building and maintaining our brand.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on the continued services and performance of our senior management and other key employees, the loss of any of whom could adversely affect our business, operating results, and financial condition. We may also engage the services of third parties who provide consulting services to support our business and the failure to identify and/or retain such third parties could adversely affect our business, operating results and financial condition.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performance depends on the continued services and contributions of our senior management and other key employees to execute on our business plan, keep our platform stable and secure, and to identify and pursue new opportunities and platform innovations. The failure to properly manage succession plans or the loss of services of senior management or other key employees could significantly delay or prevent the achievement of our strategic objectives. From time to time, there may be changes in our senior management team resulting from the hiring or departure of executives, which could disrupt our business. We do not maintain key person life insurance policies on any of our employees.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 the services of third parties who provide us with certain consulting services to support our business. Any failure to identify and/or retain such third parties could adversely affect our business, operating results and financial condition and could require significant amounts of time and resources to find suitable replacements.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recruit, retain, and develop qualified personnel is critical to our success and growth.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 addition, we must develop, maintain and, as necessary, implement appropriate succession plans to ensure we have the necessary human resources capable of maintaining continuity in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In addition, job candidates and existing employees often consider the value of the equity awards they receive in connection with their employment. The trading price of our Common Stock following the Business Combination has been volatile, has been subject to fluctuations in response to various factors and may not appreciate. If the perceived value of our equity awards declines for these or other reasons, it may adversely affect our ability to attract and retain highly qualified employees. Our employees may receive significant proceeds from sales of our equity in the public markets following the Business Combination, which may reduce their motivation to continue to work for us.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future litigation against us could be costly and time-consuming to defend.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become subject to legal proceedings and claims that arise in the ordinary course of business, such as claims brought by our customers, our partners, or third parties in connection with commercial disputes 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make acquisitions and investments, or successfully integrate them into our business, our business, results of operations and financial condition could be adversely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growth strategy, we will continue to consider a wide array of potential strategic transactions, including acquisitions of businesses, new technologies, services and other assets and strategic investments that complement our business. We may evaluate target companies and make acquisitions in the future. There is no assurance that such acquired businesses will be successfully integrated into our business or generate substantial growth or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Acquisitions involve numerous risks, any of which could harm our business and negatively affect our financial condition and results of operations,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intense competition for suitable acquisition targets, which could increase prices and adversely affect our ability to consummate deals on favorable or acceptable terms;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or material delay in closing a transaction;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need for additional capital that was not anticipated at the time of the acquisition;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transaction-related lawsuits or claims;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integrating the technologies, operations, existing contracts and personnel of an acquired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retaining key employees or business partners of an acquired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diversion of financial and management resources from existing operations or alternative acquisition opportunities;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realize the anticipated benefits or synergies of a transaction;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identify the problems, liabilities or other shortcomings or challenges of an acquired company or technology, including issues related to intellectual property, regulatory compliance practices, litigation, accounting practices, or employee or user issues;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regulatory bodies may enact new laws or promulgate new regulations that are adverse to an acquired company or business;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theft of our trade secrets or confidential information that we share with potential acquisition candidates;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 that an acquired company or investment in new offerings cannibalizes a portion of our existing business;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market reaction to an acquisition.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results of operations and financial condition could be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Businesses we acquire may not have disclosure controls and procedures and internal controls over financial reporting, cybersecurity controls and data privacy compliance programs, or their existing controls and programs may be weaker than or otherwise not in conformity with ours.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Depending upon the nature and scale of any future businesses we acquire, the implementation of our disclosure controls and procedures as well as the implementation of our internal controls over financial reporting, cybersecurity and data privacy at an acquired company may be a lengthy process and may divert our attention from other business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Our integration efforts may periodically expose deficiencies or suspected deficiencies in the controls, procedures and programs of an acquired company that were not identified in our due diligence undertaken prior to consummating the acquisition. Where there exists a risk of deficiencies in controls, procedures or programs, we may not be in a position to comply with our obligations under applicable laws, regulations, rules and listing standards or we may be required to avail ourselves of scope limitations with respect to certifications required thereunder, and, as a result, our business and financial condition may be materially harmed.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pricing decisions and pricing models may adversely affect our ability to attract new customers and retain existing 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experience determining the optimal prices for our newest products. We have changed our pricing model from time to time and expect to do so in the future. It may turn out that the new pricing models, or the pricing for any other products we may develop, are not optimal, which may result in our products not being profitable or not gaining market share. As competitors introduce new products that compete with ours, we may be unable to attract new customers at the same price or based on the same pricing models that we have used historically. Pricing decisions and pricing models may also impact the mix of adoption among our products and negatively impact our overall revenue. Moreover, restaurant brands may be sensitive to price increases or to the prices offered by competitors. As a result, in the future we may be required to reduce our prices, which could adversely affect our revenue, profitability, financial position, and cash flows.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technical and maintenance support services are not satisfactory to our customers, they may not buy future products, which could materially and adversely affect our future results of operations and financial condition.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relies on our customers’ satisfaction with the technical and maintenance support services we provide to support our products. If we fail to provide technical and maintenance support services that are responsive, satisfy our customers’ expectations, and timely resolve issues that they encounter with our products, then they may not purchase additional products from us in the future.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maintain a consistently high level of customer service or if we fail to manage our reputation, our brand, business and financial results may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focus on customer service and support is critical to attract and onboard new customers and grow our business. As a result, we have invested heavily in the quality and training of our support team, along with the tools they use to provide this service.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our customers has grown significantly, which puts additional pressure on our support staff. If we are unable to provide efficient and effective customer support at scale, our ability to grow our operations may be harmed and we may need to hire additional support personnel, which could harm our margins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our third-party service providers are unable to maintain a consistently high level of customer service, we may lose existing customers. In addition, our ability to attract new customers is highly dependent on our reputation and on positive recommendations from our existing customers. Any failure to maintain a consistently high level of customer service and to help our customers quickly resolve issues and provide effective ongoing support could harm our ability to retain existing customers and attract new customers and our reputation with existing or potential customers could suffer. We may experience difficulties maintaining a consistent level of service across our international operations and third-party providers.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cannot maintain our corporate culture as we grow, our success and our business and competitive position may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 key contributor to our success to date has been our corporate culture, which is based on an ownership mentality, teamwork, customer focus, integrity, and respect. Any failure to preserve our culture could negatively affect our ability to retain and recruit personnel, which is critical to our growth, and to effectively focus on and pursue our corporate objectives. Our anticipated headcount growth and our transition from a private company to a public company may make it difficult to maintain these important aspects of our culture. If we fail to maintain our corporate culture, or if we are unable to retain or hire key personnel, our business and competitive position may be harmed.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Increases in food, labor, and occupancy costs could adversely affect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success is dependent, in part, on the ability of our restaurant customers to increase the size and revenue of their business. These customers may experience increased operating costs, including as a result of changes to food, labor, occupancy, insurance, and supply costs, as well as costs of safety equipment related to the COVID-19 pandemic, rising inflation and interest rates, and they may be unable to recover these costs through increased menu prices. Various factors beyond our control, including government regulations relating to independent contractor classifications and minimum wage increases, may affect the total cost of running a restaurant. If our current or future customers are unable to maintain or increase the size and revenue of their business, or maintain profitability, our business, financial condition, and results of operations could be harmed.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risk management strategies may not be fully effective in mitigating our risk exposure in all market environments or against all types of risk.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rapidly changing industry. Accordingly, our risk management strategies may not be fully effective to identify, monitor, and manage all risks that our business encounters. In addition, when we introduce new products, focus on expanding relationships with new types of customers, or begin to operate in new markets, we may be less able to forecast risk levels and reserve accurately for potential losses, as a result of fraud or otherwise. If our strategies are not fully effective or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Provisions of our financial instruments may restrict our ability to pursue our business strategies.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party to a credit agreement (as amended, restated, supplemented or otherwise modified from time to time, including as amended by the First Amendment (defined below), the “Credit Agreement”) with Metropolitan, as administrative, payment and collateral agent, the lenders and other parties party thereto, pursuant to which such lenders extended us term loans having an aggregate original principal amount of $55 million, which we borrowed in full at the consummation of the Business Combination. On March 31, 2023, we entered into a Waiver and First Amendment to Credit Agreement with Metropolitan, as administrative, payment and collateral agent, the lenders and other parties party thereto, pursuant to which the parties thereto agreed to, among other things, temporarily waive compliance with certain financial covenants and permanently waive certain defaults (the “First Amendment”). The First Amendment temporarily waives compliance with certain financial covenants, including a minimum cash covenant and maximum net leverage ratio of 1.20 to 1.00, as well as amending other affirmative and restrictive covenants. The terms of our outstanding debt may restrict our current and future operations and could adversely affect our ability to finance our future operations or capital needs or to execute business strategies in the manner desired. In addition, complying with these covenants may make it more difficult for us to successfully execute our business strategy, invest in our growth strategy, and compete against companies who are not subject to such restrictions.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failure by us to comply with these covenants or the payment requirements specified in our financial instruments could result in an event of default under the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may not have sufficient cash or be able to borrow sufficient funds to refinance the debt or sell sufficient assets to repay the debt, which could materially and adversely affect our cash flows, business, results of operations, and financial condition. There can be no assurance that we will remain in compliance with the covenants set forth in the Credit Agreement, and if we do not comply with such covenants, our debt may be accelerated, which could adversely affect us. Further, the terms of any new or additional financing may be on terms that are more restrictive or less desirable to 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Technology and Privacy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transmit and store personal information and other confidential information of our partners, our customers, and consumers. Third-party applications integrated with our platform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platform, and, therefore, we do not control the substance of the content on our servers, which may include personal information. Additionally, we use third-party service providers and subprocessors to help us deliver services to customers and consumers.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consumers.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integrate with a number of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In addition, if our security measures fail to protect credit card information adequately, we could be liable to our partners, our customers and, consumers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regulatory framework for privacy and security issues in the United States is rapidly evolving. Laws in all 50 states require us to provide notice to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California Consumer Privacy Act of 2018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product and the growth of our company.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Security breaches, denial of service attacks, or other hacking and phishing attacks on our systems or the systems with which our platform integrates could harm our reputation or subject us to significant liability, and adversely affect our business and financial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an industry which is prone to cyber-attacks. In our operation as a private company, our board of directors reviews cybersecurity risks brought to its attention by members of senior management who report up to our board of directors. We have an established in-house security team which is responsible for reviewing and overseeing our cybersecurity program and bringing any cybersecurity risks to the attention of leadership and the board of directors. Failure to prevent or mitigate security breaches and improper access to or disclosure of our data, our customers’ data, or their consumers’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platform also integrates with third-party applications and points of sale (“POS”) and management systems over which we exercise no control. Such third-party applications and POS and management systems are also susceptible to security breaches, which could directly or indirectly result in a breach of our platform. The failure of a customer’s third-party front-end provider to adequately protect their systems could result in an attack that we are unable to prevent from the back-end, which could result in a service outage for all customers, and may require us to take the affected customer offline to restore service to the platform for other customers. In addition, techniques used to sabotage or to obtain unauthorized access to data change frequently. As a result, we may be unable to anticipate these techniques or implement adequate measures to prevent an intrusion into our networks directly, or into our platform through the third-party applications or POS and management systems with which our platform integrates.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storage and use of our customers’ data concerning their restaurants and consumers is essential to their use of our platform, which stores, transmits and processes our customers’ proprietary information and information relating to them and consumers. If a security breach were to occur, as a result of third-party action, employee error, malfeasance, or otherwise, and the confidentiality, integrity or availability of our customers’ data was disrupted, we could incur significant liability to our customers and their consumers, and our platform may be perceived as less desirable, which could negatively affect our business and damage our reputation. In addition, any loss of customer or individual consumer data could create significant monetary damages for us that may harm our ability to operate the business.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security vulnerability in our platform or POS integration software could compromise our customers’ in-store networks, which could expose customer or consumer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platform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our platform and third-party applications, services, or POS and management systems integrated with our platform, could be breached if vulnerabilities in our platform or third-party applications or POS and management systems are exploited by unauthorized third parties or due to employee error, malfeasance, or otherwise. Further, third parties may attempt to fraudulently induce employees or customers into disclosing sensitive information such as user names, passwords, or other information or otherwise compromise the security of our internal networks, electronic systems and/or physical facilities in order to gain access to our data or our customers’ data. Because techniques used to obtain unauthorized access change frequently and the size and severity of DDoS attacks and security breaches are increasing, we may be unable to implement adequate preventative measures or stop DDoS attacks or security breaches while they are occurring. In addition to our own platform and applications, some of the third parties we work with may receive information provided by us, by our customers, or by our customers’ consumers through web or mobile applications integrated with our platform. If these third parties fail to adhere to adequate data security practices, or in the event of a breach of their networks, our own and our customers’ data may be improperly accessed, used, or disclosed.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actual or perceived DDoS attack or security breach of our platform,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performance problems associated with our technology and infrastructure may adversely affect our business and operating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continued growth depends in part on the ability of our existing and potential customers to access our platform at any time and within an acceptable amount of time. Our platform is proprietary, and we rely on the expertise of members of our engineering, operations, and software development teams for our platform’s continued performance. We have experienced, and may in the future experience, disruptions, outages, and other performance problems related to our platform due to a variety of factors, including infrastructure changes, introductions of new functionality, human or software errors, delays in scaling our technical infrastructure if we do not maintain enough excess capacity and accurately predict our infrastructure requirements, capacity constraints due to an overwhelming number of users accessing our platform simultaneously, denial-of-service attacks, human error,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Our systems also may be subject to break-ins, sabotage, theft, and intentional acts of vandalism, including by our own employees. Some of our systems are not fully redundant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our disaster recovery planning may not be sufficient for all eventualities. Further, our business and/or network interruption insurance may not be sufficient to cover all of our losses that may result from interruptions in our service as a result of systems failures and similar events.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experience limited periods of server downtime due to server failure or other technical difficulties. In some instances, we may not be able to identify the cause or causes of these performance problems within an acceptable period of time. It may become increasingly difficult to maintain and improve our performance, especially during peak usage times and as our platform becomes more complex and our user traffic increases. If our platform is unavailable or if our users are unable to access our platform within a reasonable amount of time, or at all, our business would be adversely affected and our brand could be harmed. In the event of any of the factors described above, or certain other failures of our infrastructure, customer or guest data may be permanently lost. Moreover, a limited number of our agreements with customers may provide for limited service level commitments from time to time.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experience significant periods of service downtime in the future, we may be subject to claims by our customers against these service level commitments. These events have resulted in losses in revenue, though such losses have not been material to date. System failures in the future could result in significant losses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we do not effectively address capacity constraints, upgrade our systems as needed, and continually develop our technology and network architecture to accommodate actual and anticipated changes in technology, our business and operating results may be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upon customers’ continued and unimpeded access to the internet, and upon their willingness to use the internet for commerce.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platform.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Defects, errors, or vulnerabilities in our applications, backend systems, hardware, or other technology systems and those of third-party technology providers could harm our reputation and brand and adversely impact our business, financial condition,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software underlying our platform is highly complex and may contain undetected errors or vulnerabilities, some of which may only be discovered after the code has been released. Our practice is to effect frequent releases of software updates. Third-party software that we incorporate into our platform and our backend systems, hardware, or other technology systems, or those of third-party technology providers, may also be subject to defects, errors, or vulnerabilities. Any such defects, errors, or vulnerabilities could result in negative publicity, a loss of customers or loss of revenue, and access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Condition and Capital Requirements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generating net losses, and if we are unable to achieve adequate revenue growth while our expenses increase, we may not achieve or maintain profitability in the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a net loss in each year since our inception and have a significant accumulated deficit. We incurred net losses since our inception, including net losses of $27.8 million, $13.6 million, $56.3 million and $49.8 million for the six month periods ended December 31, 2022 and 2021 and the fiscal years ended June 30, 2022 and 2021, respectively. As of December 31, 2022, we had an accumulated deficit of $183 million. Our losses and accumulated deficit are a result of the substantial investments we have made to grow our business. We expect our costs will increase over time and our losses to continue as we expect to continue to invest significant additional funds in expanding our business, sales, and marketing activities, research and development as we continue to build software designed specifically for the restaurant industry, and maintaining high levels of customer support, each of which we consider critical to our continued success. We also expect to incur additional general and administrative expenses as a result of our growth and expect our costs to increase to support our operations as a public company. In addition, to support the continued growth of our business and to meet the demands of continuously changing security and operational requirements, we plan to continue investing in our operations and technology infrastructure.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we may make decisions that would adversely affect our short-term operating results if we believe those decisions will improve the experiences of our customers and their guests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substantial doubt about our ability to continue as a going concern if we do not receive additional financing in a timely manner.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we have incurred recurring net losses and negative cash flows from operating activities, and we have financed operations primarily through financing transactions, such as the issuance of convertible promissory notes and loans, and sales of convertible preferred stock. As of December 31, 2022 and June 30, 2022, respectively, we had an accumulated deficit of $183 million and $200.8 million and we expect to continue to generate significant operating losses for the foreseeable future. Therefore, cash and cash equivalents may not be sufficient to fund operating expenses, currently anticipated expenditures and other obligations as they come due, and we may require additional capital infusion to fully fund our ongoing operations. As a result, substantial doubt exists about our ability to continue as a going concern within one year after the issuance date of our financial statements for the three and six month periods ended December 31, 2022 and the fiscal year ended June 30,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demand for or pricing of our platform, or any of our products;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usage of our platform, including due to the potential lack of durability of the growth we have experienced in the near term due to COVID-19 and the associated shelter-in-place orders on consumer preferences for digital ordering and customer adoption of new products as COVID-19 associated restrictions abate;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new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customer purchases and deployments;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expansion rates;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investment in new products relative to investments in our existing infrastructure and platform;</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or delays in purchasing decisions in anticipation of new products or enhancements by us or our competitors;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customers’ budgets and in the timing of their budget cycles and purchasing decisions;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payment for operating expenses, particularly research and development and sales and marketing expenses, including sales commissions;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non-cash expenses, including stock-based compensation, goodwill impairments and other non-cash charges;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costs associated with recruiting, training and integrating new employees and retaining and motivating existing employees;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acquisitions and their integration;</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both domestically and internationally, as well as economic conditions specifically affecting industries in which our customers participate;</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epidemics or pandemics, such as the COVID-19 pandemic;</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 levels of consumer and business confidence typically associated with inflationary or recessionary environments;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new accounting pronouncements;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regulatory or legal environments that may cause us to incur, among other elements, expenses associated with compliance;</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competitive dynamics of our market, including consolidation among competitors, customers, or our partners;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significant security breaches of, technical difficulties with, or interruptions to, the delivery and use of our modules and platform capabilities or third-party applications or POS or management systems that our platform integrates with; and</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events or factors, including those resulting from hostilities or wars (such as the ongoing invasion of Ukraine by Russia), incidents of terrorism, natural disasters or responses to such events.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conditions in the restaurant industry or the global economy could limit our ability to grow our business and materially impact our financial performance.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results may vary based on the impact of changes in the restaurant industry or the global economy on us or our customers and their guests. Our revenue growth and potential profitability depend on demand for business management software and platforms serving the restaurant industry. Historically, during economic downturns, there have been reductions in spending on IT as well as pressure for extended billing terms and other financial concessions. If economic conditions deteriorate, our current and prospective customers may elect to decrease their IT budgets, which would limit our ability to grow our business and adversely affect our operating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These factors could include: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declining economies and the pace of economic recovery which can change consumer spending behaviors;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 levels of consumer and business confidence typically associated with recessionary environments;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 unemployment levels, which may result in decreased spending by consumers;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budgetary concerns in the United States and other countries around the world, which could impact consumer confidence and spending;</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and volatility in the performance of our customers’ businesses;</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customers or consumers decreasing spending for value-added services we market and sell;</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actions, including the effect of laws and regulations and any related government stimulus; and</w:t>
      </w:r>
    </w:p>
    <w:p>
      <w:pPr>
        <w:pStyle w:val="TextBody"/>
        <w:keepNext w:val="false"/>
        <w:pageBreakBefore w:val="false"/>
        <w:widowControl/>
        <w:pBdr/>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disruptions impacting global supply, including those attributable to the ongoing COVID-19 pandemic and those resulting from the ongoing invasion of Ukraine by Russia.</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COVID-19 pandemic, the ongoing invasion of Ukraine by Russia and rising inflation and interest rates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Furthermore, if we issue additional equity securities, stockholders will experience dilution, and the new equity securities could have rights senior to those of our existing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net operating loss carryforwards and certain other tax attributes may be limited.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federal and state NOLs for approximately $134.7 million and $41.6 million, respectively. The state NOLs begin to expire in 2029 if not utilized. It is possible that we will not generate taxable income in time to use NOLs before their expiration, or at all. Under Section 382 and Section 383 of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the Business Combination.</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Tax Cuts and Jobs Act (the “Tax Act”), as amended by the Coronavirus Aid, Relief, and Economic Security Act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2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NOLs arising in tax years ending after December 31, 2017 can be carried forward indefinitely, but NOLs generated in tax years ending before January 1, 2018 will continue to have a two-year carryback and twenty-year carryforward period. The balance of our valuation allowance offset our U.S. NOLs at June 30, 2022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pStyle w:val="TextBody"/>
        <w:keepNext w:val="true"/>
        <w:pageBreakBefore w:val="false"/>
        <w:widowControl/>
        <w:pBdr/>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experience elements of seasonal fluctuations in our financial results, which could cause our stock price to fluctuate.</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highly dependent on the behavior patterns of our customers and their guests. For example, our transaction revenue per location has historically been stronger in the second and third quarters as a result of our customers experiencing greater sales during warmer months, though this effect varies regionally. Seasonality may cause fluctuations in our financial results, and other trends that develop may similarly impact our results of operations.</w:t>
      </w:r>
    </w:p>
    <w:p>
      <w:pPr>
        <w:pStyle w:val="TextBody"/>
        <w:keepNext w:val="true"/>
        <w:pageBreakBefore w:val="false"/>
        <w:widowControl/>
        <w:pBdr/>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procure third-party insurance policies to cover various operations-related risks including property and general liability, professional liability, directors’ and officers’ liability, workers’ compensation, cybersecurity, technology errors and omissions, ocean/marine cargo, commercial crime and other coverage in amounts and on terms deemed adequate by our management.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it would be unable to pay any operations-related claims that we make. Further, some of our agreements with customers may require that we procure certain types of insurance, and if we are unable to obtain and maintain such insurance, we would be in violation of the terms of these customer agreements.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turmoil in the banking industry may negatively impact our business, results of operations and financial condition.</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(“SVB”) and Signature Bank (“SNY”),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2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At December 31, 2022,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Competition, Sales, and Marketing</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highly competitive. We may not be able to compete successfully against current and future competitors.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competition in various aspects of our business and we expect such competition to intensify in the future, as existing and new competitors, including some of our current partners, introduce new products or enhance existing products that are directly competitive with our products. Our platform combines functionality from numerous product categories, and we may compete against providers in each of these categories, including Touch and AI Platform. Our potential new or existing competitors may be able to develop solutions that are better received by customers or may be able to respond more quickly and effectively than we can to new or changing opportunities, technologies, regulations, or customer requirements. If competitors, many of which are much better capitalized than we are, are successful in providing our customers with more attractive products or pricing, our business and results of operation may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they control. In addition, certain customers may choose to partner with our competitors in a specific geographic market, or choose to engage exclusively with our competitors. Further, our current partners could add features to their products, including POS functionality, limit or terminate the availability of their products on our platform, or directly compete with our products by expanding their product offerings.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Mergers of or other strategic transactions by our competitors, our customers, or our partners could weaken our competitive position or reduce our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one or more of our competitors partners were to consolidate or partner with another one of our competitors the change in landscape could adversely affect our ability to compete effectively. Our competitors may also establish or strengthen cooperative relationships with our third party partners, thereby limiting our ability to promote our platform. In addition, we may lose customers that merge with or are acquired by companies using a competitor’s or an internally developed solution. Disruptions in our business caused by these events could adversely affect our revenue growth and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sales cycles can be long and unpredictable, and our sales efforts require considerable investment of time and expense. If our sales cycle lengthens or we invest substantial resources pursuing unsuccessful sales opportunities, our operating results and growth would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historically incurred significant costs and experienced long sales cycles when selling to customers. In the restaurant brand market segment, the decision to adopt any of our products may require the approval of multiple technical and business decision makers, including security, compliance, operations, finance and treasury, marketing, and IT. In addition, while our customers may more quickly deploy our products on a limited basis, before they will commit to deploying our products at scale, they often require extensive education about our platform and significant customer support time or pilot programs, engage in protracted pricing negotiations and seek to secure development resources. In addition, sales cycles for our customers in general and larger customers in particular, are inherently complex and unpredictable. These complex and resource intensive sales efforts could place additional strain on our development and engineering resources. Further, even after our customers contract to use our platform, they may require extensive integration or deployment resources from us before they become active customers, which have at times extended to multiple quarterly periods following the execution of the agreement. Finally, our customers may choose to develop their own solutions that do not include any or all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our products. They also may demand reductions in pricing as their usage of our platform increases, which could have an adverse impact on our gross margin. If we are unable to increase the revenue that we derive from these customers, then our business, results of operations and financial condition may be adversely affected.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Partners and Other Third Parties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may be affected from time to time by design and manufacturing defects that could adversely affect our business and result in harm to our reputation.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products that can be affected by design and manufacturing defects. Defects may exist in components and products that we source from third parties. Any such defects could make our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products. As a result, our products may not perform as anticipated and may not meet customer expectations. There can be no assurance that we will be able to detect and fix all issues and defects in the hardware in our products. Failure to do so could result in widespread technical and performance issues affecting our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at risk of shortages, price increases, changes, delays or discontinuations of that hardware, particularly in regards to our Touch product, which could disrupt and materially adversely affect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Touch product requires the use of third-party hardware that we sell to customers. Due to such reliance, we are subject to the risk of shortages and long lead times in the supply of hardware needed for our Touch product.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 the past experienced, and may in the future experience, product shortages or delays or other hardware problems, and the availability of such products may be difficult to predict. Additionally, various sources of supply-chain risk, including strikes or shutdowns at delivery ports, civil unrest, hostilities or wars (such as the ongoing invasion of Ukraine by Russia), disruptions or shutdowns caused by health crises such as the COVID-19 pandemic, or loss of or damage to hardware products while they are in transit or storage, could limit the supply of such products. We are reliant on one supplier for our legacy Touch product device and one supplier for our latest-generation Touch device, and in the event of a shortage or supply interruption from those suppliers, or should those suppliers be otherwise unable to supply products to us in the quantities and on the time frames we require, we may not be able to develop alternate sources quickly, cost-effectively, or at all. For additional information on these suppliers and our agreements with them, see the section entitled “</w:t>
      </w:r>
      <w:r>
        <w:rPr>
          <w:rFonts w:ascii="Times New Roman PS Std;serif" w:hAnsi="Times New Roman PS Std;serif"/>
          <w:b w:val="false"/>
          <w:i/>
          <w:caps w:val="false"/>
          <w:smallCaps w:val="false"/>
          <w:sz w:val="20"/>
        </w:rPr>
        <w:t>Business — Platform and Product Offering</w:t>
      </w:r>
      <w:r>
        <w:rPr>
          <w:rFonts w:ascii="Times New Roman PS Std;serif" w:hAnsi="Times New Roman PS Std;serif"/>
          <w:b w:val="false"/>
          <w:i w:val="false"/>
          <w:caps w:val="false"/>
          <w:smallCaps w:val="false"/>
          <w:sz w:val="20"/>
        </w:rPr>
        <w:t>.” Any interruption or delay in product supply, any increases in product costs, or the inability to obtain this hardware from alternate sources at acceptable prices and within a reasonable amount of time, would harm our ability to provide it to our customers on a timely basis. This could harm our relationships with our customers, prevent us from acquiring new customers, and materially and adversely affect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substantially on one third-party to process payments made by guests of our customers, and if we cannot manage risks related to our relationships with this payment processor or any future third-party payment processors, our business, financial condition, and results of operations could be adversely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currently substantially rely on Fiserv as our third-party payment processor to process payments made by guests of customers on our platform. While we are seeking to develop payment processing relationships with other payment processors, we expect to continue to rely on a limited number of payment processors for the foreseeable future. In the event that Fiserv or any additional third-party payment processors in the future fail to maintain adequate levels of support, experience interrupted operations, do not provide high quality service, discontinue their lines of business, terminate their contractual arrangements with us, or cease or reduce operations, we may suffer additional burden and be required to pursue new third-party relationships, which could materially disrupt our operations and our ability to provide our products and services, and could divert management’s time and resources. In addition, such incidents could result in periods of time during which our platform cannot function properly, and therefore cannot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 payments from customers and their guests, which could adversely affect our relationships with our customers and our business, reputation, brand, financial condition, and results of operations. It would be difficult to replace third-party processors, including Fiserv, in a timely manner if they were unwilling or unable to provide us with these services in the future, and our business and operations could be adversely affected. If these services fail or are of poor quality, our business, reputation, and operating results could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Fiserv or any additional third-party payment processors in the future are subjected to losses, including any fines for reversals, chargebacks, or fraud assessed by Visa, Mastercard and other payment networks (collectively, the “Payment Networks”), that are caused by us or our customers due to failure to comply with the Payment Network rules or applicable law, our third-party payment processor may impose penalties on our customers or restrict our ability to process transactions through the Payment Networks, and we may lose our ability to process payments through one or more Payment Networks. Thus, in the event of a significant loss by Fiserv or any future third-party payment processor, we may be required to expend a large amount of cash promptly upon notification of the occurrence of such an event. A contractual dispute with our processing partner could adversely affect our business, financial condition, or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computer hardware, purchased or leased, and software licensed from and services rendered by third parties in order to run our business.</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computer hardware, purchased or leased, and software licensed from and services rendered by third parties in order to run our business. Third-party hardware, software and services may not continue to be available on commercially reasonable terms, or at all.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Payment transactions processed on our platform may subject us to regulatory requirements and the rules of payment card networks, and other risks that could be costly and difficult to comply with or that could harm our business.</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engaged in activity requiring licensing or registration. In that event, we may be subject to monetary penalties, adverse publicity, and may be required to cease doing business with residents of those states until we obtain the requisite license or registration.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upon Amazon Web Services and other infrastructure to operate our platform, and any disruption of or interference with our use of these providers would adversely affect our business, results of operations, and financial condition.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outsource substantial portions of our cloud infrastructure to Amazon Web Services (“AWS”),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AWS and other infrastructure providers, which could negatively impact our revenue. We have experienced, and expect that in the future we may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 more complex and the usage of our platform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estimates and information contained in this prospectus are based on information from third-party sources, and we do not independently verify the accuracy or completeness of the data contained in such sources or the methodologies for collecting such data. Any real or perceived inaccuracies in such estimates or information may harm our reputation and adversely affect your ability to evaluate our business.</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estimates and information contained in this prospectus, including general expectations concerning our industry and the market in which we operate, our market opportunity, and our market size, are based to some extent on information provided by third parties. This information involves a number of assumptions and limitations, and, although we believe the information from such third-party sources is reliable, we have not independently verified the accuracy or completeness of the information contained in such third-party sources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pStyle w:val="TextBody"/>
        <w:keepNext w:val="false"/>
        <w:pageBreakBefore w:val="false"/>
        <w:widowControl/>
        <w:pBdr/>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market opportunity estimates included in this prospectus are subject to significant uncertainty and are based on assumptions and estimates that may not prove to be accurate. Not every customer included in our market opportunity estimates will necessarily purchase any, or all, of the products on our platform, and some or many of those potential customers may choose to use products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prospectus, our business could fail to grow for a variety of reasons, including competition, customer preferences and the other risks described in this prospectus. Accordingly, the estimates of market opportunity and forecasts of market growth included in this prospectus should not be taken as necessarily indicative of our future growth.</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growth depends in part on the success of our strategic relationships with third parties and our ability to integrate with third-party applications and software.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our platform depends, in part, on our ability to integrate third-party applications, software, and other offerings into our platform. We anticipate that the growth of our business will continue to depend on third-party relationships including relationships with our POS systems, digital agencies, payment processors, loyalty providers, and other partners. Identifying, negotiating, and documenting relationships with third parties and integrating third-party content and technology requires significant time and resources, and third-party providers may choose to terminate their relationship with us, compete directly against us, enter into exclusive arrangements with our competitors, or make material changes to their businesses, solutions, or services that could be detrimental to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refuse to partner with us or limit or restrict our access to their offerings. We may not be able to adapt to the data transfer requirements of third 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third party service providers we integrate with may not perform as expected under our agreements or under their agreements with our customers, we or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transaction revenue is partly dependent on our third-party developer partners to develop and update all entertainment applications. The decisions of developers to remove their applications or change the terms of our commercial relationship could adversely impact our transaction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third-party developers to develop the entertainment applications that we host. Accordingly, our business depends on our ability to promote, enter into and maintain successful commercial relationships with such developers. In general, we rely on standard terms of service for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attract and maintain these third party developer relationships, if the terms and conditions of such commercial relationships become less favorable to us or if a developer decides to remove their entertainment applications, our transaction revenue would suffer.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rely on our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be would suffer.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effectively expand our sales capabilities could harm our ability to increase our subscriber base and achieve broader market acceptance of our platforms.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Increasing our customer base and achieving broader market acceptance of our platform will depend, in part, on our ability to effectively expand our sales and marketing operations and activities. We are substantially dependent on our direct sales force to obtain new customers. We plan to continue to expand our direct sales force and to increase the number of our sales professionals.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and planned hires may not become productive as quickly as we expect, and we may be unable to hire or retain sufficient numbers of qualified individuals in the future in the markets where we do business. Because we do not have a long history of expanding our sales force, we cannot predict whether, or to what extent, our sales will increase as we expand our sales force or how long it will take for sales personnel to become productive. If our sales expansion efforts do not generate a significant increase in revenue, our business and future growth prospects could be harmed.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Government Regulation and Other Compliance Requirements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restaurant technology industry and the offering of products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likely that if our business grows and evolves and our services are used in a greater number of geographies, we would become subject to laws and regulations in additional jurisdictions. It is difficult to predict how existing laws would be applied to our business and the new laws to which it may become subject.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respond quickly or effectively to regulatory, legislative, and other developments, and these changes may in turn impair our ability to offer our existing or planned products and/or increase our cost of doing business. While we have and will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from time to time, we leverage third parties to help conduct our businesses. We may be held liable for any corrupt or other illegal activities of these third-party partners and intermediaries, our employees, representatives, contractors, channel partners, and agents, even if we do not explicitly authorize such activities. While we have policies and procedures to address compliance with such laws, we cannot assure you that our employees and agents will not take actions in violation of our policies and applicable law, for which we may be ultimately held responsible.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Significant changes in U.S. and international trade policies that restrict imports or increase tariffs could have a material adverse effect on our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depend on third party manufacturers and suppliers located outside of the United States, including in China, in connection with the manufacture of certain of our products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could be required to collect additional sales taxes or be subject to other tax liabilities that may increase the costs our customers would have to pay for our products and adversely affect our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regulation of the internet, mobile devices, and e-commerce is evolving, and unfavorable changes could substantially adversely affect our business, financial condition,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sweepstakes, mobile, electronic contracts and other communications, consumer protection, and the characteristics and quality of our services. It is not clear how existing laws governing issues such as property ownership, sales, use, and other taxes, and personal privacy apply to the Internet.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Intellectual Property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adequately protect our intellectual property rights, our competitive position could be impaired and we may lose valuable assets, generate reduced revenue and become subject to costly litigation to protect our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2022 we had eight registered domain names for websites that we use in our business, such as </w:t>
      </w:r>
      <w:r>
        <w:rPr>
          <w:rFonts w:ascii="Times New Roman PS Std;serif" w:hAnsi="Times New Roman PS Std;serif"/>
          <w:b w:val="false"/>
          <w:i/>
          <w:caps w:val="false"/>
          <w:smallCaps w:val="false"/>
          <w:sz w:val="20"/>
        </w:rPr>
        <w:t>presto.com</w:t>
      </w:r>
      <w:r>
        <w:rPr>
          <w:rFonts w:ascii="Times New Roman PS Std;serif" w:hAnsi="Times New Roman PS Std;serif"/>
          <w:b w:val="false"/>
          <w:i w:val="false"/>
          <w:caps w:val="false"/>
          <w:smallCaps w:val="false"/>
          <w:sz w:val="20"/>
        </w:rPr>
        <w:t xml:space="preserve">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pursue additional intellectual property protection to the extent we believe it would be beneficial and cost-effective.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products, impair the functionality of our products, delay introductions of new products, result in our substituting inferior or more costly technologies into our products, or harm our reputation or brand. In addition, we may be required to license additional technology from third parties to develop and market new products, and we may not be able to license that technology on commercially reasonable terms or at all. Our inability to license this technology could harm our ability to compete.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by third parties of intellectual property infringement.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platform,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such claims, regardless of merit, that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products,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use open source software in our platform, which could negatively affect our ability to sell our services or subject us to litigation or other 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open source software in our proprietary platform and we expect to continue to rely on open source software in our platform in the future. The terms of certain open source licenses to which we are subject have not been interpreted by U.S., and there is a risk that these licenses could be construed in a manner that could impose unanticipated conditions or restrictions on our ability to commercialize our platforms. Certain open source projects also include other open source software and there is a risk that those dependent open source libraries may be subject to inconsistent licensing terms. This could create further uncertainties as to the governing terms for the open source software. Moreover, we cannot ensure that we have not incorporated and are currently relying on additional open source software in our platform in a manner that is inconsistent with the terms of the applicable license or our current policies and procedures. Although we employ open source software license screening measures, if we were to combine our proprietary software platform with open source software in a certain manner we could, under certain open source licenses, be required to release the source code of our proprietary platform, which could allow our customers and competitors to freely use such software solutions without compensation to us.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Some open 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software licensed from, and services rendered by, third parties in order to provide our products and run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software licensed from, and services rendered by, third parties in order to provide our products and run our business. Third-party software and services may not continue to be available on commercially reasonable terms, or at all. Any loss of the right to use, or any failures of, third-party software or services could result in delays in our ability to provide our modules or run our business until equivalent software or services are developed by us or, if available, identified, obtained and integrated, which could be costly and time-consuming and may not result in an equivalent product, any of which could cause an adverse effect on our business and operating results. Further, customers could assert claims against us in connection with such service disruption or cease conducting business with us altogether. Even if not successful, a claim brought against us by any of our customers would likely be time-consuming and costly to defend and could seriously damage our reputation and brand, making it harder for us to sell our modules.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continue to use the domain names that we use in our business or prevent third parties from acquiring and using domain names that infringe on, are similar to, or otherwise decrease the value of our brand, trademarks, or service marks.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registered domain names that we use in, or are related to, our business, most importantly </w:t>
      </w:r>
      <w:r>
        <w:rPr>
          <w:rFonts w:ascii="Times New Roman PS Std;serif" w:hAnsi="Times New Roman PS Std;serif"/>
          <w:b w:val="false"/>
          <w:i/>
          <w:caps w:val="false"/>
          <w:smallCaps w:val="false"/>
          <w:sz w:val="20"/>
        </w:rPr>
        <w:t xml:space="preserve">www.presto.com. </w:t>
      </w:r>
      <w:r>
        <w:rPr>
          <w:rFonts w:ascii="Times New Roman PS Std;serif" w:hAnsi="Times New Roman PS Std;serif"/>
          <w:b w:val="false"/>
          <w:i w:val="false"/>
          <w:caps w:val="false"/>
          <w:smallCaps w:val="false"/>
          <w:sz w:val="20"/>
        </w:rPr>
        <w:t>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Operating as Public Company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senior management team has limited experience managing a public company, and regulatory compliance obligations may divert its attention from the day-to-day management of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public reporting company, we are subject to filing deadlines for reports that we file pursuant to the Exchange Act, and our failure to timely file such reports may have material adverse consequences on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September 30, 2022 and December 31, 2022.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as disclosed in our registration statement on Form S-1, filed with the SEC on October 21, 2022. The material weaknesses as of June 30, 2022 that we have identified are listed below.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maintain an effective control environment, including not having designed a risk assessment process and not having designed formalized internal controls, including a lack of policies supporting segregation of duties.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controls over our financial statement closing process. Specifically, we did not design and maintain effective controls over certain account analyses and account reconciliations.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maintain internal accounting records to adequately support the reporting of certain transactions in our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 weaknesses could result in a misstatement of account balances or disclosures that would result in a material misstatement to the annual or interim consolidated financial statements that would not be prevented or detected.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 the early stages of designing and implementing a plan to remediate the material weaknesses identified. Our plan includes the following actions: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Designing and implementing a risk assessment process supporting the identification of risks facing Presto.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being a public company and are required to comply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controls to enable an effective and timely review of account analyses and account reconciliations.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controls to enable an accurate and timely review of accounting records that support our accounting processes and maintain documents for internal accounting reviews.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independent registered public accounting firm are not required to perform an evaluation of our internal control over financial reporting for the year ending June 30, 2023, and were not required to perform such evaluation for the years ending June 30, 2022 and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we cannot be certain if the reduced disclosure requirements applicable to emerging growth companies will make our Common Stock less attractive to investors.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fifth anniversary of the completion of the VTAQ IPO, December 2025,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and will continue to, incur significant costs as a result of operating as a public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Our Common Stock and Warrants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could also limit the price that investors might be willing to pay in the future for shares of our Common Stock, thereby depressing the market price of our Common Stock. Such provisions include the following: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classified board of directors with three-year staggered terms, which could delay the ability of stockholders to change the membership of a majority of the Presto Board;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Presto Board to issue shares of preferred stock and to determine the price and other terms of those shares, including preferences and voting rights, without stockholder approval, which could be used to significantly dilute the ownership of a hostile acquiror;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exclusive right of the Presto Board to elect a director to fill a vacancy occurring in the Presto Board for any cause, which prevents stockholders from being able to fill vacancies on the Presto Board;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provisions in our Charter and Bylaws could make it more difficult for stockholders or potential acquirors to obtain control of the Presto Board of directors or initiate actions that are opposed by the then-current Presto Board, including delay or impede a merger, tender offer or proxy contest involving us. The existence of these provisions could negatively affect the price of our Common Stock and limit opportunities for you to realize value in a corporate transaction.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the Court of Chancery of the State of Delaware is the exclusive forum for: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derivative action or proceeding brought on our behalf;</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breach of fiduciary duty;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claim against us arising under the DGCL, our Charter or our Bylaws;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claim against us that is governed by the internal-affairs doctrine.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the Presto Board.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in our Charter and Bylaws could make a merger, tender offer or proxy contest difficult, thereby depressing the trading price of our Common Stock.</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we do not anticipate paying any cash dividends in the foreseeable future, capital appreciation, if any, would be your sole source of gain.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market for our securities may not continue, which would adversely affect the liquidity and price of its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Nasdaq may delist our securities from trading on its exchange, which could limit investors’ ability to make transactions in its securities and subject us to additional trading restrictions.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$45,000,000)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of market quotations for our securities;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for our securities;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amount of news and analyst coverage;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Future offerings of debt or offerings or issuances of equity securities by us may adversely affect the market price of our Common Stock or otherwise dilute all other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attempt to obtain financing or to further increase our capital resources by issuing additional shares of Presto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Issuing additional shares of Presto Common Stock or other equity securities or securities convertible into equity may dilute the economic and voting rights of our existing stockholders or reduce the market price of Presto Common Stock or both. Upon liquidation, holders of such debt securities and preferred shares, if issued, and lenders with respect to other borrowings would receive a distribution of our available assets prior to the holders of Presto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our ability to pay dividends to the holders of the Presto Common Stock. Our decision to issue securities in any future offering will depend on market conditions and other factors beyond our control, which may adversely affect the amount, timing and nature of our future offerings.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securities is influenced by the research and reports that industry or securities analysts may publish about us, our business,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securities litigation, which is expensive and could divert management’s attention.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price of our Common Stock may be volatile and, in the past, companies that have experienced volatility in the market price of their stock have been subject to securities class action litigation. Presto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0" w:name="T14"/>
      <w:bookmarkEnd w:id="10"/>
      <w:r>
        <w:rPr>
          <w:rFonts w:ascii="Times New Roman PS Std;serif" w:hAnsi="Times New Roman PS Std;serif"/>
          <w:b/>
          <w:i w:val="false"/>
          <w:caps/>
          <w:sz w:val="20"/>
        </w:rPr>
        <w:t>USE OF PROCEEDS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shares of Common Stock offered by the Selling Securityholders pursuant to this prospectus will be sold by the Selling Securityholders for their respective accounts. Assuming the exercise in full for cash by the Selling Securityholders holding the warrants, or the Resale Warrants, to purchase up to an aggregate of 400,000 shares of our common stock at an exercise price of $0.01 per share, we expect to receive only nominal proceeds from the exercise thereof. We will not receive any proceeds from the resale of the underlying shares of our common stock issued upon exercise of the Resale Warrants. We are registering the Resale Shares pursuant to registration rights granted to the Selling Securityholders.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assurance that the holder of the Resale Warrants will elect to exercise any or all of such warrants. To the extent that the Resale Warrants are exercised fully or partially on a “cashless basis,” we may receive limited or no proceeds from the exercise of the Resale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registration of the shares of our Common Stock issuable upon exercise of the Resale Warrants, the Selling Securityholders will pay all underwriting discounts and commissions, underwriter marketing costs, brokerage fees and transfer taxes applicable to the securities sold for such Selling Securityholder’s account and all reasonable fees and expenses of any legal counsel representing any such Selling Securityholder.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1" w:name="T9922"/>
      <w:bookmarkEnd w:id="11"/>
      <w:r>
        <w:rPr>
          <w:rFonts w:ascii="Times New Roman PS Std;serif" w:hAnsi="Times New Roman PS Std;serif"/>
          <w:b/>
          <w:i w:val="false"/>
          <w:caps/>
          <w:sz w:val="20"/>
        </w:rPr>
        <w:t xml:space="preserve">MARKET PRICE OF OUR COMMON STOCK AND </w:t>
        <w:br/>
        <w:t>WARRANTS AND DIVIDEND INFORMATION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Price of Our Common Stock and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Trading of our Common Stock and warrants began on Nasdaq on September 22, 2022, under the ticker symbols “PRST” and “PRSTW,” respectively. Prior to the Business Combination, the Ventoux Common Stock, Ventoux Warrants, Ventoux Rights and Ventoux Units traded under the ticker symbols “VTAQ”, “VTAQW”, “VTAQR” and “VTAQU”, respectively, on Nasdaq. On April 28, 2023, the closing sale price of our Common Stock was $3.33 per share and the closing sale price of our warrants was $0.07 per warrant.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25, 2023, there were 163 holders of record of Common Stock. The number of holders of record does not include a substantially greater number of “street name” holders or beneficial holders whose Common Stock are held of record by banks, brokers and other financial institutions.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2" w:name="T13"/>
      <w:bookmarkEnd w:id="12"/>
      <w:r>
        <w:rPr>
          <w:rFonts w:ascii="Times New Roman PS Std;serif" w:hAnsi="Times New Roman PS Std;serif"/>
          <w:b/>
          <w:i w:val="false"/>
          <w:caps/>
          <w:sz w:val="20"/>
        </w:rPr>
        <w:t>BUSINESS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overlay next-generation digital solutions onto the approximately $3 trillion hospitality industry given its current primarily analog nature and substantial reliance on labor. At present, we are focused on the restaurant industry.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 across all restaurant segments, viz. casual dining, fast casual, and quick serve ready (QSR).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automation is a long-term priority for all physical businesses. As a result, restaurants need reliable and scalable products and technology that easily integrates with old, legacy systems.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latest generation Touch product, called Presto Flex, functions as an all-in-one server handheld or tabletop guest ordering, payment, customer personalization and gaming device. Our AI Platform products consists of an AI-powered computer vision software application that delivers unique and real-time insights to operators and uses speech recognition technology in the customer order process and connect with restaurant POS systems to maximize efficiency and minimize costs by automatically transmitting orders to the restaurant’s POS system.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Touch product has accounted for the majority of our historical revenue. However, we expect an increasing mix of our future revenue to come from our AI Platform products.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and Market 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According to a survey of over 400 restaurant owner-operators conducted in October 2021, around 50% of U.S. restaurant operators planned to implement technology-enabled solutions to improve efficiency, labor cost management and revenue growth within the next two to three years. We estimate our addressable market includes $101 billion international enterprise restaurant labor spend, $79 billion domestic enterprise restaurant labor spend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$25 billion global enterprise restaurant technology spend. However, despite the large addressable market and double-digit sales growth in the restaurant and food service industry in 2021 (according to the National Restaurant Association), the restaurant hospitality industry has faced, and continues to face, several challenges.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Labor Shortage:    </w:t>
      </w:r>
      <w:r>
        <w:rPr>
          <w:rFonts w:ascii="Times New Roman PS Std;serif" w:hAnsi="Times New Roman PS Std;serif"/>
          <w:b w:val="false"/>
          <w:i w:val="false"/>
          <w:caps w:val="false"/>
          <w:smallCaps w:val="false"/>
          <w:sz w:val="20"/>
        </w:rPr>
        <w:t>In June 2022, the Department of Labor released a Job Openings and Labor Turnover summary that showed workers were quitting their jobs at a rate of 2.9% or 4.4 million in April 2022. More accommodation and food services workers quit their jobs in April 2022 compared to pre</w:t>
      </w:r>
      <w:r>
        <w:rPr>
          <w:rFonts w:ascii="Times New Roman PS Std;serif" w:hAnsi="Times New Roman PS Std;serif"/>
          <w:b w:val="false"/>
          <w:i/>
          <w:caps w:val="false"/>
          <w:smallCaps w:val="false"/>
          <w:sz w:val="20"/>
        </w:rPr>
        <w:t>-pandemic</w:t>
      </w:r>
      <w:r>
        <w:rPr>
          <w:rFonts w:ascii="Times New Roman PS Std;serif" w:hAnsi="Times New Roman PS Std;serif"/>
          <w:b w:val="false"/>
          <w:i w:val="false"/>
          <w:caps w:val="false"/>
          <w:smallCaps w:val="false"/>
          <w:sz w:val="20"/>
        </w:rPr>
        <w:t xml:space="preserve"> levels, and the industry struggles to retain workers and has experienced consistently high quit rates. The restaurant industry consistently has the highest job opening rate relative to other industries and had a total of 1.34 million job openings in April 2022. The U.S. Chamber of Commerce has described the current labor shortage as a national crisis, making it the focus of its “America Works” initiative expanding employer</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led workforce and job training programs, advocating for federal and state policy changes and launching efforts to connect employers with talent. Lack of labor leads to operational gaps with fewer staff to manage basic work flows, slower speed of service, lower guest satisfaction and tips, higher turnover, and increases in the overhead in hiring workers.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Labor Cost:    </w:t>
      </w:r>
      <w:r>
        <w:rPr>
          <w:rFonts w:ascii="Times New Roman PS Std;serif" w:hAnsi="Times New Roman PS Std;serif"/>
          <w:b w:val="false"/>
          <w:i w:val="false"/>
          <w:caps w:val="false"/>
          <w:smallCaps w:val="false"/>
          <w:sz w:val="20"/>
        </w:rPr>
        <w:t>For most restaurants, labor has historically been the largest expense category, accounting for approximately 30% of sales on average. High labor costs lead to significantly lower margins and profitability.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Lack of Technological Solutions:    </w:t>
      </w:r>
      <w:r>
        <w:rPr>
          <w:rFonts w:ascii="Times New Roman PS Std;serif" w:hAnsi="Times New Roman PS Std;serif"/>
          <w:b w:val="false"/>
          <w:i w:val="false"/>
          <w:caps w:val="false"/>
          <w:smallCaps w:val="false"/>
          <w:sz w:val="20"/>
        </w:rPr>
        <w:t>Even for some restaurants with enough labor, their operations are still not efficient enough. Employees are not equipped to make good decisions either because managers rely on “gut</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feelings” or because they lack data to inform decision</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making.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Lack of Differentiation:    </w:t>
      </w:r>
      <w:r>
        <w:rPr>
          <w:rFonts w:ascii="Times New Roman PS Std;serif" w:hAnsi="Times New Roman PS Std;serif"/>
          <w:b w:val="false"/>
          <w:i w:val="false"/>
          <w:caps w:val="false"/>
          <w:smallCaps w:val="false"/>
          <w:sz w:val="20"/>
        </w:rPr>
        <w:t>Restaurants can seem undifferentiated from each other to consumers.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Slow and Inconvenient Service:    </w:t>
      </w:r>
      <w:r>
        <w:rPr>
          <w:rFonts w:ascii="Times New Roman PS Std;serif" w:hAnsi="Times New Roman PS Std;serif"/>
          <w:b w:val="false"/>
          <w:i w:val="false"/>
          <w:caps w:val="false"/>
          <w:smallCaps w:val="false"/>
          <w:sz w:val="20"/>
        </w:rPr>
        <w:t>Many restaurant operations are analog, and customers are looking for speed, personalization and ease of use.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Lack of Data:    </w:t>
      </w:r>
      <w:r>
        <w:rPr>
          <w:rFonts w:ascii="Times New Roman PS Std;serif" w:hAnsi="Times New Roman PS Std;serif"/>
          <w:b w:val="false"/>
          <w:i w:val="false"/>
          <w:caps w:val="false"/>
          <w:smallCaps w:val="false"/>
          <w:sz w:val="20"/>
        </w:rPr>
        <w:t>To make good decisions, leaders need good data. In physical industries like restaurants, it is difficult to measure operations and generate useful data.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provides restaurant operators with solutions to these challenges. First, we have over a decade of expertise digitizing analog workflow and facilitating automation, thus allowing restaurants to still operate efficiently with fewer staff and lower labor cost. Second, our products provide reliable, scaled solutions to several thousand restaurants with iconic brands. We have built long-term relationships with our customers and established our reputation as we have grown our market share. Third, we integrate with industry incumbents that restaurants use and innovate to meet customers’ changing needs. Fourth, our next-generation solutions unearth data points that were previously impossible to gather. With these solutions, innovations and a comprehensive platform, we seek to reduce significantly the labor requirements for businesses across the restaurant hospitality industry.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Platform and Product Offering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are designed to increase staff productivity, improve guest experiences and deliver actionable insights to managers. We offer a range of Touch and AI Platform products.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Touch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Touch products enable self-serve ordering, payment processing, customer personalization, and gaming experiences.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latest Touch product, Presto Flex, is an all-in-one tablet that can be deployed for a variety of applications. This tablet can serve as a tabletop device, self-serve kiosk or handheld device. The device offers Wi-Fi and LTE connectivity while weighing 25% less than an iPad with three times the battery capacity of comparable tablets. A.I. technology provides speech recognition that allows automated voice ordering by both guests and staff. The device’s front and rear cameras enable coupon scanning. Presto Flex hosts a wide range of payment options and is PCI-DSS compliant. On average, Presto Flex eliminates 65% of POS trips increasing tables serviced and tips per server.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this product offers tremendous value by allowing restaurants to operate dining rooms with fewer staff, personalizing guest experiences, increasing check sizes with automatic upselling and cross-selling functionality and providing more guest insights to the restaurant’s marketing team. In addition, our Touch products offer: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Advanced Security:    </w:t>
      </w:r>
      <w:r>
        <w:rPr>
          <w:rFonts w:ascii="Times New Roman PS Std;serif" w:hAnsi="Times New Roman PS Std;serif"/>
          <w:b w:val="false"/>
          <w:i w:val="false"/>
          <w:caps w:val="false"/>
          <w:smallCaps w:val="false"/>
          <w:sz w:val="20"/>
        </w:rPr>
        <w:t>We have an array of advanced enterprise grade security features. Our Silicon Valley</w:t>
      </w:r>
      <w:r>
        <w:rPr>
          <w:rFonts w:ascii="Times New Roman PS Std;serif" w:hAnsi="Times New Roman PS Std;serif"/>
          <w:b w:val="false"/>
          <w:i/>
          <w:caps w:val="false"/>
          <w:smallCaps w:val="false"/>
          <w:sz w:val="20"/>
        </w:rPr>
        <w:t>-based</w:t>
      </w:r>
      <w:r>
        <w:rPr>
          <w:rFonts w:ascii="Times New Roman PS Std;serif" w:hAnsi="Times New Roman PS Std;serif"/>
          <w:b w:val="false"/>
          <w:i w:val="false"/>
          <w:caps w:val="false"/>
          <w:smallCaps w:val="false"/>
          <w:sz w:val="20"/>
        </w:rPr>
        <w:t xml:space="preserve"> engineering team aims to create a secure pay</w:t>
      </w:r>
      <w:r>
        <w:rPr>
          <w:rFonts w:ascii="Times New Roman PS Std;serif" w:hAnsi="Times New Roman PS Std;serif"/>
          <w:b w:val="false"/>
          <w:i/>
          <w:caps w:val="false"/>
          <w:smallCaps w:val="false"/>
          <w:sz w:val="20"/>
        </w:rPr>
        <w:t>-at-table</w:t>
      </w:r>
      <w:r>
        <w:rPr>
          <w:rFonts w:ascii="Times New Roman PS Std;serif" w:hAnsi="Times New Roman PS Std;serif"/>
          <w:b w:val="false"/>
          <w:i w:val="false"/>
          <w:caps w:val="false"/>
          <w:smallCaps w:val="false"/>
          <w:sz w:val="20"/>
        </w:rPr>
        <w:t xml:space="preserve"> experience.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Wide Payment Options:    </w:t>
      </w:r>
      <w:r>
        <w:rPr>
          <w:rFonts w:ascii="Times New Roman PS Std;serif" w:hAnsi="Times New Roman PS Std;serif"/>
          <w:b w:val="false"/>
          <w:i w:val="false"/>
          <w:caps w:val="false"/>
          <w:smallCaps w:val="false"/>
          <w:sz w:val="20"/>
        </w:rPr>
        <w:t>We support the latest EMV and mobile payment technologies as well as the ability to split bills.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More Than Payments:    </w:t>
      </w:r>
      <w:r>
        <w:rPr>
          <w:rFonts w:ascii="Times New Roman PS Std;serif" w:hAnsi="Times New Roman PS Std;serif"/>
          <w:b w:val="false"/>
          <w:i w:val="false"/>
          <w:caps w:val="false"/>
          <w:smallCaps w:val="false"/>
          <w:sz w:val="20"/>
        </w:rPr>
        <w:t>Our tablets have a broad range of functionality beyond payments. We enable guests to order on demand, play games, watch videos, and provide instant feedback — all from the table.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has one principal supplier through which we source the tablets used in the legacy version of our Touch product and one principal supplier through which we source the tablets used in the latest generation of our Touch product, Presto Flex.</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our legacy Touch tablets, on October 23, 2015, we entered into an agreement with XAC Taiwan (“XAC”), a company organized under the laws of the Republic of China (Taiwan) (the “Legacy Tablet Agreement”). The Legacy Tablet Agreement had an original term of three years and, since the expiration of the original term, has automatically renewed for successive one year periods. Either party may terminate the Legacy Tablet Agreement upon 180 days’ notice or upon a material breach of the agreement if such breach is not cured within 30 days.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our Presto Flex product, on September 11, 2019, we entered into a Master Supply Agreement (the “Flex Tablet Agreement”) with Hong Kong-based tablet computer suppliers Billion Time International, Limited (“Billion Time”) and Hong Kong Linktop Technology, Limited (“Linktop”). Under the Flex Tablet Agreement, Billion Time and Linktop develop and manufacture the tablets used in our Presto Flex product and provide technical and repair services for us. The Flex Tablet Agreement has an initial term of three years with automatic one-year renewal periods. Any party may terminate the Flex Tablet Agreement upon 180 days’ notice or upon a material breach of the agreement if such breach is not cured within 60 days.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inventory that we believe is sufficient to address a potential interruption in supply. In the event of a shortage or supply interruption from XAC, Billion Time or Linktop, if our inventory estimates are incorrect, we may not be able to develop alternative sources for these tablets quickly, cost-effectively, or at all.</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 Platform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AI-powered computer vision application provides real-time error detection, visual order tracking capabilities, and repeat guest identification. The AI Platform products uses strategically located cameras and powerful artificial intelligence algorithms to offer unique real-time insights into restaurant operations and analytics.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next generation technology quickly identifies dropouts in drive-through lines, repeat customers, errors during food preparation, and missing items in the packing process. Our AI Platform product’s smart analytics promotes items with short preparation times when queues are long and notifies managers to deploy line-busting tablets when drive-through wait times or abandonment rates are high.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AI Platform product also helps boost order accuracy in the restaurant hospitality industry by deploying its technology to kitchens. This allows management to monitor whether orders going out the door are substantially accurate, thereby reducing refunds, labor cost in remaking food and unhappy guests.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this product can create lower drive-through wait times and reduced drive-through abandonment, higher order accuracy, and improved guest service.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speech recognition technology offers guests voice-based ordering in the drive-through and other restaurant settings. Our technology takes orders using automated A.I. that frees up staff by automatically transmitting orders to the restaurant’s POS system. We believe that our AI Platform technology can enable faster transactions and improved order accuracy by eliminating human order taking, as well as increasing check sizes with automatic upselling and cross-selling functionality.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Services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offer a range of transaction services geared to enhance the customer dining experience, including premium content (gaming) and other revenue, which includes professional services. We provide the diners at our customers’ restaurants the opportunity to purchase premium content during the dining experience. We control the associated gaming licenses and its accessibility and have influence in establishing the price charged to the diner. In addition, we also generate revenue from professional services, consisting primarily of fees from developing premium content used on the devices and at installation.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Strengths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have a number of competitive strengths that will enable our market leadership to grow. Our competitive strengths include: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Industry-Leading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Technology Platform:    </w:t>
      </w:r>
      <w:r>
        <w:rPr>
          <w:rFonts w:ascii="Times New Roman PS Std;serif" w:hAnsi="Times New Roman PS Std;serif"/>
          <w:b w:val="false"/>
          <w:i w:val="false"/>
          <w:caps w:val="false"/>
          <w:smallCaps w:val="false"/>
          <w:sz w:val="20"/>
        </w:rPr>
        <w:t>We have created a hard-to-replicate technology platform that we believe comprehensively addresses the challenges that fast casual and quick service restaurants are facing. This includes multiple back-end integrations, layers of PCI compliance and security, enterprise grade reliability, ability to scale seamlessly and deploy quickly across multiple geographies, and a customer success, support and operations team that understands enterprise challenges.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Category-Leading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Customer Loyalty:    </w:t>
      </w:r>
      <w:r>
        <w:rPr>
          <w:rFonts w:ascii="Times New Roman PS Std;serif" w:hAnsi="Times New Roman PS Std;serif"/>
          <w:b w:val="false"/>
          <w:i w:val="false"/>
          <w:caps w:val="false"/>
          <w:smallCaps w:val="false"/>
          <w:sz w:val="20"/>
        </w:rPr>
        <w:t>Customer relationships are core to our business, and we invest to improve our retention. We maintain long-term relationships with our customers that are reflected by our 102% net revenue retention for the fiscal year ended June 30, 2022.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Business Model That is “Sticky” and High Growth:    </w:t>
      </w:r>
      <w:r>
        <w:rPr>
          <w:rFonts w:ascii="Times New Roman PS Std;serif" w:hAnsi="Times New Roman PS Std;serif"/>
          <w:b w:val="false"/>
          <w:i w:val="false"/>
          <w:caps w:val="false"/>
          <w:smallCaps w:val="false"/>
          <w:sz w:val="20"/>
        </w:rPr>
        <w:t>Our compelling and differentiated business model has enabled us to grow and expand our business. The “front of the house” or guest facing nature of our technology, as evidenced by the nature of our entertainment apps, and consumer facing voice ordering capabilities, as well as increased adoption by the customer’s staff and customers over the life of a multi-year contract, create a “sticky” relationship and high switching costs.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Multiple Channels of Organic Growth:    </w:t>
      </w:r>
      <w:r>
        <w:rPr>
          <w:rFonts w:ascii="Times New Roman PS Std;serif" w:hAnsi="Times New Roman PS Std;serif"/>
          <w:b w:val="false"/>
          <w:i w:val="false"/>
          <w:caps w:val="false"/>
          <w:smallCaps w:val="false"/>
          <w:sz w:val="20"/>
        </w:rPr>
        <w:t>Both our existing customer base and addressable market offer a compelling opportunity for product cross-sell and upsell. Additionally, continued innovation from our research and development team provides new and innovative use cases for our AI Platform products.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Exceptional Management Team to Execute on Strategy:    </w:t>
      </w:r>
      <w:r>
        <w:rPr>
          <w:rFonts w:ascii="Times New Roman PS Std;serif" w:hAnsi="Times New Roman PS Std;serif"/>
          <w:b w:val="false"/>
          <w:i w:val="false"/>
          <w:caps w:val="false"/>
          <w:smallCaps w:val="false"/>
          <w:sz w:val="20"/>
        </w:rPr>
        <w:t>Our management team has a demonstrated history of delivering strong operational results. Our Interim Chief Executive Officer, Krishna Gupta, founded REMUS Capital as an undergrad at MIT in 2008. Our Chief Accounting Officer, Stanley Mbugua, has been an accounting and finance executive for over 20 years working with large multi-national public technology companies. Our Chief Technology Officer and Chief Operating Officer both bring experience from companies such as Microsoft, Fireclick, Wambo and Liveclicker.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Growth Strategy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Presto can profitably grow and has tremendous potential based on our total addressable market. Our growth strategies include: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A Proven Land &amp; Expand Model:    </w:t>
      </w:r>
      <w:r>
        <w:rPr>
          <w:rFonts w:ascii="Times New Roman PS Std;serif" w:hAnsi="Times New Roman PS Std;serif"/>
          <w:b w:val="false"/>
          <w:i w:val="false"/>
          <w:caps w:val="false"/>
          <w:smallCaps w:val="false"/>
          <w:sz w:val="20"/>
        </w:rPr>
        <w:t>We initiate a customer relationship in a few test locations where we identify pain points and offer a trial product offering. This allows easy adoption of our products and requires minimal time to value. This also proves out the value proposition of our products. After we complete the land stage, we move to the expand stage where we expand use</w:t>
      </w:r>
      <w:r>
        <w:rPr>
          <w:rFonts w:ascii="Times New Roman PS Std;serif" w:hAnsi="Times New Roman PS Std;serif"/>
          <w:b w:val="false"/>
          <w:i/>
          <w:caps w:val="false"/>
          <w:smallCaps w:val="false"/>
          <w:sz w:val="20"/>
        </w:rPr>
        <w:t>-cases</w:t>
      </w:r>
      <w:r>
        <w:rPr>
          <w:rFonts w:ascii="Times New Roman PS Std;serif" w:hAnsi="Times New Roman PS Std;serif"/>
          <w:b w:val="false"/>
          <w:i w:val="false"/>
          <w:caps w:val="false"/>
          <w:smallCaps w:val="false"/>
          <w:sz w:val="20"/>
        </w:rPr>
        <w:t xml:space="preserve"> to additional locations to further demonstrate customer success. With more locations and the opportunity to cross</w:t>
      </w:r>
      <w:r>
        <w:rPr>
          <w:rFonts w:ascii="Times New Roman PS Std;serif" w:hAnsi="Times New Roman PS Std;serif"/>
          <w:b w:val="false"/>
          <w:i/>
          <w:caps w:val="false"/>
          <w:smallCaps w:val="false"/>
          <w:sz w:val="20"/>
        </w:rPr>
        <w:t>-sell</w:t>
      </w:r>
      <w:r>
        <w:rPr>
          <w:rFonts w:ascii="Times New Roman PS Std;serif" w:hAnsi="Times New Roman PS Std;serif"/>
          <w:b w:val="false"/>
          <w:i w:val="false"/>
          <w:caps w:val="false"/>
          <w:smallCaps w:val="false"/>
          <w:sz w:val="20"/>
        </w:rPr>
        <w:t xml:space="preserve"> supplemental product offerings, we add value at scale as we eventually expand into potentially all remaining customer locations targeting a 100% penetration rate over time.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Strategic &amp; Accretive M&amp;A to Accelerate Growth:    </w:t>
      </w:r>
      <w:r>
        <w:rPr>
          <w:rFonts w:ascii="Times New Roman PS Std;serif" w:hAnsi="Times New Roman PS Std;serif"/>
          <w:b w:val="false"/>
          <w:i w:val="false"/>
          <w:caps w:val="false"/>
          <w:smallCaps w:val="false"/>
          <w:sz w:val="20"/>
        </w:rPr>
        <w:t>We have identified acquisition opportunities that are from verticals such as customer relationship management and loyalty, POS products, front of house management, online ordering, AI tools, and integration middleware. We have engaged in exploratory conversations with several targets that have expressed an interest in exploring an acquisition by Presto. With this strategy, we can further expand our product, achieve revenue and cost synergies, and increase scale. Any determination to take action in this regard will be based on market conditions and opportunities existing at the time, and accordingly, the timing, size or success of any efforts and the associated potential capital commitments are unpredictable.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Go-To-Market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serve various roles in a restaurant’s management, including with respect to franchise owners and chief operating officers (COOs), chief management officers (CMOs), chief information officers (CIOs) and chief financial officers (CFOs).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Franchise Owner:    Maintaining quality service standards and overseeing the finances of a restaurant brand are not nearly as challenging as the labor shortage that franchise owners are dealing with today. Labor shortages, increased minimum wage demands and COVID-19 liability concerns are the defining issues challenging the ongoing viability of a restaurant franchise. Our technology can be a franchise owner’s most reliable new hire by helping them augment their existing workforces, implement tools that reduce unnecessary busywork and improve employee retention.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    The COO is challenged with meeting their restaurant’s operational goals due to the incredible strain of the labor shortage. Retaining existing staff and replacing those who have left is their top priority for short-term survival and long-term growth. Our technology seeks to augment their existing workforce and improves employee retention delivering tangible improvements in productivity, throughput and quality.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CMO:    Having a solid understanding of their guest’s ever-changing behavior and meeting marketing metrics defines the success of today’s restaurant CMO. Struggling with fewer marketing resources, shrinking budgets, and protecting their brand from cautious guests have all become their most significant issues. We expect our technology will provide accurate data to measure customer behavior and improve the guest experience.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CIO:    With an increasing focus on customer-facing technology, upgrading legacy POS systems, and management systems, the CIO is challenged to meet increasingly demanding guest experience expectations. Choosing from all the digital transformation options to effectively future-proof their restaurant is the most complicated issue facing any CIO. Our next generation technology platform is a multipurpose, all-in-one solution that can easily integrate into customers’ existing ecosystem.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CFO:    We believe our next generation technology can help the CFO drive sales and profitability growth by delivering incremental revenue through higher check sizes and reducing operating expenses through labor cost savings, improved order accuracy, and speed of service. The CFO can also optimize free cash flow by freeing up capital expenditures for technology towards restaurant core competencies.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sales team focuses on new location growth, our customer community, and sales enablement and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generate demand we have developed a library of focused marketing materials as well as a robust referral network, including many of our current customers. Once we acquire prospective customers, we work with them to produce pricing, packaging and diner interfaces intended to simplify product adoption and support our customers in growing their sales.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developed and nurtured long-term relationships with our largest customers and maintain an ongoing relationship with them that includes technical support and conducting quarterly business reviews in order to build a pathway to successful renewals and product upgrades.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13 employees across sales and marketing. We intend to continue to invest in our sales and marketing capabilities to capitalize on our market opportunity.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private and public restaurant brands have chosen our platform, including Applebee’s, BJ’s, Checkers, Chili’s, Famous Dave’s, Outback Steakhouse and Red Lobster. We accommodate service models of all types, including quick service, fast-casual and casual dining. Brands use our platform to strengthen their customer relationships and boost their digital orders. Our typical initial contract length is 12 to 48 months, providing visibility into our forward performance.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and 2021 and the years ended June 30, 2022 and 2021, our three largest restaurant customers generated an aggregate of approximately 97%, 94%, 93% and 93% of our revenue, respectively. We present a discussion of each of these customers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and services agreement with our largest customer was executed in June 2019, and provided for the onboarding and initial sale of our Touch product. The purchase and services agreement also provides the terms under which the customer may elect to purchase additional Touch devices, as well as a revenue sharing arrangement for the provision of premium content to the customer’s patrons. The purchase and services agreement has an initial term of three years which can be extended in June 2023. If the customer does not decide to move forward with an extension 180 days before a term lapses, we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services agreement with our second largest customer was executed in calendar 2017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been renewed since calendar 2018. The services agreement can be terminated by the customer with 30 days prior written notice at any time if there is not an SOW outstanding. If there is no SOW outstanding for 12 months, the services agreement automatically terminates. The SOW has an initial term of 36 months, which may be extended two times, each for a period of 12 months. Our customer account team is currently in preliminary discussions with this customer to enter into a new SOW after the first SOW expires.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service provider agreement with our third largest customer was executed in calendar 2017 with the customer renewing a previous agreement with Presto made in calendar 2013. The agreement governs the ongoing relationship between Presto and the customer as well as the franchisee agreements executed between Presto and each of the customer’s franchisees. The term of the service provider agreement extends until each of the franchisee agreements has been terminated. In addition to governing the terms of further purchases of the Touch product and a revenue sharing arrangement for the provision of premium content to the franchisees’ patrons, the franchisee agreements required that the franchisees replace certain existing Touch products with upgraded versions by way of purchasing the new equipment or leasing it. The franchisee agreements are currently scheduled to terminate in late calendar 2023 unless they are extended.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Technical Support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technical team supports our customers through the onboarding process, including by providing employee training, device installation, procedures for troubleshooting and maintenance and advising on best practices, among other things. We are committed to providing a differentiated customer experience. We are able to provide our customers with the option of choosing between on-site, remote, and self-guided implementation.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onboarding, we offer our customers support through multiple channels, including chat, phone, web and in person visits as needed. We are focused on providing our customers best-in-class technical support and will continue to make significant investments in an effort to do so.</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12 employees on our customer success team.</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develop products through research on the restaurant industry that focuses on the challenges its participants face now and will face in the future. For example, our current and planned products are designed to, among other things, assist in mitigating the impact of nation-wide labor shortages faced by the restaurant and hospitality industry, as well as the increased cost of employment for these customers due to increasing minimum wages and higher costs of labor in general. We are dedicated to helping our customers grow their business and, by doing so, creating lasting relationships and happy diners.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organize our team to develop the full-stack of our products, integrating product management, engineering, analytics, data science, and design. We develop our products in three primary research and development locations: San Carlos, California, Addison, Texas and Toronto, Ontario, Canada. As of December 31, 2022, we had 89 employees in our research and development team.</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markets in which we compete are competitive and evolving rapidly. Our platform combines functionality from numerous product categories, and we therefore compete in each of these categories: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respect to Touch platforms, we primarily compete with OneDine, Ziosk, and POS-proprietary systems;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respect to AI Platforms, we primarily compete with Agot AI, Precitaste, Dragontail Systems IBM, Synq3, Valyant AI, Converse Now and Open City.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principal competitive factors in our market are: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provide an end-to-end software platform specifically designed to meet the existing and future technology needs of prospective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ease of deployment, use and flexibility;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relationship, reputation and brand recognition;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technology and platform support;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 of sales and marketing efforts.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the competition to evolve as the market continues to grow, evolve, and attract new market entrants, especially smaller emerging companies. We believe that with our differentiated products, attractive business model, and unique go-to-market strategy we can compete effectively and favorably within the industry.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information on risks relating to increased competition in our industry, see the section titled “</w:t>
      </w:r>
      <w:r>
        <w:rPr>
          <w:rFonts w:ascii="Times New Roman PS Std;serif" w:hAnsi="Times New Roman PS Std;serif"/>
          <w:b w:val="false"/>
          <w:i/>
          <w:caps w:val="false"/>
          <w:smallCaps w:val="false"/>
          <w:sz w:val="20"/>
        </w:rPr>
        <w:t>Risk Factors — Risks Related to Presto’s Competition, Sales and Marketing</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Social Responsibility and Community Initiatives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COVID Tech Connect was founded with a mission to connect critically ill COVID-19 patients with their loved ones. From March 2020 through August 2021, we donated 20,000 tablets and 30,000 charge cords to 2,000 hospitals and care facilities in all 50 states across the United States. We scaled beyond hardware with the development of an award-nominated, free video conferencing solution, that connects hospitalized COVID patients with friends and family through virtual visitations. We also expanded beyond our mission with emergency relief for those communities who were disproportionately affected by COVID-19, both domestically and abroad.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eight registered domain names for websites that we use in our business, such as presto.com and other variations, three trademarks, and no registered patents or copyrights.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including “</w:t>
      </w:r>
      <w:r>
        <w:rPr>
          <w:rFonts w:ascii="Times New Roman PS Std;serif" w:hAnsi="Times New Roman PS Std;serif"/>
          <w:b w:val="false"/>
          <w:i/>
          <w:caps w:val="false"/>
          <w:smallCaps w:val="false"/>
          <w:sz w:val="20"/>
        </w:rPr>
        <w:t>Risk Factors — Risks Related to Presto’s Intellectual Property</w:t>
      </w:r>
      <w:r>
        <w:rPr>
          <w:rFonts w:ascii="Times New Roman PS Std;serif" w:hAnsi="Times New Roman PS Std;serif"/>
          <w:b w:val="false"/>
          <w:i w:val="false"/>
          <w:caps w:val="false"/>
          <w:smallCaps w:val="false"/>
          <w:sz w:val="20"/>
        </w:rPr>
        <w:t>” for a description of the risks related to our intellectual property.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Facilities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headquarters are located at 985 Industrial Road, San Carlos, California 94070 and consist of approximately 4,300 square feet of office space under a lease that expires in January 2025. We also maintain additional offices in Addison, Texas and Toronto, Ontario, Canada.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legal proceedings can have an adverse impact on us because of defense and settlement costs, diversion of management resources, and other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we received a favorable arbitrator ruling related to a matter with our third-party subcontractor and we were awarded approximately $11,304 in damages related to our loss on infrequent product repairs and to cover our legal expenses. The award has not met the criteria to be considered realizable as of December 31, 2022. As a result, we have not recognized any gain related to this settlement in our consolidated statement of operations and comprehensive loss.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aspects of our business and service areas are subject to U.S. federal, state, and local regulation. As more fully described below, certain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Card Network and NACHA Rules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Privacy and Consumer Information Security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2020, the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3" w:name="T9923"/>
      <w:bookmarkEnd w:id="13"/>
      <w:r>
        <w:rPr>
          <w:rFonts w:ascii="Times New Roman PS Std;serif" w:hAnsi="Times New Roman PS Std;serif"/>
          <w:b/>
          <w:i w:val="false"/>
          <w:caps/>
          <w:sz w:val="20"/>
        </w:rPr>
        <w:t>MANAGEMENT’S DISCUSSION AND ANALYSIS OF FINANCIAL CONDITION AND RESULTS OF OPERATIONS</w:t>
      </w:r>
    </w:p>
    <w:p>
      <w:pPr>
        <w:pStyle w:val="TextBody"/>
        <w:keepNext w:val="false"/>
        <w:pageBreakBefore w:val="false"/>
        <w:widowControl/>
        <w:pBdr/>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Management’s Discussion and Analysis of Financial Condition and Results of Operations should be read in conjunction with Presto’s interim unaudited condensed consolidated financial statements as and for the three and six months ended December 31, 2022 and 2021, and Presto’s audited consolidated financial statements as of and for the years ended June 30, 2022 and 2021 and the related notes appearing elsewhere in this 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within the meaning of the safe harbor provisions of the Private Securities Litigation Reform Act of 1995, that involve risks and uncertainties. Presto’s actual results could differ materially from such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The Company does not undertake to update, revise or correct any of the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information unless required to do so under the federal securities laws. Readers are cautioned that such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should be read in conjunction with the Company’s disclosures under the heading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included in the this report. Additionally, Presto’s historical results are not necessarily indicative of the results that may be expected in any future period. Amounts are presented in U.S. dollars.</w:t>
      </w:r>
    </w:p>
    <w:p>
      <w:pPr>
        <w:pStyle w:val="TextBody"/>
        <w:keepNext w:val="false"/>
        <w:pageBreakBefore w:val="false"/>
        <w:widowControl/>
        <w:pBdr/>
        <w:spacing w:before="20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the context otherwise requires, all references in this section to “we,” “us,” or “our” refers to the business and operations of E La Carte Inc. (“Legacy Presto”) and its consolidated subsidiary prior to the Business Combination (defined below) and to Presto Automation Inc. (“Presto”) and its subsidiaries following the Business Combination.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Presto Touch product has accounted for the majority of our historical revenue. However, we expect an increasing mix of our future revenue to come from our AI Platform (previously Voice and Vision) products.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benefit from a predictable, recurring revenue model from enterprise restaurant chains.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Strategy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overlay next-generation digital solutions onto the approximately $3 trillion hospitality industry given its current primarily analog nature and substantial reliance on labor. At present, we are focused on the restaurant industry.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automation is a long-term priority for all physical businesses. As a result, restaurants need reliable and scalable products and technology that easily integrates with old, legacy systems.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enables customers to improve important factors that drive profitability in a low-margin industry. With Presto’s platform, restaurants can benefit from increased table per server ratios, order accuracy, check size, and customer data collection.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take advantage of several acquisition opportunities in customer relationship management and loyalty, POS products, front of house management, online ordering, AI tools, and integration middleware.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with Ventoux CCM Acquisition Corp.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10, 2021 and as subsequently amended on April 1, 2022 and July 25, 2022,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Upon the Closing, VTAQ was renamed “Presto Automation Inc.” and the VTAQ Common Stock and the Public Warrants continue to be listed on Nasdaq and trade under the ticker symbols “PRST” and “PRSTW,”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Business Combination has been accounted for as a reverse recapitalization in accordance with GAAP. Under the guidance in ASC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Business Combination has been treated as the equivalent of a capital transaction in which Presto is issuing stock for the net assets of VTAQ. The net assets of VTAQ have been stated at historical cost, with no goodwill or other intangible assets recorded. Operations prior to the Business Combination are those of Presto, as Presto is considered the predecessor for financial reporting purposes.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 Company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the Business Combination, New Presto is an SEC-registered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Impact of COVID-19</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was and is subject to risks and uncertainties as a result of the outbreak of a novel strain of coronavirus, designated “COVID-19” and declared to be a pandemic in March 2020.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experienced two impacts from the initial onset of COVID-19 that resulted in significant charges to the statement of operations for the periods presented: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Loss on Infrequent Product Repairs.    </w:t>
      </w:r>
      <w:r>
        <w:rPr>
          <w:rFonts w:ascii="Times New Roman PS Std;serif" w:hAnsi="Times New Roman PS Std;serif"/>
          <w:b w:val="false"/>
          <w:i w:val="false"/>
          <w:caps w:val="false"/>
          <w:smallCaps w:val="false"/>
          <w:sz w:val="20"/>
        </w:rPr>
        <w:t>Social distancing practices resulted in customers implementing a range of extreme 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six months ended December 31, 2021, the volume of repair charges Presto experienced were higher than usual due to a liquid ingress issue resulting from COVID-19 related actions by its customers. In order to prevent disruption to customers’ businesses, Presto incurred $28 thousand and $0.5 million of loss on infrequent product repairs related to this issue, in the three and six months ended December 31, 2021, respectively, which is presented as a separate line item on Presto’s condensed consolidated statement of operations and comprehensive income (loss). There were no similar expenses incurred during the three and six months ended December 31, 2022 related to the matter.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a claim to recover the costs from the third-party subcontractor who manufactures the hardware. 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Hardware Repair Expenses Related to COVID-19.    </w:t>
      </w:r>
      <w:r>
        <w:rPr>
          <w:rFonts w:ascii="Times New Roman PS Std;serif" w:hAnsi="Times New Roman PS Std;serif"/>
          <w:b w:val="false"/>
          <w:i w:val="false"/>
          <w:caps w:val="false"/>
          <w:smallCaps w:val="false"/>
          <w:sz w:val="20"/>
        </w:rPr>
        <w:t>As a result of COVID-19, Presto incurred higher than usual repair expenses for one-time, infrequent product repairs that were not covered by Presto’s third-party manufacturer, who typically covers the costs during the six months ended December 31, 2021. The increase in expenses was a result of a higher volume of repair requests due to customer issues arising from COVID-19 related complications and a desire on the part of customers to have Presto reboot and re-certify equipment coming out of COVID-19. During the three and six months ended December 31, 2021, Presto incurred $0.7 million and $1.1 million of hardware repair expenses related to COVID-19, respectively. The expenses incurred were not honored by the manufacturer’s warranty under the RMA process. The claim that was made to recover the costs from the third-party subcontractor who manufactures the hardware referred to above also included these hardware repair expenses. There were no similar expenses incurred during the three and six months ended December 31,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fiscal year 2022 and the six months ended December 31, 2022, certain COVID-19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has taken several actions to mitigate the effects of the COVID-19 pandemic on its operations and franchisees. In April 2020, Presto received a loan of approximately $2.6 million under the U.S. Small Business Administration (“SBA”) Paycheck Protection Program (“PPP”),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severity of the continued impact of the COVID-19 pandemic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 on consumer discretionary spending the COVID-19 pandemic might have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the COVID-19 pandemic may continue to materially impact our financial condition, liquidity, or results of operations remains highly uncertain.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First Amendment to Credit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31, 2023, Presto entered into a First Amendment to the Credit Agreement with Metropolitan, the administrative, payment and collateral agent for the lenders, in which the parties amended certain covenants and payment provisions of the Credit Agreement. In consideration for Metropolitan’s entering into the First Amendment, Presto entered into the Fee Letter with Metropolitan, pursuant to which Presto paid an amendment fee equal to $200,000 and granted the Resale Warrants to purchase 400,000 shares of Presto Common Stock to the Metropolitan Entities. </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accordance with the terms of the First Amendment, Presto and Metropolitan entered into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agreed to provide customary registration rights to the Metropolitan Entities with respect to the shares of Presto Common Stock issuable upon exercise of the Warrants described above. </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Departure of Chief Executive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27, 2023, Presto announced that the Presto Board accepted the resignation of Rajat Suri, Presto’s founder, as Chief Executive Officer and member of the Presto Board, effective as of March 21, 2023. Mr. Suri’s resignation did not result from any disagreement with Presto on any matter relating to its operations, policies or practices. Mr. Suri will serve as a Strategic Advisor to the Presto Board going forward.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23, 2023, the Presto Board appointed Krishna Gupta, Presto’s Chairman, to serve as Interim Chief Executive Officer until a permanent successor to Mr. Suri is appointed. </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Departure of Chief Financial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Amendments to Purchase and Services Agreements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and services agreement with our largest customer was amended in March 2023 to extend its term to December 2023, subject to further extension upon mutual agreement of the parties. If the customer does not decide to move forward with an extension 180 days before a term lapses, Presto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services agreement with our second largest customer was amended in March 2023 to extend the services agreement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patrons. The services agreement had an initial term of 12 months and has been renewed since calendar 2018. The services agreement was renewed on a month-to-month basis up to March 2024. The services agreement can also be terminated by the customer with 30 days prior written notice at any time if there is not an SOW outstanding.</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Departure of Director and Appointment of New Director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2023, Kim Lopdrup resigned from the Presto Board. Mr. Lopdrup’s resignation was not the result of any disagreement with Presto or its management with respect to any matter relating to Presto’s operations, policies or practices.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8, 2023, the Presto Board appointed Scott Raskin to the Presto Board. Mr. Raskin serves as a Class III director with a term expiring at Presto’s 2025 annual meeting of stockholders. In addition, Mr. Raskin has been appointed to serve on the Compensation Committee and as its Chair. Mr. Raskin, age 61,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Revenue Model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and 2021, we derived our revenues from two revenue streams: (1) sales and leases of the Presto Touch and AI Platform products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and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Platform Revenue</w:t>
      </w:r>
      <w:r>
        <w:rPr>
          <w:rFonts w:ascii="Times New Roman PS Std;serif" w:hAnsi="Times New Roman PS Std;serif"/>
          <w:b w:val="false"/>
          <w:i w:val="false"/>
          <w:caps w:val="false"/>
          <w:smallCaps w:val="false"/>
          <w:sz w:val="20"/>
        </w:rPr>
        <w:t>:    the platform revenue stream is generated from fees charged to customers for access to our Presto Touch product and is recognized ratably. Part of the total contract value is due upon execution of the contract, and the remainder is due when the customer goes live. Our contracts with customers are generally for a term ranging from 12 to 48 months. Amounts invoiced in excess of revenue recognized are recorded as deferred revenue. Revenue generated from the AI Platform (previously Voice and Vision) was not material for the three and six months ended December 31, 2022 and 2021. Such revenue generated from the AI Platform is inclusive of $0.4 million and $0.6 million of contra-revenue related to the fair value of the warrant treated as a reduction to the transaction price of a customer during the three and six months ended December 31, 2022, respectively.</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maintain arrangements with a certain legacy customer whereby we lease the Presto Touch product to that customer. Revenue associated with the lease was recognized on a straight-line basis as platform revenue over the lease term in the condensed consolidated statements of operations and comprehensive loss.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Transaction Revenue</w:t>
      </w:r>
      <w:r>
        <w:rPr>
          <w:rFonts w:ascii="Times New Roman PS Std;serif" w:hAnsi="Times New Roman PS Std;serif"/>
          <w:b w:val="false"/>
          <w:i w:val="false"/>
          <w:caps w:val="false"/>
          <w:smallCaps w:val="false"/>
          <w:sz w:val="20"/>
        </w:rPr>
        <w:t>:    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AI Platform products, increase our platform revenues and maintain our relationships with current 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achieve profitability and positive cash flows from operating activities will depend primarily on our ability to increase revenues due to the following factors: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Attracting New Customers and Expanding Locations in which Our Products are Used.    </w:t>
      </w:r>
      <w:r>
        <w:rPr>
          <w:rFonts w:ascii="Times New Roman PS Std;serif" w:hAnsi="Times New Roman PS Std;serif"/>
          <w:b w:val="false"/>
          <w:i w:val="false"/>
          <w:caps w:val="false"/>
          <w:smallCaps w:val="false"/>
          <w:sz w:val="20"/>
        </w:rPr>
        <w:t>Our future growth depends on our ability to attract new customers and expand the locations across which our current and new customers use our products. For fiscal year 2023, we expect the majority of our new customer growth and new customer location expansion to come from sales of our AI Platform products. In an effort to attract new customers and expand our locations served, since the third quarter of fiscal year of 2022, we have signed several AI Platform pilot customers. Certain of these pilot customers have more than a thousand locations each. Our goal is to convert these pilot customers into broader customer relationships in fiscal years 2023 and 2024.</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Increasing AI Platform Product Sales.    </w:t>
      </w:r>
      <w:r>
        <w:rPr>
          <w:rFonts w:ascii="Times New Roman PS Std;serif" w:hAnsi="Times New Roman PS Std;serif"/>
          <w:b w:val="false"/>
          <w:i w:val="false"/>
          <w:caps w:val="false"/>
          <w:smallCaps w:val="false"/>
          <w:sz w:val="20"/>
        </w:rPr>
        <w:t>This AI Platform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with collaboration from a third party, we announced the industry’s first enterprise Voice rollout with Checkers, a nation-wide restaurant chain with approximately 840 locations. Our goal is to continue to increase sales of our AI Platform products to capture new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Increase Platform Revenues.    </w:t>
      </w:r>
      <w:r>
        <w:rPr>
          <w:rFonts w:ascii="Times New Roman PS Std;serif" w:hAnsi="Times New Roman PS Std;serif"/>
          <w:b w:val="false"/>
          <w:i w:val="false"/>
          <w:caps w:val="false"/>
          <w:smallCaps w:val="false"/>
          <w:sz w:val="20"/>
        </w:rPr>
        <w:t>As described above, we generate revenue through two main revenue streams: (i) platform revenue and (ii) transaction revenue. We believe our overall growth will be largely driven by platform revenue growth, which we eventually expect to have higher margins than transaction revenues. Platform revenue growth will in turn be driven by an increase in sales of our AI Platform products.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Maintain Relationships with Current Customers.    </w:t>
      </w:r>
      <w:r>
        <w:rPr>
          <w:rFonts w:ascii="Times New Roman PS Std;serif" w:hAnsi="Times New Roman PS Std;serif"/>
          <w:b w:val="false"/>
          <w:i w:val="false"/>
          <w:caps w:val="false"/>
          <w:smallCaps w:val="false"/>
          <w:sz w:val="20"/>
        </w:rPr>
        <w:t>In order to help foster robust contract renewals, our account management and program 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supplement our condensed consolidated financial statements, which are prepared and presented in accordance with generally accepted accounting principles in the United States of America (“U.S. GAAP”), we use certain non-GAAP financial measures, as described below, to understand and evaluate our core operating performance. These non-GAAP financial measures, which may be different than similarly-titled measures used by other companies, are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presented to enhance investors’ overall understanding of our financial performance and should not be considered as substitutes for, or superior to, the financial information prepared and presented in accordance with GAAP contained in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Adjusted Gross Profit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Gross Profit is calculated as gross profit adjusted to add back depreciation, contra-revenue from warrants granted to a customer, and hardware repair expenses related to COVID.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reconciliation of gross profit to Adjusted Gross Profit for each of the periods indicated:</w:t>
      </w:r>
    </w:p>
    <w:tbl>
      <w:tblPr>
        <w:tblW w:w="9815" w:type="dxa"/>
        <w:jc w:val="left"/>
        <w:tblInd w:w="0" w:type="dxa"/>
        <w:tblCellMar>
          <w:top w:w="0" w:type="dxa"/>
          <w:left w:w="0" w:type="dxa"/>
          <w:bottom w:w="0" w:type="dxa"/>
          <w:right w:w="0" w:type="dxa"/>
        </w:tblCellMar>
      </w:tblPr>
      <w:tblGrid>
        <w:gridCol w:w="5161"/>
        <w:gridCol w:w="146"/>
        <w:gridCol w:w="303"/>
        <w:gridCol w:w="625"/>
        <w:gridCol w:w="196"/>
        <w:gridCol w:w="303"/>
        <w:gridCol w:w="867"/>
        <w:gridCol w:w="146"/>
        <w:gridCol w:w="241"/>
        <w:gridCol w:w="691"/>
        <w:gridCol w:w="156"/>
        <w:gridCol w:w="241"/>
        <w:gridCol w:w="739"/>
      </w:tblGrid>
      <w:tr>
        <w:trPr/>
        <w:tc>
          <w:tcPr>
            <w:tcW w:w="5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94"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shd w:fill="auto" w:val="clear"/>
            <w:vAlign w:val="bottom"/>
          </w:tcPr>
          <w:p>
            <w:pPr>
              <w:pStyle w:val="TableContents"/>
              <w:spacing w:before="0" w:after="283"/>
              <w:rPr/>
            </w:pPr>
            <w:r>
              <w:rPr/>
              <w:t> </w:t>
            </w:r>
          </w:p>
        </w:tc>
        <w:tc>
          <w:tcPr>
            <w:tcW w:w="2068"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516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928"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96"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56" w:type="dxa"/>
            <w:tcBorders/>
            <w:shd w:fill="auto" w:val="clear"/>
            <w:vAlign w:val="bottom"/>
          </w:tcPr>
          <w:p>
            <w:pPr>
              <w:pStyle w:val="TableContents"/>
              <w:spacing w:before="0" w:after="283"/>
              <w:rPr/>
            </w:pPr>
            <w:r>
              <w:rPr/>
              <w:t> </w:t>
            </w:r>
          </w:p>
        </w:tc>
        <w:tc>
          <w:tcPr>
            <w:tcW w:w="98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1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9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15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w:t>
            </w:r>
          </w:p>
        </w:tc>
      </w:tr>
      <w:tr>
        <w:trPr/>
        <w:tc>
          <w:tcPr>
            <w:tcW w:w="51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2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9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5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r>
      <w:tr>
        <w:trPr/>
        <w:tc>
          <w:tcPr>
            <w:tcW w:w="51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Contra-revenue associated with warrant agreement</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2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w:t>
            </w:r>
          </w:p>
        </w:tc>
        <w:tc>
          <w:tcPr>
            <w:tcW w:w="19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5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51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Hardware repair expenses related to COVID</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2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w:t>
            </w:r>
          </w:p>
        </w:tc>
      </w:tr>
      <w:tr>
        <w:trPr/>
        <w:tc>
          <w:tcPr>
            <w:tcW w:w="51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Gross Profit</w:t>
            </w:r>
          </w:p>
        </w:tc>
        <w:tc>
          <w:tcPr>
            <w:tcW w:w="146" w:type="dxa"/>
            <w:tcBorders/>
            <w:shd w:fill="CCEEFF" w:val="clear"/>
            <w:vAlign w:val="bottom"/>
          </w:tcPr>
          <w:p>
            <w:pPr>
              <w:pStyle w:val="TableContents"/>
              <w:spacing w:before="0" w:after="283"/>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196" w:type="dxa"/>
            <w:tcBorders/>
            <w:shd w:fill="CCEEFF" w:val="clear"/>
            <w:vAlign w:val="bottom"/>
          </w:tcPr>
          <w:p>
            <w:pPr>
              <w:pStyle w:val="TableContents"/>
              <w:spacing w:before="0" w:after="283"/>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w:t>
            </w:r>
          </w:p>
        </w:tc>
        <w:tc>
          <w:tcPr>
            <w:tcW w:w="146" w:type="dxa"/>
            <w:tcBorders/>
            <w:shd w:fill="CCEEFF" w:val="clear"/>
            <w:vAlign w:val="bottom"/>
          </w:tcPr>
          <w:p>
            <w:pPr>
              <w:pStyle w:val="TableContents"/>
              <w:spacing w:before="0" w:after="283"/>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1,639</w:t>
            </w:r>
          </w:p>
        </w:tc>
        <w:tc>
          <w:tcPr>
            <w:tcW w:w="156" w:type="dxa"/>
            <w:tcBorders/>
            <w:shd w:fill="CCEEFF" w:val="clear"/>
            <w:vAlign w:val="bottom"/>
          </w:tcPr>
          <w:p>
            <w:pPr>
              <w:pStyle w:val="TableContents"/>
              <w:spacing w:before="0" w:after="283"/>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3,656</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Adjusted EBITDA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(costs) income, net, deferred compensation and bonuses earned upon closing of the Business Combination, public relations fee due upon closing of the Business Combination, loss on infrequent product repairs, contra-revenue from warrants granted to a customer, and hardware repair expenses related to COVID.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Business Combination, including a deferred compensation and bonuses earned upon the closing of the Business Combination, and a public relations fee due upon closing of the Business Combination. Excluding these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attributable to the Business Combination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reconciliation of net loss to Adjusted EBITDA for each of the periods presented:</w:t>
      </w:r>
    </w:p>
    <w:tbl>
      <w:tblPr>
        <w:tblW w:w="10205" w:type="dxa"/>
        <w:jc w:val="left"/>
        <w:tblInd w:w="0" w:type="dxa"/>
        <w:tblCellMar>
          <w:top w:w="0" w:type="dxa"/>
          <w:left w:w="0" w:type="dxa"/>
          <w:bottom w:w="0" w:type="dxa"/>
          <w:right w:w="0" w:type="dxa"/>
        </w:tblCellMar>
      </w:tblPr>
      <w:tblGrid>
        <w:gridCol w:w="4584"/>
        <w:gridCol w:w="146"/>
        <w:gridCol w:w="226"/>
        <w:gridCol w:w="841"/>
        <w:gridCol w:w="181"/>
        <w:gridCol w:w="146"/>
        <w:gridCol w:w="226"/>
        <w:gridCol w:w="841"/>
        <w:gridCol w:w="181"/>
        <w:gridCol w:w="146"/>
        <w:gridCol w:w="226"/>
        <w:gridCol w:w="841"/>
        <w:gridCol w:w="181"/>
        <w:gridCol w:w="146"/>
        <w:gridCol w:w="226"/>
        <w:gridCol w:w="841"/>
        <w:gridCol w:w="226"/>
      </w:tblGrid>
      <w:tr>
        <w:trPr/>
        <w:tc>
          <w:tcPr>
            <w:tcW w:w="458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4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4584"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stock-based compensation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compensation and bonuses earned upon closing of the Business Combination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relations fee due upon closing of the Business Combination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Contra-revenue associated with warrant agreement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Hardware repair expense related to COVID(1)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(10,027</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loss.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Performance Indicator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one primary key performance indicator to evaluate our operational and financial performance: net revenue retention.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recurring revenue, including both platform and transaction revenue, by the prior period’s recurring revenue using the same set of restaurant logos. Net revenue retention is an indicator of the propensity of our customers to continue working with us and expanding their relationship with us. We assess our net revenue retention on a rolling six-month basis comparing year-over-year. For the six months ended December 31, 2022, our net revenue retention was 99%, while for the six months ended December 31, 2021, it was 103%. The slight decrease in the six months ended December 31, 2022 was primarily due to contract terminations by a limited number of franchisees of existing enterprise 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net revenue retention is useful for investors by providing a consistent comparison of customer results and growth across comparable periods within our core, established customer base, unaffected by the impact of new customers on our business.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Factors Affecting Our Performance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Support of our Customers’ Revenue Growth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Adoption of Additional Products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Expansion of Locations Per Customer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Acquisition of New Locations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locations is not in itself a key performance indicator utilized by our management because of varying financial arrangements and contribution. Rather, our management uses number of locations as a general measure of scale across our platform.</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Innovation and Development of New Products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Seasonality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Components of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generate revenue from two main sources that are further described below: (1) platform revenue and (2) transaction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revenue is generated from fees charged to customers for access to Presto Touch and AI Platform products and is recognized ratably. For Presto Touch,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Pursuant to the primary AI Platform arrangement that we maintained during the three and six months ended December 31, 2022, we remit a revenue share to our hardware and software vendor and accordingly, such revenue share is not recognized in our financial statements. Rather we have determined we are the agent and do not control the AI Platform hardware, software and other services and are not primarily responsible for fulfilling the promise to the customer. The revenue share paid to our hardware and software vendor under our AI Platform revenue share agreement ranged from 64% – 68% of the gross billings to the customer for the three and six months ended December 31, 2022. Revenue, in our role as agent, that was generated from AI Platform products was not material for the three and six months ended December 31, 2022 and 2021. Such revenue generated from AI Platform products is inclusive of $0.4 million and $0.6 million of contra-revenue related to the fair value of the warrant treated as a reduction to the transaction price of a customer for the three and six months ended December 31, 2022,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cost of revenue consists of four categories: product costs, shipping/freight costs, installation costs and other costs. Product costs consist primarily of the cost to purchase the hardware and hardware accessories for the Presto Touch products. Shipping/freight costs consist of all costs to transport equipment to customers. Installation costs include the labor cost to install the hardware in each restaurant. Other costs include the amortization of capitalized software and product support costs, as well as certain costs paid to a vendor supporting the development of the vendor’s software and hardware offerings used in the AI Platform.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Times New Roman PS Std;serif" w:hAnsi="Times New Roman PS Std;serif"/>
          <w:b/>
          <w:i w:val="false"/>
          <w:caps w:val="false"/>
          <w:smallCaps w:val="false"/>
          <w:sz w:val="20"/>
        </w:rPr>
        <w:t>RMA</w:t>
      </w:r>
      <w:r>
        <w:rPr>
          <w:rFonts w:ascii="Times New Roman PS Std;serif" w:hAnsi="Times New Roman PS Std;serif"/>
          <w:b w:val="false"/>
          <w:i w:val="false"/>
          <w:caps w:val="false"/>
          <w:smallCaps w:val="false"/>
          <w:sz w:val="20"/>
        </w:rPr>
        <w:t>”) process as of the reporting period, which get charged to platform cost of revenue. Our hardware repair expense was higher in the three and six months ended December 31, 2021 due to COVID-related volume, whereby customers sent back tablets either simply to be checked or reset, or for cosmetic reasons or minor repairs.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gaming revenue share agreements range on average between 83% – 90% and 83% – 92% of premium content revenue by customer logo for the three and six months ended December 31, 2022, respectively. The commissions paid to restaurants under the Company’s gaming revenue share agreements ranged between 81% – 90% and 79% – 96% of premium content revenue by customer logo for the three and six months ended December 31, 2021,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cost of revenue consists primarily of the costs of leased assets that are included in property and equipment, net in the balance sheet that are amortized to cost of revenue and related impairment charges.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Research and development.    </w:t>
      </w:r>
      <w:r>
        <w:rPr>
          <w:rFonts w:ascii="Times New Roman PS Std;serif" w:hAnsi="Times New Roman PS Std;serif"/>
          <w:b w:val="false"/>
          <w:i w:val="false"/>
          <w:caps w:val="false"/>
          <w:smallCaps w:val="false"/>
          <w:sz w:val="20"/>
        </w:rPr>
        <w:t>Research and development expenses consist primarily of employee-related costs associated with 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Sales and Marketing.    </w:t>
      </w:r>
      <w:r>
        <w:rPr>
          <w:rFonts w:ascii="Times New Roman PS Std;serif" w:hAnsi="Times New Roman PS Std;serif"/>
          <w:b w:val="false"/>
          <w:i w:val="false"/>
          <w:caps w:val="false"/>
          <w:smallCaps w:val="false"/>
          <w:sz w:val="20"/>
        </w:rPr>
        <w:t>Sales and marketing expenses consist primarily of employee-related costs incurred to acquire new customers and increase product adoption across our existing customer base. Marketing expenses also include fees incurred to generate demand through various advertising channels and allocated overhead costs.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and administrative.    </w:t>
      </w:r>
      <w:r>
        <w:rPr>
          <w:rFonts w:ascii="Times New Roman PS Std;serif" w:hAnsi="Times New Roman PS Std;serif"/>
          <w:b w:val="false"/>
          <w:i w:val="false"/>
          <w:caps w:val="false"/>
          <w:smallCaps w:val="false"/>
          <w:sz w:val="20"/>
        </w:rPr>
        <w:t>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Loss on infrequent product repairs.    </w:t>
      </w:r>
      <w:r>
        <w:rPr>
          <w:rFonts w:ascii="Times New Roman PS Std;serif" w:hAnsi="Times New Roman PS Std;serif"/>
          <w:b w:val="false"/>
          <w:i w:val="false"/>
          <w:caps w:val="false"/>
          <w:smallCaps w:val="false"/>
          <w:sz w:val="20"/>
        </w:rPr>
        <w:t>Loss on infrequent product repairs expenses consist primarily of charges incurred in connection with hardware returned for repair or replacement using an RMA. While we have incurred RMA charges in the past, in the three and six months ended December 31,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warranty that we provide covers regular wear and tear and does not cover any damage caused by mishandling of the product. However, given the nature of issues, in order to prevent disruption to our customers’ businesses, we incurred approximately $28 thousand and $0.5 million of repair and replacement expenses related to this issue during the three and six months ended December 31, 2021. There were no similar expenses incurred during the three and six months ended December 31, 2022.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Fair Value of Warrants and Convertible Promissory Notes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includes income of $2.0 million and $2.6 million due to the forgiveness of our PPP loans in the six months ended December 31, 2022 and 2021, respectively. During the three months ended December 31, 2022, the Company made an investment in a non-affiliated entity in the amount $2.0 million. The Company has determined that the investment does not have a readily determinable fair value and therefore accounts for the investment at cost, as adjusted for impairments and observable price changes. There were no adjustments recorded for impairments and observable price changes during the three and six months ended December 31,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Expense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interest incurred on our financing obligations and outstanding loans.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Loss on Extinguishment of Debt and Financial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 consists of losses incurred related to the extinguishment of our term loans outstanding prior to the Business Combination during the six months ended December 31, 2022 and the extinguishment of our financial obligation with third party financiers during the three months ended December 31,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Financing and Financial Instrument (Costs) Income,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the arrangement related to the unvested founder shares in accordance with ASC 815-40 as equity-linked instruments and are not indexed to the entity’s own stock and accordingly such instruments are liability classified.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for Income Taxes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record interest and penalties related to income tax matters in income tax expense.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Three and Six Months Ended December 31, 2022 and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w:t>
      </w:r>
    </w:p>
    <w:tbl>
      <w:tblPr>
        <w:tblW w:w="10205" w:type="dxa"/>
        <w:jc w:val="left"/>
        <w:tblInd w:w="0" w:type="dxa"/>
        <w:tblCellMar>
          <w:top w:w="0" w:type="dxa"/>
          <w:left w:w="0" w:type="dxa"/>
          <w:bottom w:w="0" w:type="dxa"/>
          <w:right w:w="0" w:type="dxa"/>
        </w:tblCellMar>
      </w:tblPr>
      <w:tblGrid>
        <w:gridCol w:w="4584"/>
        <w:gridCol w:w="146"/>
        <w:gridCol w:w="226"/>
        <w:gridCol w:w="841"/>
        <w:gridCol w:w="181"/>
        <w:gridCol w:w="146"/>
        <w:gridCol w:w="226"/>
        <w:gridCol w:w="841"/>
        <w:gridCol w:w="181"/>
        <w:gridCol w:w="146"/>
        <w:gridCol w:w="226"/>
        <w:gridCol w:w="841"/>
        <w:gridCol w:w="181"/>
        <w:gridCol w:w="146"/>
        <w:gridCol w:w="226"/>
        <w:gridCol w:w="841"/>
        <w:gridCol w:w="226"/>
      </w:tblGrid>
      <w:tr>
        <w:trPr/>
        <w:tc>
          <w:tcPr>
            <w:tcW w:w="458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4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4584"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45,530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(29,385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(loss) before 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(42,992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and comprehensive income (loss)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CellMar>
          <w:top w:w="0" w:type="dxa"/>
          <w:left w:w="0" w:type="dxa"/>
          <w:bottom w:w="0" w:type="dxa"/>
          <w:right w:w="0" w:type="dxa"/>
        </w:tblCellMar>
      </w:tblPr>
      <w:tblGrid>
        <w:gridCol w:w="1504"/>
        <w:gridCol w:w="146"/>
        <w:gridCol w:w="226"/>
        <w:gridCol w:w="646"/>
        <w:gridCol w:w="146"/>
        <w:gridCol w:w="226"/>
        <w:gridCol w:w="646"/>
        <w:gridCol w:w="146"/>
        <w:gridCol w:w="226"/>
        <w:gridCol w:w="721"/>
        <w:gridCol w:w="181"/>
        <w:gridCol w:w="146"/>
        <w:gridCol w:w="421"/>
        <w:gridCol w:w="331"/>
        <w:gridCol w:w="146"/>
        <w:gridCol w:w="226"/>
        <w:gridCol w:w="766"/>
        <w:gridCol w:w="146"/>
        <w:gridCol w:w="226"/>
        <w:gridCol w:w="766"/>
        <w:gridCol w:w="146"/>
        <w:gridCol w:w="226"/>
        <w:gridCol w:w="721"/>
        <w:gridCol w:w="181"/>
        <w:gridCol w:w="146"/>
        <w:gridCol w:w="421"/>
        <w:gridCol w:w="376"/>
      </w:tblGrid>
      <w:tr>
        <w:trPr/>
        <w:tc>
          <w:tcPr>
            <w:tcW w:w="150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89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202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213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207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504"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75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79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7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7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14,709</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7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decreased 4% to $7.4 million for the three months ended December 31, 2022, as compared to $7.7 million for the three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revenue decreased 20% to $4.1 million for the three months ended December 31, 2022, as compared to $5.1 million for the three months ended December 31, 2021. The decrease is primarily attributable to contract terminations by a limited number of franchisees of existing enterprise customers.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increased 26% to $3.2 million for the three months ended December 31, 2022, as compared to $2.6 million for the three months ended December 31, 2021. This is due to increases in pricing for the Company’s gaming fees in the first quarter of fiscal year 2023.</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decreased 1% to $14.7 million for the six months ended December 31, 2022, as compared to $14.9 million for the six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revenue decreased 12% to $8.5 million for the six months ended December 31, 2022, as compared to $9.7 million for the six months ended December 31, 2021. The decrease was attributable to contract terminations by a limited number of franchisees of existing enterprise 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increased 18% to $6.2 million for the six months ended December 31, 2022, as compared to $5.3 million for the six months ended December 31, 2021. This is due to increases in pricing for the Company’s gaming fees in the first quarter of fiscal year 2023.</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present, the substantial majority of our revenue is generated from our three largest customers (including, as applicable, the franchisees of such restaurants aggregated as a single customer for reporting purposes), which in the three and six months ended December 31, 2022 generated an aggregate of approximately, 96% and 97% of our revenue, respectively, while for the three and six months ended December 31, 2021, they generated an aggregate of approximately, 89% and 94%. The successful renewal of our agreements with those customers is critical to our near-term results of operations and is dependent on product execution, key customer relationships, and in part, the health of the franchisees of some of our customers that have a predominantly franchised model. Although we experienced customer relationship cancellations with the enterprise and certain associated franchisees, the most significant franchisee relationships are still in business and have renewed with us with existing equipment. Some of these agreements are subject to renewal in calendar year 2023.</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tbl>
      <w:tblPr>
        <w:tblW w:w="10205" w:type="dxa"/>
        <w:jc w:val="left"/>
        <w:tblInd w:w="0" w:type="dxa"/>
        <w:tblCellMar>
          <w:top w:w="0" w:type="dxa"/>
          <w:left w:w="0" w:type="dxa"/>
          <w:bottom w:w="0" w:type="dxa"/>
          <w:right w:w="0" w:type="dxa"/>
        </w:tblCellMar>
      </w:tblPr>
      <w:tblGrid>
        <w:gridCol w:w="1898"/>
        <w:gridCol w:w="146"/>
        <w:gridCol w:w="226"/>
        <w:gridCol w:w="646"/>
        <w:gridCol w:w="146"/>
        <w:gridCol w:w="226"/>
        <w:gridCol w:w="646"/>
        <w:gridCol w:w="146"/>
        <w:gridCol w:w="226"/>
        <w:gridCol w:w="541"/>
        <w:gridCol w:w="181"/>
        <w:gridCol w:w="146"/>
        <w:gridCol w:w="421"/>
        <w:gridCol w:w="313"/>
        <w:gridCol w:w="146"/>
        <w:gridCol w:w="226"/>
        <w:gridCol w:w="766"/>
        <w:gridCol w:w="146"/>
        <w:gridCol w:w="226"/>
        <w:gridCol w:w="766"/>
        <w:gridCol w:w="146"/>
        <w:gridCol w:w="226"/>
        <w:gridCol w:w="541"/>
        <w:gridCol w:w="181"/>
        <w:gridCol w:w="146"/>
        <w:gridCol w:w="421"/>
        <w:gridCol w:w="360"/>
      </w:tblGrid>
      <w:tr>
        <w:trPr/>
        <w:tc>
          <w:tcPr>
            <w:tcW w:w="189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89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1828"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213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1875"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898"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78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9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1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6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9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6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9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1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6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9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costs of revenue</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7,343</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6,484</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13,306</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6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increased 13% to $7.3 million for the three months ended December 31, 2022, as compared to $6.5 million for the three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cost of revenue increased 11% to $4.2 million for the three months ended December 31, 2022, as compared to $3.8 million for the three months ended December 31, 2021. The increase was primarily attributable to increases in installation and shipping costs during the three months ended December 31, 2022, relative to the three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transaction cost of revenue increased 27% to $2.8 million for the three months ended December 31, 2022, as compared to $2.2 million for the three months ended December 31, 2021. The increase was primarily attributable to increases in the revenue share owed to restaurants as a result of increases in pricing for the Company’s gaming fees.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increased 7% to $14.3 million for the six months ended December 31, 2022, as compared to $13.3 million for the six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cost of revenue increased 5% to $8.2 million for the six months ended December 31, 2022, as compared to $7.8 million for the six months ended December 31, 2021. The increase was primarily attributable to increases in installation and shipping costs during the six months ended December 31, 2022, relative to the six months ended December 31,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transaction cost of revenue increased 20% to $5.5 million for the six months ended December 31, 2022, as compared to $4.6 million for the six months ended December 31, 2021. The increase was primarily attributable to increases in the revenue share owed to restaurants as a result of increases in pricing for the Company’s gaming fees.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 — Depreciation and Impairment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depreciation and impairment cost of revenue decreased 37% for the three and six months ended December 31, 2022, respectively, to $0.3 million and $0.6 million from $0.5 million and $0.9 million during the three and six months ended December 31, 2021, respectively. The decreases were primarily attributable to the return of leased tablets in fiscal year 2022, which resulted in a lower amount of tablets in use and being depreciated.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tbl>
      <w:tblPr>
        <w:tblW w:w="10287" w:type="dxa"/>
        <w:jc w:val="left"/>
        <w:tblInd w:w="0" w:type="dxa"/>
        <w:tblCellMar>
          <w:top w:w="0" w:type="dxa"/>
          <w:left w:w="0" w:type="dxa"/>
          <w:bottom w:w="0" w:type="dxa"/>
          <w:right w:w="0" w:type="dxa"/>
        </w:tblCellMar>
      </w:tblPr>
      <w:tblGrid>
        <w:gridCol w:w="1346"/>
        <w:gridCol w:w="146"/>
        <w:gridCol w:w="226"/>
        <w:gridCol w:w="766"/>
        <w:gridCol w:w="146"/>
        <w:gridCol w:w="226"/>
        <w:gridCol w:w="646"/>
        <w:gridCol w:w="146"/>
        <w:gridCol w:w="226"/>
        <w:gridCol w:w="646"/>
        <w:gridCol w:w="181"/>
        <w:gridCol w:w="146"/>
        <w:gridCol w:w="541"/>
        <w:gridCol w:w="286"/>
        <w:gridCol w:w="146"/>
        <w:gridCol w:w="226"/>
        <w:gridCol w:w="766"/>
        <w:gridCol w:w="146"/>
        <w:gridCol w:w="226"/>
        <w:gridCol w:w="766"/>
        <w:gridCol w:w="146"/>
        <w:gridCol w:w="226"/>
        <w:gridCol w:w="766"/>
        <w:gridCol w:w="181"/>
        <w:gridCol w:w="146"/>
        <w:gridCol w:w="541"/>
        <w:gridCol w:w="331"/>
      </w:tblGrid>
      <w:tr>
        <w:trPr/>
        <w:tc>
          <w:tcPr>
            <w:tcW w:w="134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01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202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213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219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34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05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13,615</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28,207</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15,226</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12,981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increased by 78% to $13.6 million for the three months ended December 31, 2022, as compared to $7.6 million for the three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increased by 85% to $28.2 million for the six months ended December 31, 2022, as compared to $15.2 million for the six months ended December 31, 2021.</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increased 34% to $5.1 million for the three months ended December 31, 2022, as compared to $3.8 million for the three months ended December 31, 2021. The increase resulted primarily from an increase in salaries and employee benefits expense of $0.7 million as a result of an increase in headcount and an increase of $0.4 million of stock-based compensation expense.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increased 46% to $11.4 million for the six months ended December 31, 2022, as compared to $7.8 million for the six months ended December 31, 2021. The increase resulted primarily from an increase in salaries and employee benefits expense of $2.6 million and an increase to stock-based compensation expense of $0.5 million, both as a result of an increase in our headcount.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and Marketing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increased 35% to $2.2 million for the three months ended December 31, 2022, as compared to $1.7 million for the three months ended December 31, 2021. The increase resulted primarily from an increase in salaries and employee benefits expense of $0.4 million as a result of an increase in headcount.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increased 64% to $4.6 million for the six months ended December 31, 2022, as compared to $2.8 million for the six months ended December 31, 2021. The increase resulted primarily from an increase in salaries and employee benefits expense of $1.1 million, as a result of an increase in headcount, and a public relations fee paid upon the completion of the Business Combination of $0.3 million in the six months ended December 31,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191% to $6.3 million for the three months ended December 31, 2022, as compared to $2.2 million for the three months ended December 31, 2021. The increase resulted primarily from an increase in legal expense, accounting services expense and temporary services expenses of $1.7 million, an increase in stock-based compensation expense of $1.5 million and an increase of salaries and employee benefits expense of $0.4 million.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195% to $12.2 million for the six months ended December 31, 2022, as compared to $4.1 million for the six months ended December 31, 2021. The increase resulted primarily from an increase in stock- based compensation expense of $3.3 million, and an increase in legal expense, accounting services expense and temporary services expenses of $2.8 million, $0.8 million of which are ancillary professional services fees in preparation for the Business Combination, an increase in salaries and employee benefits expense of $1.4 million as a result of increased headcount, and an increase in insurance expense of $0.4 million.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Infrequent Product Repairs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no loss on infrequent product repairs for the three and six months ended December 31, 2022, as compared to $28 thousand and $0.5 million for the three and six months ended December 31, 2021, respectively. The decrease is due to the decrease in the repair and replacement expenses related to damage caused to hardware caused by our customers’ use of extremely strong commercial disinfectant solutions to clean the hardware devices as a mandatory precaution protocol due to COVID-19 in the six months ended December 31, 2022 and compared to the six months ended December 31,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Fair Value of Warrants and Convertible Promissory Notes</w:t>
      </w:r>
    </w:p>
    <w:tbl>
      <w:tblPr>
        <w:tblW w:w="10278" w:type="dxa"/>
        <w:jc w:val="left"/>
        <w:tblInd w:w="0" w:type="dxa"/>
        <w:tblCellMar>
          <w:top w:w="0" w:type="dxa"/>
          <w:left w:w="0" w:type="dxa"/>
          <w:bottom w:w="0" w:type="dxa"/>
          <w:right w:w="0" w:type="dxa"/>
        </w:tblCellMar>
      </w:tblPr>
      <w:tblGrid>
        <w:gridCol w:w="1261"/>
        <w:gridCol w:w="146"/>
        <w:gridCol w:w="226"/>
        <w:gridCol w:w="541"/>
        <w:gridCol w:w="181"/>
        <w:gridCol w:w="146"/>
        <w:gridCol w:w="226"/>
        <w:gridCol w:w="841"/>
        <w:gridCol w:w="181"/>
        <w:gridCol w:w="146"/>
        <w:gridCol w:w="226"/>
        <w:gridCol w:w="766"/>
        <w:gridCol w:w="146"/>
        <w:gridCol w:w="346"/>
        <w:gridCol w:w="286"/>
        <w:gridCol w:w="146"/>
        <w:gridCol w:w="226"/>
        <w:gridCol w:w="766"/>
        <w:gridCol w:w="146"/>
        <w:gridCol w:w="226"/>
        <w:gridCol w:w="841"/>
        <w:gridCol w:w="181"/>
        <w:gridCol w:w="146"/>
        <w:gridCol w:w="226"/>
        <w:gridCol w:w="766"/>
        <w:gridCol w:w="146"/>
        <w:gridCol w:w="466"/>
        <w:gridCol w:w="331"/>
      </w:tblGrid>
      <w:tr>
        <w:trPr/>
        <w:tc>
          <w:tcPr>
            <w:tcW w:w="12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34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177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238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193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26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6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79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2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15,818</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89,214</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December 31, 2022, the change in fair value of warrants and convertible promissory notes was a loss of $0.4 million, as compared to a loss of $16.2 million during the three months ended December 31, 2021, primarily due to the fact that all of the convertible promissory notes converted due to the consummation of the Business Combination on September 21, 2022. During the three months ended December 31, 2021, all of the Company’s outstanding convertible promissory notes and liability classified warrants were subject to remeasurement as such instruments were accounted for at fair value.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six months ended December 31, 2022, the change in fair value of warrants and convertible promissory notes changed due to a gain of $59.4 million, as compared to a loss of $29.8 million in the six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remeasurement gain recorded during the six months ended December 31, 2022, was primarily driven by two factors. First, immediately prior to the closing of the Business Combination, the convertible notes and embedded warrants were remeasured to their then fair value of $41.4 million, resulting in a gain on remeasurement of $48.3 million. Second, with the close of the Business Combination, the Company assumed $9.4 million of warrant liabilities associated with the Private Warrants of VTAQ and issued additional warrants with a fair value of $0.8 million. As of December 31, 2022, all of the Company’s liability classified warrants were remeasured to fair value based on the December 31, 2022 stock price, resulting in an $11.2 million gain on remeasurement for the six months ended December 31, 2022. The primary factor affecting the change in fair value of the warrants was the assumption of the Private Warrants, the issuance of additional warrant shares, and the decrease in the Company’s stock price during the six months ended December 31,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the convertible notes and embedded warrants had a change in fair value resulting in a loss of $29.8 million, reflecting the increased stock price of the then privately held entity. Such increases to the stock price were in contemplation of the anticipated Merger.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Expense</w:t>
      </w:r>
    </w:p>
    <w:tbl>
      <w:tblPr>
        <w:tblW w:w="10205" w:type="dxa"/>
        <w:jc w:val="left"/>
        <w:tblInd w:w="0" w:type="dxa"/>
        <w:tblCellMar>
          <w:top w:w="0" w:type="dxa"/>
          <w:left w:w="0" w:type="dxa"/>
          <w:bottom w:w="0" w:type="dxa"/>
          <w:right w:w="0" w:type="dxa"/>
        </w:tblCellMar>
      </w:tblPr>
      <w:tblGrid>
        <w:gridCol w:w="2348"/>
        <w:gridCol w:w="146"/>
        <w:gridCol w:w="226"/>
        <w:gridCol w:w="646"/>
        <w:gridCol w:w="146"/>
        <w:gridCol w:w="226"/>
        <w:gridCol w:w="466"/>
        <w:gridCol w:w="146"/>
        <w:gridCol w:w="237"/>
        <w:gridCol w:w="679"/>
        <w:gridCol w:w="146"/>
        <w:gridCol w:w="466"/>
        <w:gridCol w:w="286"/>
        <w:gridCol w:w="146"/>
        <w:gridCol w:w="226"/>
        <w:gridCol w:w="646"/>
        <w:gridCol w:w="146"/>
        <w:gridCol w:w="226"/>
        <w:gridCol w:w="646"/>
        <w:gridCol w:w="146"/>
        <w:gridCol w:w="237"/>
        <w:gridCol w:w="679"/>
        <w:gridCol w:w="146"/>
        <w:gridCol w:w="466"/>
        <w:gridCol w:w="331"/>
      </w:tblGrid>
      <w:tr>
        <w:trPr/>
        <w:tc>
          <w:tcPr>
            <w:tcW w:w="234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71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1814"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189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1859"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348"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6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75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79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4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46"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2,162</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146"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4,150</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249% to $3.0 million for the three months ended December 31, 2022, as compared to $0.9 million for the three months ended December 31, 2021, while interest expense increased 184% to $6.4 million for the six months ended December 31, 2022, as compared to $2.3 million for the six months ended December 31, 2021. The increase was due to the Company having higher interest-bearing term loan debt outstanding during the three and six months ended December 31, 2022 as compared to the three and six months ended December 31,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Loss on Extinguishment of Debt and Financial Obligations</w:t>
      </w:r>
    </w:p>
    <w:tbl>
      <w:tblPr>
        <w:tblW w:w="10205" w:type="dxa"/>
        <w:jc w:val="left"/>
        <w:tblInd w:w="0" w:type="dxa"/>
        <w:tblCellMar>
          <w:top w:w="0" w:type="dxa"/>
          <w:left w:w="0" w:type="dxa"/>
          <w:bottom w:w="0" w:type="dxa"/>
          <w:right w:w="0" w:type="dxa"/>
        </w:tblCellMar>
      </w:tblPr>
      <w:tblGrid>
        <w:gridCol w:w="3523"/>
        <w:gridCol w:w="146"/>
        <w:gridCol w:w="249"/>
        <w:gridCol w:w="514"/>
        <w:gridCol w:w="160"/>
        <w:gridCol w:w="249"/>
        <w:gridCol w:w="384"/>
        <w:gridCol w:w="146"/>
        <w:gridCol w:w="299"/>
        <w:gridCol w:w="617"/>
        <w:gridCol w:w="146"/>
        <w:gridCol w:w="382"/>
        <w:gridCol w:w="146"/>
        <w:gridCol w:w="226"/>
        <w:gridCol w:w="646"/>
        <w:gridCol w:w="146"/>
        <w:gridCol w:w="231"/>
        <w:gridCol w:w="355"/>
        <w:gridCol w:w="146"/>
        <w:gridCol w:w="237"/>
        <w:gridCol w:w="679"/>
        <w:gridCol w:w="146"/>
        <w:gridCol w:w="432"/>
      </w:tblGrid>
      <w:tr>
        <w:trPr/>
        <w:tc>
          <w:tcPr>
            <w:tcW w:w="352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56"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1444"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1604"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1494"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523"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shd w:fill="auto" w:val="clear"/>
            <w:vAlign w:val="bottom"/>
          </w:tcPr>
          <w:p>
            <w:pPr>
              <w:pStyle w:val="TableContents"/>
              <w:spacing w:before="0" w:after="283"/>
              <w:rPr/>
            </w:pPr>
            <w:r>
              <w:rPr/>
              <w:t> </w:t>
            </w:r>
          </w:p>
        </w:tc>
        <w:tc>
          <w:tcPr>
            <w:tcW w:w="76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0" w:type="dxa"/>
            <w:tcBorders/>
            <w:shd w:fill="auto" w:val="clear"/>
            <w:vAlign w:val="bottom"/>
          </w:tcPr>
          <w:p>
            <w:pPr>
              <w:pStyle w:val="TableContents"/>
              <w:spacing w:before="0" w:after="283"/>
              <w:rPr/>
            </w:pPr>
            <w:r>
              <w:rPr/>
              <w:t> </w:t>
            </w:r>
          </w:p>
        </w:tc>
        <w:tc>
          <w:tcPr>
            <w:tcW w:w="63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58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52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8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4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46"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 was $0.3 and $8.1 million for the three and six months ended December 31, 2022, as compared to zero for the three and six months ended December 31, 2021. The increase is due to the Company’s loss on the extinguishment of its term loans outstanding prior to the Business Combination during six months ended December 31, 2022 in the amount of $7.8 million. Further during the three and six months ended December 31, 2022, the Company recorded a loss of $0.3 million related to the extinguishment of certain financing obligations.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Financing and Financial Instrument (Costs) Income, Net</w:t>
      </w:r>
    </w:p>
    <w:tbl>
      <w:tblPr>
        <w:tblW w:w="10205" w:type="dxa"/>
        <w:jc w:val="left"/>
        <w:tblInd w:w="0" w:type="dxa"/>
        <w:tblCellMar>
          <w:top w:w="0" w:type="dxa"/>
          <w:left w:w="0" w:type="dxa"/>
          <w:bottom w:w="0" w:type="dxa"/>
          <w:right w:w="0" w:type="dxa"/>
        </w:tblCellMar>
      </w:tblPr>
      <w:tblGrid>
        <w:gridCol w:w="3089"/>
        <w:gridCol w:w="146"/>
        <w:gridCol w:w="271"/>
        <w:gridCol w:w="416"/>
        <w:gridCol w:w="175"/>
        <w:gridCol w:w="271"/>
        <w:gridCol w:w="418"/>
        <w:gridCol w:w="146"/>
        <w:gridCol w:w="361"/>
        <w:gridCol w:w="555"/>
        <w:gridCol w:w="146"/>
        <w:gridCol w:w="368"/>
        <w:gridCol w:w="146"/>
        <w:gridCol w:w="226"/>
        <w:gridCol w:w="721"/>
        <w:gridCol w:w="181"/>
        <w:gridCol w:w="146"/>
        <w:gridCol w:w="231"/>
        <w:gridCol w:w="355"/>
        <w:gridCol w:w="146"/>
        <w:gridCol w:w="226"/>
        <w:gridCol w:w="721"/>
        <w:gridCol w:w="181"/>
        <w:gridCol w:w="146"/>
        <w:gridCol w:w="417"/>
      </w:tblGrid>
      <w:tr>
        <w:trPr/>
        <w:tc>
          <w:tcPr>
            <w:tcW w:w="3089"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51"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1430"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1860"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1691"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089"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5" w:type="dxa"/>
            <w:tcBorders/>
            <w:shd w:fill="auto" w:val="clear"/>
            <w:vAlign w:val="bottom"/>
          </w:tcPr>
          <w:p>
            <w:pPr>
              <w:pStyle w:val="TableContents"/>
              <w:spacing w:before="0" w:after="283"/>
              <w:rPr/>
            </w:pPr>
            <w:r>
              <w:rPr/>
              <w:t> </w:t>
            </w:r>
          </w:p>
        </w:tc>
        <w:tc>
          <w:tcPr>
            <w:tcW w:w="689"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58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89"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7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net were $1.8 million for the six months ended December 31, 2022 due to the Company’s expense related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tbl>
      <w:tblPr>
        <w:tblW w:w="10205" w:type="dxa"/>
        <w:jc w:val="left"/>
        <w:tblInd w:w="0" w:type="dxa"/>
        <w:tblCellMar>
          <w:top w:w="0" w:type="dxa"/>
          <w:left w:w="0" w:type="dxa"/>
          <w:bottom w:w="0" w:type="dxa"/>
          <w:right w:w="0" w:type="dxa"/>
        </w:tblCellMar>
      </w:tblPr>
      <w:tblGrid>
        <w:gridCol w:w="2247"/>
        <w:gridCol w:w="146"/>
        <w:gridCol w:w="252"/>
        <w:gridCol w:w="521"/>
        <w:gridCol w:w="163"/>
        <w:gridCol w:w="252"/>
        <w:gridCol w:w="389"/>
        <w:gridCol w:w="146"/>
        <w:gridCol w:w="299"/>
        <w:gridCol w:w="617"/>
        <w:gridCol w:w="146"/>
        <w:gridCol w:w="646"/>
        <w:gridCol w:w="286"/>
        <w:gridCol w:w="146"/>
        <w:gridCol w:w="226"/>
        <w:gridCol w:w="646"/>
        <w:gridCol w:w="146"/>
        <w:gridCol w:w="226"/>
        <w:gridCol w:w="646"/>
        <w:gridCol w:w="146"/>
        <w:gridCol w:w="226"/>
        <w:gridCol w:w="541"/>
        <w:gridCol w:w="181"/>
        <w:gridCol w:w="146"/>
        <w:gridCol w:w="421"/>
        <w:gridCol w:w="398"/>
      </w:tblGrid>
      <w:tr>
        <w:trPr/>
        <w:tc>
          <w:tcPr>
            <w:tcW w:w="224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77"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shd w:fill="auto" w:val="clear"/>
            <w:vAlign w:val="bottom"/>
          </w:tcPr>
          <w:p>
            <w:pPr>
              <w:pStyle w:val="TableContents"/>
              <w:spacing w:before="0" w:after="283"/>
              <w:rPr/>
            </w:pPr>
            <w:r>
              <w:rPr/>
              <w:t> </w:t>
            </w:r>
          </w:p>
        </w:tc>
        <w:tc>
          <w:tcPr>
            <w:tcW w:w="1994"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shd w:fill="auto" w:val="clear"/>
            <w:vAlign w:val="bottom"/>
          </w:tcPr>
          <w:p>
            <w:pPr>
              <w:pStyle w:val="TableContents"/>
              <w:spacing w:before="0" w:after="283"/>
              <w:rPr/>
            </w:pPr>
            <w:r>
              <w:rPr/>
              <w:t> </w:t>
            </w:r>
          </w:p>
        </w:tc>
        <w:tc>
          <w:tcPr>
            <w:tcW w:w="189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shd w:fill="auto" w:val="clear"/>
            <w:vAlign w:val="bottom"/>
          </w:tcPr>
          <w:p>
            <w:pPr>
              <w:pStyle w:val="TableContents"/>
              <w:spacing w:before="0" w:after="283"/>
              <w:rPr/>
            </w:pPr>
            <w:r>
              <w:rPr/>
              <w:t> </w:t>
            </w:r>
          </w:p>
        </w:tc>
        <w:tc>
          <w:tcPr>
            <w:tcW w:w="1913"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247"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shd w:fill="auto" w:val="clear"/>
            <w:vAlign w:val="bottom"/>
          </w:tcPr>
          <w:p>
            <w:pPr>
              <w:pStyle w:val="TableContents"/>
              <w:spacing w:before="0" w:after="283"/>
              <w:rPr/>
            </w:pPr>
            <w:r>
              <w:rPr/>
              <w:t> </w:t>
            </w:r>
          </w:p>
        </w:tc>
        <w:tc>
          <w:tcPr>
            <w:tcW w:w="77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3" w:type="dxa"/>
            <w:tcBorders/>
            <w:shd w:fill="auto" w:val="clear"/>
            <w:vAlign w:val="bottom"/>
          </w:tcPr>
          <w:p>
            <w:pPr>
              <w:pStyle w:val="TableContents"/>
              <w:spacing w:before="0" w:after="283"/>
              <w:rPr/>
            </w:pPr>
            <w:r>
              <w:rPr/>
              <w:t> </w:t>
            </w:r>
          </w:p>
        </w:tc>
        <w:tc>
          <w:tcPr>
            <w:tcW w:w="6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9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819"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4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8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2,873</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9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increased to $0.3 million for the three months ended December 31, 2022, as compared to $11 thousand for the three months ended December 31, 2021. The increase was primarily due to interest earned on proceeds received from the Business Combination which were held in money market accounts during the three months ended December 31,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decreased to $2.4 million for the six months ended December 31, 2022, as compared to $2.6 million for the six months ended December 31, 2021. The gains were primarily due to the forgiveness of our PPP loans during the six months ended December 31, 2022 and 2021, respectively.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for 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 was not material in the three and six months ended December 31, 2022 and 2021.</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our principal sources of liquidity were cash and cash equivalents of $38.2 million and $3.0 million, respectively, which were held for working capital purposes.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$27.8 million and $13.6 million for the six months ended December 31, 2022 and 2021, respectively. As of December 31, 2022 and June 30, 2022, we had an accumulated deficit of $183.0 million and $200.8 million, respectively,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Business Combination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Business Combination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the plan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Cash Flows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indicated:</w:t>
      </w:r>
    </w:p>
    <w:tbl>
      <w:tblPr>
        <w:tblW w:w="10205" w:type="dxa"/>
        <w:jc w:val="left"/>
        <w:tblInd w:w="0" w:type="dxa"/>
        <w:tblCellMar>
          <w:top w:w="0" w:type="dxa"/>
          <w:left w:w="0" w:type="dxa"/>
          <w:bottom w:w="0" w:type="dxa"/>
          <w:right w:w="0" w:type="dxa"/>
        </w:tblCellMar>
      </w:tblPr>
      <w:tblGrid>
        <w:gridCol w:w="4711"/>
        <w:gridCol w:w="146"/>
        <w:gridCol w:w="226"/>
        <w:gridCol w:w="841"/>
        <w:gridCol w:w="181"/>
        <w:gridCol w:w="146"/>
        <w:gridCol w:w="226"/>
        <w:gridCol w:w="841"/>
        <w:gridCol w:w="181"/>
        <w:gridCol w:w="146"/>
        <w:gridCol w:w="226"/>
        <w:gridCol w:w="766"/>
        <w:gridCol w:w="181"/>
        <w:gridCol w:w="146"/>
        <w:gridCol w:w="841"/>
        <w:gridCol w:w="400"/>
      </w:tblGrid>
      <w:tr>
        <w:trPr/>
        <w:tc>
          <w:tcPr>
            <w:tcW w:w="47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4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c>
          <w:tcPr>
            <w:tcW w:w="146" w:type="dxa"/>
            <w:tcBorders/>
            <w:shd w:fill="auto" w:val="clear"/>
            <w:vAlign w:val="bottom"/>
          </w:tcPr>
          <w:p>
            <w:pPr>
              <w:pStyle w:val="TableContents"/>
              <w:spacing w:before="0" w:after="283"/>
              <w:rPr/>
            </w:pPr>
            <w:r>
              <w:rPr/>
              <w:t> </w:t>
            </w:r>
          </w:p>
        </w:tc>
        <w:tc>
          <w:tcPr>
            <w:tcW w:w="2560"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71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7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0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4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66,385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66,471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(77,292</w:t>
            </w:r>
          </w:p>
        </w:tc>
        <w:tc>
          <w:tcPr>
            <w:tcW w:w="40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35,194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(31,273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66,467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40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used in operating activities decreased by 12%, from $26.6 million for the six months ended December 31, 2022, as compared to $30.3 million for the six months ended December 31,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used in operating activities was $26.6 million. This consisted of our net income of $17.8 million and a net use of cash from changes in operating assets and liabilities of $3.0 million partially offset by adjustments for non-cash gains, net of $41.3 million. The net use of cash from changes in operating assets and liabilities primarily relate to a increase in accounts receivable of $1.1 million, an increase in prepaids and other current assets of $1.2 million, a decrease in accrued liabilities of $2.1 million and a decrease in deferred revenue of $6.6 million. Such uses of cash were partially offset by a decrease in deferred costs of $6.3 million and a decrease in accounts payable of $1.4 million. The non-cash adjustments primarily relate to gains associated with changes in fair value of warrants and convertible promissory notes of $48.3 million and change in fair value of our liability-classified warrants of $11.2 million, forgiveness of our outstanding PPP loan of $2.0 million, and change in fair value of unvested founder shares liability of $1.2 million, partially offset by loss on debt extinguishment of debt and financing obligations of $8.1 million, stock-based compensation expense of $3.0 million, paid in-kind interest expense of $2.4 million, share and warrant cost on termination of convertible note agreement of $2.4 million, earnout share stock-based compensation expense of $1.9 million, amortization of debt discount and debt issuance costs of $1.9 million, and depreciation, amortization and impairment of $0.8 million,.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2021, net cash used in operating activities was $30.3 million. This consisted of our net loss of $43.0 million and a net use of cash from changes in operating assets and liabilities of $16.5 million partially offset by adjustments for non-cash charges of $29.2 million. The net use of cash from changes in operating assets and liabilities primarily relate to decreases in deferred revenue of $7.3 million, vendor financing facility of $6.8 million, accounts payable of $4.8 million and accrued liabilities of $2.7 million, partially offset by decreases in deferred costs of $6.0 million. The non-cash adjustments primarily relate to change in fair value of convertible promissory notes of $26.9 million, change in fair value of our liability-classified warrants of $2.8 million, depreciation and amortization of $1.1 million and stock-based compensation expense of $1.0 million, partially offset by forgiveness of one of our PPP loans of $2.6 million.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used in investing activities increased from $4.6 million for the six months ended December 31, 2022, as compared to $0.9 million for the six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cash used in investing activities was $4.6 million which primarily consisted of cash outflows for capitalized software of $2.5 million and a cash outflow for an investment in non-affiliate of $2.0 million.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2021, cash used in investing activities was $0.9 million which primarily consisted of cash outflows for capitalized software of $0.8 million.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provided by financing activities increased $66.5 million, to $66.4 million of cash provided by financing activities for the six months ended December 31, 2022, as compared to $0.1 million cash used in financing activities for the six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cash provided by financing activities was $66.4 million, which consisted primarily of proceeds from the issuance of term loans of $60.3 million, contributions from the Business Combination and PIPE financing, net of transaction costs, of $49.8 million, proceeds from the issuance of common stock of $1.0 million, partially offset by repayment of term loans of $33.0 million, penalties and other costs on extinguishment of debt of $6.1 million, payment of deferred transactions costs of $1.9 million, principal payments of financing obligations of $2.7 million, and payment of debt issuance costs of $1.1 million.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2021, cash used in financing activities was $0.1 million, which consisted primarily of payments of financing obligations of $1.0 million and payments of deferred transaction costs of $0.1 million, partially offset by proceeds from the issuance of convertible promissory notes of $0.5 million and from the issuance of financing obligations of $0.5 million.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the Company’s financing obligations consisted of the following:</w:t>
      </w:r>
    </w:p>
    <w:tbl>
      <w:tblPr>
        <w:tblW w:w="6927" w:type="dxa"/>
        <w:jc w:val="left"/>
        <w:tblInd w:w="0" w:type="dxa"/>
        <w:tblCellMar>
          <w:top w:w="0" w:type="dxa"/>
          <w:left w:w="0" w:type="dxa"/>
          <w:bottom w:w="0" w:type="dxa"/>
          <w:right w:w="0" w:type="dxa"/>
        </w:tblCellMar>
      </w:tblPr>
      <w:tblGrid>
        <w:gridCol w:w="3946"/>
        <w:gridCol w:w="146"/>
        <w:gridCol w:w="303"/>
        <w:gridCol w:w="969"/>
        <w:gridCol w:w="244"/>
        <w:gridCol w:w="146"/>
        <w:gridCol w:w="226"/>
        <w:gridCol w:w="721"/>
        <w:gridCol w:w="226"/>
      </w:tblGrid>
      <w:tr>
        <w:trPr/>
        <w:tc>
          <w:tcPr>
            <w:tcW w:w="394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2022</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2022</w:t>
            </w:r>
          </w:p>
        </w:tc>
      </w:tr>
      <w:tr>
        <w:trPr/>
        <w:tc>
          <w:tcPr>
            <w:tcW w:w="39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financing facility</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4,628</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9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financing facility</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2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9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financing obligations, current</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 non-current</w:t>
            </w:r>
          </w:p>
        </w:tc>
        <w:tc>
          <w:tcPr>
            <w:tcW w:w="146" w:type="dxa"/>
            <w:tcBorders/>
            <w:shd w:fill="CCEEFF" w:val="clear"/>
            <w:vAlign w:val="bottom"/>
          </w:tcPr>
          <w:p>
            <w:pPr>
              <w:pStyle w:val="TableContents"/>
              <w:spacing w:before="0" w:after="283"/>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Receivable Financing Facility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financier, we may continue rolling forward the receivable financing facility.</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Equipment Financing Facility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2023, due to our liquidity position and other commitments, we postponed certain payments on certain arrangements with third party financiers, which resulted in us defaulting on said arrangements. We have remedied the matter via repayment agreements with our third party financiers, as discussed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4, 2022, the Company executed an amendment with one of its third-party financiers to defer non-payments, which increased the monthly payments due for the remaining term of the arrangement.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21, 2022, the Company executed an amendment with one of its third-party financiers. The Company repaid one of the arrangements by making a cash disbursement of $0.4 million, of which extinguished all obligations and resulted in $0.3 million being recorded as a loss on extinguishment of debt and financial obligations on the condensed consolidated statement of operations and comprehensive income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amendment executed on November 4, 2022 and early termination executed on November 21, 2022, the default on payments due as described above has been waived and the Company is in compliance as of December 31, 2022. We have classified all of our obligations under these arrangements as short-term within financing obligations, current as of December 31, 2022 and June 30,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Arrangements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our outstanding debt, net of debt discounts, consisted of the following:</w:t>
      </w:r>
    </w:p>
    <w:tbl>
      <w:tblPr>
        <w:tblW w:w="6776" w:type="dxa"/>
        <w:jc w:val="left"/>
        <w:tblInd w:w="0" w:type="dxa"/>
        <w:tblCellMar>
          <w:top w:w="0" w:type="dxa"/>
          <w:left w:w="0" w:type="dxa"/>
          <w:bottom w:w="0" w:type="dxa"/>
          <w:right w:w="0" w:type="dxa"/>
        </w:tblCellMar>
      </w:tblPr>
      <w:tblGrid>
        <w:gridCol w:w="3001"/>
        <w:gridCol w:w="146"/>
        <w:gridCol w:w="471"/>
        <w:gridCol w:w="1599"/>
        <w:gridCol w:w="146"/>
        <w:gridCol w:w="226"/>
        <w:gridCol w:w="961"/>
        <w:gridCol w:w="226"/>
      </w:tblGrid>
      <w:tr>
        <w:trPr/>
        <w:tc>
          <w:tcPr>
            <w:tcW w:w="300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shd w:fill="auto" w:val="clear"/>
            <w:vAlign w:val="bottom"/>
          </w:tcPr>
          <w:p>
            <w:pPr>
              <w:pStyle w:val="TableContents"/>
              <w:spacing w:before="0" w:after="283"/>
              <w:rPr/>
            </w:pPr>
            <w:r>
              <w:rPr/>
              <w:t> </w:t>
            </w:r>
          </w:p>
        </w:tc>
        <w:tc>
          <w:tcPr>
            <w:tcW w:w="207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br/>
              <w:t>2022</w:t>
            </w:r>
          </w:p>
        </w:tc>
        <w:tc>
          <w:tcPr>
            <w:tcW w:w="146" w:type="dxa"/>
            <w:tcBorders/>
            <w:shd w:fill="auto" w:val="clear"/>
            <w:vAlign w:val="bottom"/>
          </w:tcPr>
          <w:p>
            <w:pPr>
              <w:pStyle w:val="TableContents"/>
              <w:spacing w:before="0" w:after="283"/>
              <w:rPr/>
            </w:pPr>
            <w:r>
              <w:rPr/>
              <w:t> </w:t>
            </w:r>
          </w:p>
        </w:tc>
        <w:tc>
          <w:tcPr>
            <w:tcW w:w="14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2022</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w:t>
            </w:r>
          </w:p>
        </w:tc>
        <w:tc>
          <w:tcPr>
            <w:tcW w:w="146"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9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Loans</w:t>
            </w:r>
          </w:p>
        </w:tc>
        <w:tc>
          <w:tcPr>
            <w:tcW w:w="146"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w:t>
            </w:r>
          </w:p>
        </w:tc>
        <w:tc>
          <w:tcPr>
            <w:tcW w:w="146"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9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debt, current</w:t>
            </w:r>
          </w:p>
        </w:tc>
        <w:tc>
          <w:tcPr>
            <w:tcW w:w="146"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(115,106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noncurrent</w:t>
            </w:r>
          </w:p>
        </w:tc>
        <w:tc>
          <w:tcPr>
            <w:tcW w:w="146" w:type="dxa"/>
            <w:tcBorders/>
            <w:shd w:fill="auto" w:val="clear"/>
            <w:vAlign w:val="bottom"/>
          </w:tcPr>
          <w:p>
            <w:pPr>
              <w:pStyle w:val="TableContents"/>
              <w:spacing w:before="0" w:after="283"/>
              <w:rPr/>
            </w:pPr>
            <w:r>
              <w:rPr/>
              <w:t> </w:t>
            </w:r>
          </w:p>
        </w:tc>
        <w:tc>
          <w:tcPr>
            <w:tcW w:w="47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9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Promissory Notes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we had convertible notes outstanding to various investors, all of which were accounted for under the fair value option. As of June 30, 2022, the fair value of such convertible promissory notes was $89.7 million. In conjunction with the Business Combination,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six months ended December 31, 2022.</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 Loans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Horizon Loan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Lago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the interim unaudited condensed consolidated financial statements as of and for the three and six months ended December 31, 2022 for further details.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we repaid all outstanding loans by making a cash disbursement of $22.4 million, of which $17.8 million was repayment of principal and $0.1 million was payment of payable in kind interest. Further $4.4 million of cash was paid related to prepayment and other penalties.</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Business Combination, we entered into a Credit Agreement (the “Credit Agreement”) with the subsidiary guarantors party thereto, Metropolitan, as administrative, payment and collateral agent (the “Agent”), the lenders (“Lenders”) and other parties party thereto, pursuant to which the Lenders extended term loans having an aggregate original principal amount of $55.0 million (the “Term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we may elect for 100% of the interest payment to be capitalized as PIK Interest on a monthly basis. With respect to interest accruing after the six month anniversary of the closing date, but before the 18 month anniversary of the closing date, we may elect for 50% of the interest payment to be capitalized as PIK Interest on a monthly basis. The Term Loans mature on March 21, 2025.</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comply with certain financial covenants as set forth in the Credit Agreement, including a minimum cash covenant and maximum net leverage ratio of 1.20 to 1.00 (except for such periods of time that compliance has been temporarily waived pursuant to the First Amendment).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December 31, 2022, we were in compliance with all applicable covenants.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entering into the Credit Agreement, Ventoux Acquisition Holdings LLC and Chardan International Investments LLC, the co-sponsors of VTAQ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incurred cash debt issuance costs of $1.0 million in conjunction with the signing of the Credit Agreement which were recorded as a debt discount.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we recorded PIK interest expense amounts of $2.1 million and $2.3 million, respectively, which has been reflected as an increase to the outstanding debt balance. Further, during the three and six months ended December 31, 2022, we recorded interest expense associated with the amortization of debt discounts in the amount $0.5 million and $0.6 million, respectively. Accordingly at December 31, 2022, the term loans, noncurrent balance of $52.0 million reflects $55.0 million of principal and $2.3 million PIK interest accrual, as reduced by unamortized debt issuance costs of $5.3 million.</w:t>
      </w:r>
    </w:p>
    <w:p>
      <w:pPr>
        <w:pStyle w:val="TextBody"/>
        <w:keepNext w:val="true"/>
        <w:pageBreakBefore w:val="false"/>
        <w:widowControl/>
        <w:pBdr/>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Paycheck Protection Program Loan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we received forgiveness for the first PPP loan of $2.6 million and recognized as other income, net. In July 2022, we were granted forgiveness of the second loan in an amount of approximately $2.0 million, which was recognized as other income, net on the condensed consolidated statement of operations and comprehensive income (loss) for the six months ended December 31,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Off-Balance Sheet Arrangements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any off-balance sheet arrangements as of December 31, 2022 and June 30, 2022.</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Recent Developments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we received a favorable arbitrator ruling related to a matter with our third-party subcontractor and were awarded approximately $11.3 million in damages related to our loss on infrequent product repairs and to cover our legal expenses. The award has not met the criteria to be considered realizable as of December 31, 2022. As a result, we have not recognized any gain related to this settlement in our condensed consolidated statement of operations and comprehensive income (loss).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six months ended December 31, 2022. Refer to Note 7 of the interim unaudited condensed consolidated financial statements as of and for the three and six months ended December 31, 2022 for further details.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2022, we received an equity investment of $1,000 from an investor in exchange for 133,333 shares of common stock in the Company. Refer to Note 9 of the interim unaudited condensed consolidated financial statements as of and for the three and six months ended December 31, 2022 for further details. In addition, during the six month ended December 31, 2022 we granted 1,200,000 of RSUs to a director of the Company with a grant date fair value of $4.56 per RSU. Refer to Note 11 of the interim unaudited condensed consolidated financial statements as of and for the three and six months ended December 31, 2022 for further details.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collectability of accounts receivable,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investments in non-affiliates,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 and the related notes contained in exhibit 99.1 of the Current Report on Form 8-K filed with the SEC on December 16,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and 2021, we derived our revenues from two revenue streams: (1) sales and leases of the Presto Touch and AI Platform products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platform revenue stream is generated from fees charged to customers for access to our Presto Touch product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AI Platform products was not material for the three and six months ended December 31, 2022 and 2021. Such revenue generated from AI Platform products is inclusive of $0.4 million and $0.6 million of contra-revenue related to the fair value of the warrant treated as a reduction to the transaction price of a customer for the three and six months ended December 31, 2022, respectively. Refer to the Components of Results of Operations above for further details. We also maintain arrangements with a certain customer whereby we leased the Presto Touch product to that customer. Revenue associated with the lease was recognized on a straight-line basis as platform revenue over the lease term in the condensed consolidated statements of operations and comprehensive income (loss). Refer to the Components of Results of Operations section above for further details.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revenue recognition through the following steps: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Identification of the contract, or contracts, with a customer — We enter into a master sales agreement (“</w:t>
      </w:r>
      <w:r>
        <w:rPr>
          <w:rFonts w:ascii="Times New Roman PS Std;serif" w:hAnsi="Times New Roman PS Std;serif"/>
          <w:b/>
          <w:i w:val="false"/>
          <w:caps w:val="false"/>
          <w:smallCaps w:val="false"/>
          <w:sz w:val="20"/>
        </w:rPr>
        <w:t>MSA</w:t>
      </w:r>
      <w:r>
        <w:rPr>
          <w:rFonts w:ascii="Times New Roman PS Std;serif" w:hAnsi="Times New Roman PS Std;serif"/>
          <w:b w:val="false"/>
          <w:i w:val="false"/>
          <w:caps w:val="false"/>
          <w:smallCaps w:val="false"/>
          <w:sz w:val="20"/>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three and six months ended December 31, 2022 and 2021.</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Presto Touch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Allocation of the transaction price to the performance obligations in the contract — The Presto Touch and premium content contracts are each comprised of one performance obligation and do not require reallocation of the contract price.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Recognition of revenue when, or as, we satisfy a performance obligation — As the customer simultaneously receives and consumes the benefits provided by us through continuous access to our SaaS platform, revenue from the Presto Touch and the AI Platform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subjective factors including: the valuation of comparable companies, our operating and financial performance, the lack of liquidity of common stock, transactions in our preferred or common stock, and general and industry specific economic outlook, amongst other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estimated the fair values of each option awarded on the date of grant using the Black-Scholes-Merton option pricing model utilizing the assumptions noted below.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Risk-free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interest rate</w:t>
      </w:r>
      <w:r>
        <w:rPr>
          <w:rFonts w:ascii="Times New Roman PS Std;serif" w:hAnsi="Times New Roman PS Std;serif"/>
          <w:b w:val="false"/>
          <w:i w:val="false"/>
          <w:caps w:val="false"/>
          <w:smallCaps w:val="false"/>
          <w:sz w:val="20"/>
        </w:rPr>
        <w:t> — The risk-free interest rate was calculated using the average of the published interest rates of U.S. Treasury zero-coupon issues with maturities that approximate the expected term. The dividend yield assumption is zero as we have no history of, nor plans to distribute, dividend payments.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term</w:t>
      </w:r>
      <w:r>
        <w:rPr>
          <w:rFonts w:ascii="Times New Roman PS Std;serif" w:hAnsi="Times New Roman PS Std;serif"/>
          <w:b w:val="false"/>
          <w:i w:val="false"/>
          <w:caps w:val="false"/>
          <w:smallCaps w:val="false"/>
          <w:sz w:val="20"/>
        </w:rPr>
        <w:t> — The expected term of the options is based on the average period the stock options are expected to remain 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volatility</w:t>
      </w:r>
      <w:r>
        <w:rPr>
          <w:rFonts w:ascii="Times New Roman PS Std;serif" w:hAnsi="Times New Roman PS Std;serif"/>
          <w:b w:val="false"/>
          <w:i w:val="false"/>
          <w:caps w:val="false"/>
          <w:smallCaps w:val="false"/>
          <w:sz w:val="20"/>
        </w:rPr>
        <w:t> — The expected stock price volatility for our stock was determined by examining the historical volatilities of our industry peers as we did not have any trading history of our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dividend yield </w:t>
      </w:r>
      <w:r>
        <w:rPr>
          <w:rFonts w:ascii="Times New Roman PS Std;serif" w:hAnsi="Times New Roman PS Std;serif"/>
          <w:b w:val="false"/>
          <w:i w:val="false"/>
          <w:caps w:val="false"/>
          <w:smallCaps w:val="false"/>
          <w:sz w:val="20"/>
        </w:rPr>
        <w:t>— The dividend yield assumption is zero as we have no history of, nor plans to distribute, dividend payments.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grant options during the three and six months ended December 31,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earnout shares are equity classified since they do not meet the liability classification criteria outlined in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and six months ended December 31, 2022 and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prices in active markets for identical assets as of the reporting date.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Unobservable inputs that are supported by little or no market activity and that are significant to the fair value of the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condensed consolidated statement of operations and comprehensive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73.3% as of the Business Combination date and December 31, 2022, respectively, based on the historical volatility of comparable publicly traded companies.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 in Non-Affiliate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on the condensed consolidated statements of operations and comprehensive income (loss).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sections entitled “</w:t>
      </w:r>
      <w:r>
        <w:rPr>
          <w:rFonts w:ascii="Times New Roman PS Std;serif" w:hAnsi="Times New Roman PS Std;serif"/>
          <w:b w:val="false"/>
          <w:i/>
          <w:caps w:val="false"/>
          <w:smallCaps w:val="false"/>
          <w:sz w:val="20"/>
        </w:rPr>
        <w:t>Recently Adopted Accounting Standards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Recently Issued Accounting Standards Not Yet Adopted</w:t>
      </w:r>
      <w:r>
        <w:rPr>
          <w:rFonts w:ascii="Times New Roman PS Std;serif" w:hAnsi="Times New Roman PS Std;serif"/>
          <w:b w:val="false"/>
          <w:i w:val="false"/>
          <w:caps w:val="false"/>
          <w:smallCaps w:val="false"/>
          <w:sz w:val="20"/>
        </w:rPr>
        <w:t>” in Note 1 to our condensed consolidated financial statements included elsewhere in this prospectus for recently adopted accounting pronouncements and recently issued accounting pronouncements not yet adopted as of the date of this prospectus.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Rate Sensitivity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Credit Risk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revenues during the following periods:</w:t>
      </w:r>
    </w:p>
    <w:tbl>
      <w:tblPr>
        <w:tblW w:w="6183" w:type="dxa"/>
        <w:jc w:val="left"/>
        <w:tblInd w:w="0" w:type="dxa"/>
        <w:tblCellMar>
          <w:top w:w="0" w:type="dxa"/>
          <w:left w:w="0" w:type="dxa"/>
          <w:bottom w:w="0" w:type="dxa"/>
          <w:right w:w="0" w:type="dxa"/>
        </w:tblCellMar>
      </w:tblPr>
      <w:tblGrid>
        <w:gridCol w:w="1531"/>
        <w:gridCol w:w="146"/>
        <w:gridCol w:w="562"/>
        <w:gridCol w:w="464"/>
        <w:gridCol w:w="236"/>
        <w:gridCol w:w="562"/>
        <w:gridCol w:w="469"/>
        <w:gridCol w:w="146"/>
        <w:gridCol w:w="491"/>
        <w:gridCol w:w="406"/>
        <w:gridCol w:w="207"/>
        <w:gridCol w:w="491"/>
        <w:gridCol w:w="472"/>
      </w:tblGrid>
      <w:tr>
        <w:trPr/>
        <w:tc>
          <w:tcPr>
            <w:tcW w:w="15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93"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shd w:fill="auto" w:val="clear"/>
            <w:vAlign w:val="bottom"/>
          </w:tcPr>
          <w:p>
            <w:pPr>
              <w:pStyle w:val="TableContents"/>
              <w:spacing w:before="0" w:after="283"/>
              <w:rPr/>
            </w:pPr>
            <w:r>
              <w:rPr/>
              <w:t> </w:t>
            </w:r>
          </w:p>
        </w:tc>
        <w:tc>
          <w:tcPr>
            <w:tcW w:w="2067"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15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36"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89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07"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46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46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4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6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6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7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6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6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2"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464"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shd w:fill="auto" w:val="clear"/>
            <w:vAlign w:val="bottom"/>
          </w:tcPr>
          <w:p>
            <w:pPr>
              <w:pStyle w:val="TableContents"/>
              <w:spacing w:before="0" w:after="283"/>
              <w:rPr/>
            </w:pPr>
            <w:r>
              <w:rPr/>
              <w:t> </w:t>
            </w:r>
          </w:p>
        </w:tc>
        <w:tc>
          <w:tcPr>
            <w:tcW w:w="562"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6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91"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40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auto" w:val="clear"/>
            <w:vAlign w:val="bottom"/>
          </w:tcPr>
          <w:p>
            <w:pPr>
              <w:pStyle w:val="TableContents"/>
              <w:spacing w:before="0" w:after="283"/>
              <w:rPr/>
            </w:pPr>
            <w:r>
              <w:rPr/>
              <w:t> </w:t>
            </w:r>
          </w:p>
        </w:tc>
        <w:tc>
          <w:tcPr>
            <w:tcW w:w="491"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472"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decrease in revenue is attributable to the customer relationship cancellation with certain franchisees within Customer C.</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accounts receivable as of December 31, 2022 and June 30, 2022:</w:t>
      </w:r>
    </w:p>
    <w:tbl>
      <w:tblPr>
        <w:tblW w:w="4315" w:type="dxa"/>
        <w:jc w:val="left"/>
        <w:tblInd w:w="0" w:type="dxa"/>
        <w:tblCellMar>
          <w:top w:w="0" w:type="dxa"/>
          <w:left w:w="0" w:type="dxa"/>
          <w:bottom w:w="0" w:type="dxa"/>
          <w:right w:w="0" w:type="dxa"/>
        </w:tblCellMar>
      </w:tblPr>
      <w:tblGrid>
        <w:gridCol w:w="1531"/>
        <w:gridCol w:w="146"/>
        <w:gridCol w:w="829"/>
        <w:gridCol w:w="687"/>
        <w:gridCol w:w="146"/>
        <w:gridCol w:w="498"/>
        <w:gridCol w:w="478"/>
      </w:tblGrid>
      <w:tr>
        <w:trPr/>
        <w:tc>
          <w:tcPr>
            <w:tcW w:w="15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2022</w:t>
            </w:r>
          </w:p>
        </w:tc>
        <w:tc>
          <w:tcPr>
            <w:tcW w:w="146"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2022</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6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6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7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6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29"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68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8"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478"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Customers with a dash accounted for less than 10% of accounts receivable at period end.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vendor concentration risk as we supply tablets from one vendor and currently source our hardware and software used in the AI Platform from one vendor. Our operating results could be adversely affected should any of the following occur: the vendor used to supply tablets increases their prices or either vendor incurs disruptions in its supply of goods or services.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Inflation Risk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4" w:name="T12"/>
      <w:bookmarkEnd w:id="14"/>
      <w:r>
        <w:rPr>
          <w:rFonts w:ascii="Times New Roman PS Std;serif" w:hAnsi="Times New Roman PS Std;serif"/>
          <w:b/>
          <w:i w:val="false"/>
          <w:caps/>
          <w:sz w:val="20"/>
        </w:rPr>
        <w:t>MANAGEMENT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and Management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persons serve as Presto’s executive officers and directors. Each director will hold office until his or her term expires at the next annual meeting of stockholders for such director’s class or until his or her death, resignation, removal or the earlier termination of his or her term of office. The ages of the executive officers and directors of Presto indicated in this section are as of April 25, 2023. In addition, Ashish Gupta previously served as Presto’s Chief Financial Officer until March 7, 2023. Mr. Gupta resigned as an employee of the Company effective as of March 7, 2023, and pursuant to an agreement with the Company is continuing to provide services to the Company to ensure a smooth transition as it conducts its search for a new Chief Financial Officer. Pursuant to the agreement, Mr. Gupta is preforming services similar to those provided by a principal financial officer.</w:t>
      </w:r>
    </w:p>
    <w:tbl>
      <w:tblPr>
        <w:tblW w:w="8035" w:type="dxa"/>
        <w:jc w:val="left"/>
        <w:tblInd w:w="0" w:type="dxa"/>
        <w:tblCellMar>
          <w:top w:w="0" w:type="dxa"/>
          <w:left w:w="0" w:type="dxa"/>
          <w:bottom w:w="0" w:type="dxa"/>
          <w:right w:w="0" w:type="dxa"/>
        </w:tblCellMar>
      </w:tblPr>
      <w:tblGrid>
        <w:gridCol w:w="2836"/>
        <w:gridCol w:w="146"/>
        <w:gridCol w:w="496"/>
        <w:gridCol w:w="146"/>
        <w:gridCol w:w="4411"/>
      </w:tblGrid>
      <w:tr>
        <w:trPr/>
        <w:tc>
          <w:tcPr>
            <w:tcW w:w="283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836" w:type="dxa"/>
            <w:tcBorders/>
            <w:shd w:fill="CCEEFF" w:val="clear"/>
          </w:tcPr>
          <w:p>
            <w:pPr>
              <w:pStyle w:val="TableContents"/>
              <w:keepNext w:val="false"/>
              <w:widowControl/>
              <w:pBdr/>
              <w:spacing w:before="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146" w:type="dxa"/>
            <w:tcBorders/>
            <w:shd w:fill="CCEEFF" w:val="clear"/>
          </w:tcPr>
          <w:p>
            <w:pPr>
              <w:pStyle w:val="TableContents"/>
              <w:spacing w:before="0" w:after="283"/>
              <w:rPr/>
            </w:pPr>
            <w:r>
              <w:rPr/>
              <w:t> </w:t>
            </w:r>
          </w:p>
        </w:tc>
        <w:tc>
          <w:tcPr>
            <w:tcW w:w="496"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4411" w:type="dxa"/>
            <w:tcBorders/>
            <w:shd w:fill="CCEEFF" w:val="clear"/>
          </w:tcPr>
          <w:p>
            <w:pPr>
              <w:pStyle w:val="TableContents"/>
              <w:spacing w:before="0" w:after="283"/>
              <w:rPr/>
            </w:pPr>
            <w:r>
              <w:rPr/>
              <w:t> </w:t>
            </w:r>
          </w:p>
        </w:tc>
      </w:tr>
      <w:tr>
        <w:trPr/>
        <w:tc>
          <w:tcPr>
            <w:tcW w:w="283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 Gupta</w:t>
            </w:r>
          </w:p>
        </w:tc>
        <w:tc>
          <w:tcPr>
            <w:tcW w:w="146" w:type="dxa"/>
            <w:tcBorders/>
            <w:shd w:fill="auto" w:val="clear"/>
          </w:tcPr>
          <w:p>
            <w:pPr>
              <w:pStyle w:val="TableContents"/>
              <w:spacing w:before="0" w:after="283"/>
              <w:rPr/>
            </w:pPr>
            <w:r>
              <w:rPr/>
              <w:t> </w:t>
            </w:r>
          </w:p>
        </w:tc>
        <w:tc>
          <w:tcPr>
            <w:tcW w:w="4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auto" w:val="clear"/>
          </w:tcPr>
          <w:p>
            <w:pPr>
              <w:pStyle w:val="TableContents"/>
              <w:spacing w:before="0" w:after="283"/>
              <w:rPr/>
            </w:pPr>
            <w:r>
              <w:rPr/>
              <w:t> </w:t>
            </w:r>
          </w:p>
        </w:tc>
        <w:tc>
          <w:tcPr>
            <w:tcW w:w="44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Chief Executive Officer and Director</w:t>
            </w:r>
          </w:p>
        </w:tc>
      </w:tr>
      <w:tr>
        <w:trPr/>
        <w:tc>
          <w:tcPr>
            <w:tcW w:w="2836"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Mosher</w:t>
            </w:r>
          </w:p>
        </w:tc>
        <w:tc>
          <w:tcPr>
            <w:tcW w:w="146" w:type="dxa"/>
            <w:tcBorders/>
            <w:shd w:fill="CCEEFF" w:val="clear"/>
          </w:tcPr>
          <w:p>
            <w:pPr>
              <w:pStyle w:val="TableContents"/>
              <w:spacing w:before="0" w:after="283"/>
              <w:rPr/>
            </w:pPr>
            <w:r>
              <w:rPr/>
              <w:t> </w:t>
            </w:r>
          </w:p>
        </w:tc>
        <w:tc>
          <w:tcPr>
            <w:tcW w:w="4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spacing w:before="0" w:after="283"/>
              <w:rPr/>
            </w:pPr>
            <w:r>
              <w:rPr/>
              <w:t> </w:t>
            </w:r>
          </w:p>
        </w:tc>
        <w:tc>
          <w:tcPr>
            <w:tcW w:w="4411"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r>
        <w:trPr/>
        <w:tc>
          <w:tcPr>
            <w:tcW w:w="283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(Bill) Healey</w:t>
            </w:r>
          </w:p>
        </w:tc>
        <w:tc>
          <w:tcPr>
            <w:tcW w:w="146" w:type="dxa"/>
            <w:tcBorders/>
            <w:shd w:fill="auto" w:val="clear"/>
          </w:tcPr>
          <w:p>
            <w:pPr>
              <w:pStyle w:val="TableContents"/>
              <w:spacing w:before="0" w:after="283"/>
              <w:rPr/>
            </w:pPr>
            <w:r>
              <w:rPr/>
              <w:t> </w:t>
            </w:r>
          </w:p>
        </w:tc>
        <w:tc>
          <w:tcPr>
            <w:tcW w:w="4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46" w:type="dxa"/>
            <w:tcBorders/>
            <w:shd w:fill="auto" w:val="clear"/>
          </w:tcPr>
          <w:p>
            <w:pPr>
              <w:pStyle w:val="TableContents"/>
              <w:spacing w:before="0" w:after="283"/>
              <w:rPr/>
            </w:pPr>
            <w:r>
              <w:rPr/>
              <w:t> </w:t>
            </w:r>
          </w:p>
        </w:tc>
        <w:tc>
          <w:tcPr>
            <w:tcW w:w="44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836"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Stanley Mbugua</w:t>
            </w:r>
          </w:p>
        </w:tc>
        <w:tc>
          <w:tcPr>
            <w:tcW w:w="146" w:type="dxa"/>
            <w:tcBorders/>
            <w:shd w:fill="CCEEFF" w:val="clear"/>
          </w:tcPr>
          <w:p>
            <w:pPr>
              <w:pStyle w:val="TableContents"/>
              <w:spacing w:before="0" w:after="283"/>
              <w:rPr/>
            </w:pPr>
            <w:r>
              <w:rPr/>
              <w:t> </w:t>
            </w:r>
          </w:p>
        </w:tc>
        <w:tc>
          <w:tcPr>
            <w:tcW w:w="4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spacing w:before="0" w:after="283"/>
              <w:rPr/>
            </w:pPr>
            <w:r>
              <w:rPr/>
              <w:t> </w:t>
            </w:r>
          </w:p>
        </w:tc>
        <w:tc>
          <w:tcPr>
            <w:tcW w:w="4411"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Accounting Officer</w:t>
            </w:r>
          </w:p>
        </w:tc>
      </w:tr>
      <w:tr>
        <w:trPr/>
        <w:tc>
          <w:tcPr>
            <w:tcW w:w="283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Xavier Casanova</w:t>
            </w:r>
          </w:p>
        </w:tc>
        <w:tc>
          <w:tcPr>
            <w:tcW w:w="146" w:type="dxa"/>
            <w:tcBorders/>
            <w:shd w:fill="auto" w:val="clear"/>
          </w:tcPr>
          <w:p>
            <w:pPr>
              <w:pStyle w:val="TableContents"/>
              <w:spacing w:before="0" w:after="283"/>
              <w:rPr/>
            </w:pPr>
            <w:r>
              <w:rPr/>
              <w:t> </w:t>
            </w:r>
          </w:p>
        </w:tc>
        <w:tc>
          <w:tcPr>
            <w:tcW w:w="4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auto" w:val="clear"/>
          </w:tcPr>
          <w:p>
            <w:pPr>
              <w:pStyle w:val="TableContents"/>
              <w:spacing w:before="0" w:after="283"/>
              <w:rPr/>
            </w:pPr>
            <w:r>
              <w:rPr/>
              <w:t> </w:t>
            </w:r>
          </w:p>
        </w:tc>
        <w:tc>
          <w:tcPr>
            <w:tcW w:w="44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836" w:type="dxa"/>
            <w:tcBorders/>
            <w:shd w:fill="CCEEFF" w:val="clear"/>
          </w:tcPr>
          <w:p>
            <w:pPr>
              <w:pStyle w:val="TableContents"/>
              <w:keepNext w:val="false"/>
              <w:widowControl/>
              <w:pBdr/>
              <w:spacing w:before="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Non-Executive Directors:</w:t>
            </w:r>
          </w:p>
        </w:tc>
        <w:tc>
          <w:tcPr>
            <w:tcW w:w="146" w:type="dxa"/>
            <w:tcBorders/>
            <w:shd w:fill="CCEEFF" w:val="clear"/>
          </w:tcPr>
          <w:p>
            <w:pPr>
              <w:pStyle w:val="TableContents"/>
              <w:spacing w:before="0" w:after="283"/>
              <w:rPr/>
            </w:pPr>
            <w:r>
              <w:rPr/>
              <w:t> </w:t>
            </w:r>
          </w:p>
        </w:tc>
        <w:tc>
          <w:tcPr>
            <w:tcW w:w="496"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4411" w:type="dxa"/>
            <w:tcBorders/>
            <w:shd w:fill="CCEEFF" w:val="clear"/>
          </w:tcPr>
          <w:p>
            <w:pPr>
              <w:pStyle w:val="TableContents"/>
              <w:spacing w:before="0" w:after="283"/>
              <w:rPr/>
            </w:pPr>
            <w:r>
              <w:rPr/>
              <w:t> </w:t>
            </w:r>
          </w:p>
        </w:tc>
      </w:tr>
      <w:tr>
        <w:trPr/>
        <w:tc>
          <w:tcPr>
            <w:tcW w:w="283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Ilya Golubovich</w:t>
            </w:r>
          </w:p>
        </w:tc>
        <w:tc>
          <w:tcPr>
            <w:tcW w:w="146" w:type="dxa"/>
            <w:tcBorders/>
            <w:shd w:fill="auto" w:val="clear"/>
          </w:tcPr>
          <w:p>
            <w:pPr>
              <w:pStyle w:val="TableContents"/>
              <w:spacing w:before="0" w:after="283"/>
              <w:rPr/>
            </w:pPr>
            <w:r>
              <w:rPr/>
              <w:t> </w:t>
            </w:r>
          </w:p>
        </w:tc>
        <w:tc>
          <w:tcPr>
            <w:tcW w:w="4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auto" w:val="clear"/>
          </w:tcPr>
          <w:p>
            <w:pPr>
              <w:pStyle w:val="TableContents"/>
              <w:spacing w:before="0" w:after="283"/>
              <w:rPr/>
            </w:pPr>
            <w:r>
              <w:rPr/>
              <w:t> </w:t>
            </w:r>
          </w:p>
        </w:tc>
        <w:tc>
          <w:tcPr>
            <w:tcW w:w="44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36"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Kravcik</w:t>
            </w:r>
          </w:p>
        </w:tc>
        <w:tc>
          <w:tcPr>
            <w:tcW w:w="146" w:type="dxa"/>
            <w:tcBorders/>
            <w:shd w:fill="CCEEFF" w:val="clear"/>
          </w:tcPr>
          <w:p>
            <w:pPr>
              <w:pStyle w:val="TableContents"/>
              <w:spacing w:before="0" w:after="283"/>
              <w:rPr/>
            </w:pPr>
            <w:r>
              <w:rPr/>
              <w:t> </w:t>
            </w:r>
          </w:p>
        </w:tc>
        <w:tc>
          <w:tcPr>
            <w:tcW w:w="4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tcPr>
          <w:p>
            <w:pPr>
              <w:pStyle w:val="TableContents"/>
              <w:spacing w:before="0" w:after="283"/>
              <w:rPr/>
            </w:pPr>
            <w:r>
              <w:rPr/>
              <w:t> </w:t>
            </w:r>
          </w:p>
        </w:tc>
        <w:tc>
          <w:tcPr>
            <w:tcW w:w="4411"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3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Raskin</w:t>
            </w:r>
          </w:p>
        </w:tc>
        <w:tc>
          <w:tcPr>
            <w:tcW w:w="146" w:type="dxa"/>
            <w:tcBorders/>
            <w:shd w:fill="auto" w:val="clear"/>
          </w:tcPr>
          <w:p>
            <w:pPr>
              <w:pStyle w:val="TableContents"/>
              <w:spacing w:before="0" w:after="283"/>
              <w:rPr/>
            </w:pPr>
            <w:r>
              <w:rPr/>
              <w:t> </w:t>
            </w:r>
          </w:p>
        </w:tc>
        <w:tc>
          <w:tcPr>
            <w:tcW w:w="4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auto" w:val="clear"/>
          </w:tcPr>
          <w:p>
            <w:pPr>
              <w:pStyle w:val="TableContents"/>
              <w:spacing w:before="0" w:after="283"/>
              <w:rPr/>
            </w:pPr>
            <w:r>
              <w:rPr/>
              <w:t> </w:t>
            </w:r>
          </w:p>
        </w:tc>
        <w:tc>
          <w:tcPr>
            <w:tcW w:w="44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Chairman of the Board</w:t>
            </w:r>
          </w:p>
        </w:tc>
      </w:tr>
      <w:tr>
        <w:trPr/>
        <w:tc>
          <w:tcPr>
            <w:tcW w:w="2836"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Gail Zauder</w:t>
            </w:r>
          </w:p>
        </w:tc>
        <w:tc>
          <w:tcPr>
            <w:tcW w:w="146" w:type="dxa"/>
            <w:tcBorders/>
            <w:shd w:fill="CCEEFF" w:val="clear"/>
          </w:tcPr>
          <w:p>
            <w:pPr>
              <w:pStyle w:val="TableContents"/>
              <w:spacing w:before="0" w:after="283"/>
              <w:rPr/>
            </w:pPr>
            <w:r>
              <w:rPr/>
              <w:t> </w:t>
            </w:r>
          </w:p>
        </w:tc>
        <w:tc>
          <w:tcPr>
            <w:tcW w:w="4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tcPr>
          <w:p>
            <w:pPr>
              <w:pStyle w:val="TableContents"/>
              <w:spacing w:before="0" w:after="283"/>
              <w:rPr/>
            </w:pPr>
            <w:r>
              <w:rPr/>
              <w:t> </w:t>
            </w:r>
          </w:p>
        </w:tc>
        <w:tc>
          <w:tcPr>
            <w:tcW w:w="4411"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3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w:t>
            </w:r>
          </w:p>
        </w:tc>
        <w:tc>
          <w:tcPr>
            <w:tcW w:w="146" w:type="dxa"/>
            <w:tcBorders/>
            <w:shd w:fill="auto" w:val="clear"/>
          </w:tcPr>
          <w:p>
            <w:pPr>
              <w:pStyle w:val="TableContents"/>
              <w:spacing w:before="0" w:after="283"/>
              <w:rPr/>
            </w:pPr>
            <w:r>
              <w:rPr/>
              <w:t> </w:t>
            </w:r>
          </w:p>
        </w:tc>
        <w:tc>
          <w:tcPr>
            <w:tcW w:w="4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auto" w:val="clear"/>
          </w:tcPr>
          <w:p>
            <w:pPr>
              <w:pStyle w:val="TableContents"/>
              <w:spacing w:before="0" w:after="283"/>
              <w:rPr/>
            </w:pPr>
            <w:r>
              <w:rPr/>
              <w:t> </w:t>
            </w:r>
          </w:p>
        </w:tc>
        <w:tc>
          <w:tcPr>
            <w:tcW w:w="44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biographical summary of the experience of our executive officers and directors: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Krishna K. Gupta</w:t>
      </w:r>
      <w:r>
        <w:rPr>
          <w:rFonts w:ascii="Times New Roman PS Std;serif" w:hAnsi="Times New Roman PS Std;serif"/>
          <w:b w:val="false"/>
          <w:i w:val="false"/>
          <w:caps w:val="false"/>
          <w:smallCaps w:val="false"/>
          <w:sz w:val="20"/>
        </w:rPr>
        <w:t xml:space="preserve"> has served as the Interim Chief Executive Officer of Presto since March 2023, and has served as a member of the Presto Board since September 2022. Prior to being appointed as Interim CEO, Mr. Gupta also served as Non-Executive Chairman of the Board. Mr. Gupta is the founder of REMUS Capital and Romulus Capital (collectively referred to herein as “REMUS Capital”), technology-focused venture capital firms he initially founded in 2008. Mr. Gupta serves as a director on the boards of several privately held companies, including: Allurion Technologies, a weight loss technology platform; Ceres Imaging, which provides computer vision-analytics in agriculture; Cogito, which provides voice AI for large enterprises; Cohealo, Inc., which provides equipment sharing service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Dan Mosher</w:t>
      </w:r>
      <w:r>
        <w:rPr>
          <w:rFonts w:ascii="Times New Roman PS Std;serif" w:hAnsi="Times New Roman PS Std;serif"/>
          <w:b w:val="false"/>
          <w:i w:val="false"/>
          <w:caps w:val="false"/>
          <w:smallCaps w:val="false"/>
          <w:sz w:val="20"/>
        </w:rPr>
        <w:t xml:space="preserve"> has served as the President of Presto since March 2023. He also serves as Chief Revenue Officer of Presto since March 2021. Prior to joining Presto, 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BrightRoll, Inc.’s 2014 acquisition by Yahoo Inc., as Vice President and General Manager, BrightRoll Exchange at Yahoo Inc. Mr. Mosher also currently serves on the board of directors of Czinger Vehicles, Inc., a manufacturer of hybrid sports cars. Mr. Mosher holds a B.S. in finance from University of California, Berkeley — Walter A. Haas School of Business.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William (Bill) Healey </w:t>
      </w:r>
      <w:r>
        <w:rPr>
          <w:rFonts w:ascii="Times New Roman PS Std;serif" w:hAnsi="Times New Roman PS Std;serif"/>
          <w:b w:val="false"/>
          <w:i w:val="false"/>
          <w:caps w:val="false"/>
          <w:smallCaps w:val="false"/>
          <w:sz w:val="20"/>
        </w:rPr>
        <w:t>has served as Chief Technology Officer of Presto since September 2014, having previously 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Stanley Mbugua</w:t>
      </w:r>
      <w:r>
        <w:rPr>
          <w:rFonts w:ascii="Times New Roman PS Std;serif" w:hAnsi="Times New Roman PS Std;serif"/>
          <w:b w:val="false"/>
          <w:i w:val="false"/>
          <w:caps w:val="false"/>
          <w:smallCaps w:val="false"/>
          <w:sz w:val="20"/>
        </w:rPr>
        <w:t xml:space="preserve"> has served as the Chief Accounting Officer of Presto since March 2023. Prior to joining Presto, Mr. Mbugua served as Chief Accounting Officer at Skillz Inc., a mobile eSports platform, a position he held since 2021. Mr. Mbugua served as Group Vice President and Chief Accounting Officer of Rimini Street, a software company delivering third-party enterprise software support for Oracle, SAP, JD Edwards, PeopleSoft, Siebel, and other applications, from 2017 to 2021. From 2015 to 2017, Mr. Mbugua served as Senior Director and Corporate Controller at Lattice Semiconductor, a manufacturer of high-performance programmable logic devices. Mr. Mbugua is a Certified Public Accountant and has a Bachelor’s degree from the University of Nairobi.</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Xavier Casanova</w:t>
      </w:r>
      <w:r>
        <w:rPr>
          <w:rFonts w:ascii="Times New Roman PS Std;serif" w:hAnsi="Times New Roman PS Std;serif"/>
          <w:b w:val="false"/>
          <w:i w:val="false"/>
          <w:caps w:val="false"/>
          <w:smallCaps w:val="false"/>
          <w:sz w:val="20"/>
        </w:rPr>
        <w:t xml:space="preserve"> has served as Chief Operating Officer of Presto since March 2023. He previously served as Chief Product Officer of Presto since July 2022. Prior to joining Presto, Mr. Casanova was Founder and Chief Executive Officer of Liveclicker, a provider of real-time personalization solutions for business to consumer marketers, from January 2008 until the company’s acquisition by the Campaign Monitor (the CM Group) in July 2018. He continued to serve as the General Manager of the Liveclicker business segment until October 2019. Mr. Casanova has founded other technology driven start-up companies, such as Wambo and Everystep. Mr. Casanova holds a B.S. in Math and Computer Science from École Polytechnique and a Master of Science in Electrical Engineering from Stanford University.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Non-Executive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Ilya Golubovich</w:t>
      </w:r>
      <w:r>
        <w:rPr>
          <w:rFonts w:ascii="Times New Roman PS Std;serif" w:hAnsi="Times New Roman PS Std;serif"/>
          <w:b w:val="false"/>
          <w:i w:val="false"/>
          <w:caps w:val="false"/>
          <w:smallCaps w:val="false"/>
          <w:sz w:val="20"/>
        </w:rPr>
        <w:t xml:space="preserve"> has served as a member of the Presto Board since September 2022. Mr. Golubovich has been Founding Partner and Managing Director of I2BF Global Ventures, a venture fund facilitating the advancement of the second wave of digital transformation, headquartered in New York City, since 2007. Mr. Golubovich serves as a director on the boards of OctiTV (SuperMediaFuture Corp.), an augmented reality social networking company, Enki Labs, Inc., a developer of business learning solutions and Buzzoola Group, Inc., a leading native advertising platform in Russia and the Commonwealth of Independent States. His investment portfolio includes companies in vertical SaaS, deep tech, and new media. In 2014, Mr. Golubovich co-founded Aeroxo, a long-range aerial robotics and data gathering company, where he also serves as Chief Strategist. Since 2015, Mr. Golubovich has also served as a member of the Advisory Council of the Physics and Astronomy Department of Johns Hopkins University. Mr. Golubovich holds a B.S. in management science and engineering from Stanford University.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Keith Kravcik </w:t>
      </w:r>
      <w:r>
        <w:rPr>
          <w:rFonts w:ascii="Times New Roman PS Std;serif" w:hAnsi="Times New Roman PS Std;serif"/>
          <w:b w:val="false"/>
          <w:i w:val="false"/>
          <w:caps w:val="false"/>
          <w:smallCaps w:val="false"/>
          <w:sz w:val="20"/>
        </w:rPr>
        <w:t>has served as a member of the Presto Board since September 2022. Mr. Kravcik is currently the Chief Financial Officer and Chief Investment Officer of all of Cleveland Avenue’s various Investment Funds. He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turnaround results and create shareholder value. This effort culminated in him becoming the strategy and financial resource lead during the completion of the $3.3B sale of underperforming retail grocery chains to the Cerberus Capital consortium. Prior to SUPERVALU Inc, Keith spent 16 years at McDonald’s, where he held four progressive executive management positions including being responsible for all of Worldwide Financial Reporting as well as Strategy and Corporate Development when McDonald’s acquired Chipotle. He also became the CFO of Latin America where his strategies reversed losses by increasing sales over 100% in a three-year period, and ultimately the Corporate Vice President and Controller for McDonald’s USA, LLC., in which during his tenure, he developed company operated restaurant ownership and profit optimization plans which significantly improved operating margins and increased operating profits by $198mm in a three-year period. Keith began his career at Ernst &amp; Young where he worked his way up the audit ranks in the Chicago office during his eleven-year tenure. He studied at DePaul University, where he has a Bachelor of Science in Accounting degree and is a Certified Public Accountant. Keith maintains several board positions on businesses within the Cleveland Avenue investment portfolio and advises several founders of entrepreneurial food and technology concepts. He has also served as a Board member of the Illinois CPA Society Technical Accounting Committee as well as having served on the Board of Directors of other not for profit organizations.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Scott Raskin</w:t>
      </w:r>
      <w:r>
        <w:rPr>
          <w:rFonts w:ascii="Times New Roman PS Std;serif" w:hAnsi="Times New Roman PS Std;serif"/>
          <w:b w:val="false"/>
          <w:i w:val="false"/>
          <w:caps w:val="false"/>
          <w:smallCaps w:val="false"/>
          <w:sz w:val="20"/>
        </w:rPr>
        <w:t xml:space="preserve"> has served as a member of the Presto Board since February 2023 and as Non-Executive Chairman since February 2023. Mr. Raskin has served as the Lead Independent Director of Presto since March 2023. Mr. Raskin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Gail Zauder</w:t>
      </w:r>
      <w:r>
        <w:rPr>
          <w:rFonts w:ascii="Times New Roman PS Std;serif" w:hAnsi="Times New Roman PS Std;serif"/>
          <w:b w:val="false"/>
          <w:i w:val="false"/>
          <w:caps w:val="false"/>
          <w:smallCaps w:val="false"/>
          <w:sz w:val="20"/>
        </w:rPr>
        <w:t xml:space="preserve"> has served as a member of the Presto Board since September 2022. Ms. Zauder has over 35 years of experience as an investment banker specializing in M&amp;A and 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 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Kenneth Cole Productions, since December 2017, where she is compensation committee chair, and Siddhi Acquisition Corp., a blank-check company targeting “better-for-you” food and beverage companies which has filed to list on the NYSE, since March 2021, where she serves on the audit and nominating and governance committees. Previously, she was a member of the boards of Altuzarra LLC, a women’s luxury ready-to-wear and accessories company, from September 2013 to February 2021, Edun Apparel Ltd, an ethical apparel brand, from May 2009 to September 2018, and Allurion Technologies, a consumer-facing medical device company disrupting the treatment of obesity, from October 2017 to July 2021, where she served as audit committee chair. She joined the board of Soap &amp; Glory in November 2008 and became Chairman in July 2009, serving in this capacity until November 2014 when the company was acquired by Alliance Boots. She is also currently a director of the Gordon A. Rich Memorial Foundation, 122E82 Owners Corp. and the Smith College Business Advisory Network. Ms. Zauder holds a B.A. in urban environmental studies from Smith College and an M.B.A. from Yale University’s School of Management.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Edward Scheetz</w:t>
      </w:r>
      <w:r>
        <w:rPr>
          <w:rFonts w:ascii="Times New Roman PS Std;serif" w:hAnsi="Times New Roman PS Std;serif"/>
          <w:b w:val="false"/>
          <w:i w:val="false"/>
          <w:caps w:val="false"/>
          <w:smallCaps w:val="false"/>
          <w:sz w:val="20"/>
        </w:rPr>
        <w:t xml:space="preserve"> has served as a member of the Presto Board since September 2022. Mr. Scheetz has been VTAQ’s Chief Executive Officer and Chairman since August 2020. He is also the co-founder, Chief Executive Officer and Chairman of Ventoux Acquisition Holdings LLC (“Ventoux Acquisition”), VTAQ’s co-sponsor.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Companies, and was a Principal at Trammell Crow Ventures. Mr. Scheetz graduated from Princeton University where he earned an A.B. in Economics.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Governance Agreement, described below, REMUS Capital designated Mr. Gupta for appointment and Cleveland Avenue designated Keith Kravcik for appointment to the Presto Board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Family Relationships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family relationships among our directors and executive officers.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Composition of the Board of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business affairs are managed under the direction of the board. The Presto Board currently consists of six members with one vacancy, divided into three classes of staggered three-year terms.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Company entered into a Governance Agreement with Rajat Suri, our former Chief Executive Officer, the REMUS Capital Stockholders,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the Presto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75.0% of the shares of Presto Common Stock they held immediately following the Business Combination, Cleveland Avenue shall be entitled to nominate and require the Presto Board to include one Class I director in the slate of nominees recommended by the Presto Board. Such designees are required to comply with the requirements of the Charter for, and related guidelines of, Presto’s nominating and governance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Governance Agreement, the parties agreed that the initial Presto Board upon the completion of the Business Combination would consist of the following seven individuals: Ilya Golubovich, Krishna K. Gupta, Keith Kravcik, Kim Axel Lopdrup, Rajat Suri, Gail Zauder and Edward Scheetz, with Mr. Gupta serving as the chairman until the earlier of (i) such time as he is no longer a director of Presto and (ii) the next annual meeting of stockholders at which his class of directors is subject to reelection. On February 6, 2023, Mr. Lopdrup resigned from the Presto Board and on February 8, 2023, the Presto Board appointed Scott Raskin. Mr. Raskin serves as a Class III director with a term expiring at Presto’s 2025 annual meeting of stockholders. On March 21, 2023, the Presto Board accepted the resignation of Rajat Suri, Presto’s founder, as Chief Executive Officer and member of the Presto Board.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is divided into three staggered classes of directors. At each annual meeting of its stockholders, a class of directors will be elected for a three-year term to succeed the same class whose term is then expiring, as follows: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I directors, whose terms expire at the annual meeting of stockholders to be held in 2023, are Krishna K. Gupta, Keith Kravcik and Edward Scheetz;</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II director, whose term expires at the annual meeting of stockholders to be held in 2024, is Ilya Golubovich;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III directors, whose terms expire at the annual meeting of stockholders to be held in 2025, are Scott Raskin and Gail Zauder.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Company’s Charter and the Governance Agreement, any change to the size of the Presto Board must be authorized by the affirmative vote of a majority of the entire board.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has determined that each of Ilya Golubovich, Scott Raskin, Gail Zauder, Keith Kravcik and Edward Scheetz qualifies as “independent” as defined under the applicable Nasdaq rules. Because he is serving as our Interim CEO, Mr. Gupta is currently not considered to be independent.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Committees of the Board of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directs the management of its business and affairs, as provided by Delaware law, and conducts its business through meetings of the board of directors and standing committees. Presto has a standing audit committee, compensation committee, nominating and governance committee and strategic finance committee, each of which will operate under a written charter.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from time to time, special committees may be established under the direction of the Presto Board when the board deems it necessary or advisable to address specific issues. Current copies of Presto’s committee charters are posted on its website, </w:t>
      </w:r>
      <w:r>
        <w:rPr>
          <w:rFonts w:ascii="Times New Roman PS Std;serif" w:hAnsi="Times New Roman PS Std;serif"/>
          <w:b w:val="false"/>
          <w:i/>
          <w:caps w:val="false"/>
          <w:smallCaps w:val="false"/>
          <w:sz w:val="20"/>
        </w:rPr>
        <w:t>www.presto.com</w:t>
      </w:r>
      <w:r>
        <w:rPr>
          <w:rFonts w:ascii="Times New Roman PS Std;serif" w:hAnsi="Times New Roman PS Std;serif"/>
          <w:b w:val="false"/>
          <w:i w:val="false"/>
          <w:caps w:val="false"/>
          <w:smallCaps w:val="false"/>
          <w:sz w:val="20"/>
        </w:rPr>
        <w:t>, as required by applicable SEC and Nasdaq rules. The information on or available through any of such website is not deemed incorporated in this prospectus and does not form part of this prospectus.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audit committee consists of Keith Kravcik, Ilya Golubovich, Gail Zauder and Edward Scheetz. Mr. Kravcik serves as the chair of the audit committee. Our board of directors has determined that each of these individuals meets the independence requirements of the Sarbanes-Oxley Act of 2002, as amended, or the Sarbanes-Oxley Act, Rule 10A-3 under the Exchange Act and the applicable listing standards of Nasdaq. Each member of Presto’s audit committee is able to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determined that Ms. Zauder qualifies as an audit committee financial expert within the meaning of SEC regulations and meets the financial sophistication requirements of the Nasdaq rules. In making this determination, the board considered formal education and previous and current experience in financial and accounting roles. Both Presto’s independent registered public accounting firm and management periodically will meet privately with Presto’s audit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committee’s responsibilities include, among other things: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compensating, retaining, evaluating, terminating and overseeing Presto’s independent registered public accounting firm;</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with Presto’s independent registered public accounting firm their independence from management;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Presto’s independent registered public accounting firm the scope and results of their audit;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pre-approving all audit and permissible non-audit services to be performed by Presto’s independent registered public accounting firm;</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financial reporting process and discussing with management and Presto’s independent registered public accounting firm the interim and annual financial statements that Presto’s files with the SEC;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monitoring Presto’s accounting principles, accounting policies, financial and accounting controls and compliance with legal and regulatory requirements;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confidential anonymous submission of concerns regarding questionable accounting, internal controls or auditing matters.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Presto’s compensation committee consists of Edward Scheetz, Scott Raskin and Gail Zauder. Mr. Raskin serves as the chair of the compensation committee. All members are non-employee directors, as defined in Rule 16b-3 promulgated under the Exchange Act. Our board of directors has determined that each member is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independent” as defined under the applicable Nasdaq listing standards, including the standards specific to members of a compensation committee. The compensation committee’s responsibilities include, among other things: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setting or making recommendations to the Presto Board regarding the compensation of Presto’s executive officers;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recommendations to the Presto Board regarding the compensation of Presto’s directors;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making recommendations to the Presto Board regarding Presto’s incentive compensation and equity-based plans and arrangements;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and overseeing any compensation consultants.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Governance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nominating and governance committee currently consists of Ilya Golubovich and Keith Kravcik. Mr. Gupta previously served as a member of the nominating and governance committee, but does not serve as such while he is our Interim CEO. Mr. Golubovich serves as the chair of the nominating and governance committee. Our board of directors has determined that each member is “independent” as defined under the applicable Nasdaq listing standards. The nominating and governance committee’s responsibilities include, among other things: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evaluating and selecting, or making recommendations to the Presto Board regarding, nominees for election to the board and its committees;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the board and of individual directors;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and making recommendations to the board regarding the composition of the board and its committees;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developments in corporate governance practices;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adequacy of the corporate governance practices and reporting;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related person transactions;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making recommendations to the board regarding, corporate governance guidelines and matters.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governance committee consider a number of qualifications relating to management and leadership experience, background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governance committee will not distinguish among nominees recommended by stockholders and other persons.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Finance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strategic finance committee consists of Scott Raskin, Ed Scheetz and Gail Zauder, with Ms. Zauder serving as the chair. The strategic finance committee’s responsibilities include, among other things, reviewing and evaluating analyses and recommendations of management regarding: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capital structure, its financial position, balance sheet and cash flows;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overall cash management and financing requirements including its cash burn analysis, annual budget and long-term financial plan;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credit facilities, compliance with any financial covenants to which it is subject and negotiations with its lenders;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timing, types and terms of any equity and equity-related issuances and public or private debt offerings;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capital allocation, including any organic or inorganic investments that may have a material impact on its capital position;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of the Company’s proposed acquisition and divestitures that may have a material impact on the Company’s capital position or are not in the ordinary course of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Ethics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Presto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Presto’s website, </w:t>
      </w:r>
      <w:r>
        <w:rPr>
          <w:rFonts w:ascii="Times New Roman PS Std;serif" w:hAnsi="Times New Roman PS Std;serif"/>
          <w:b w:val="false"/>
          <w:i/>
          <w:caps w:val="false"/>
          <w:smallCaps w:val="false"/>
          <w:sz w:val="20"/>
        </w:rPr>
        <w:t>www.presto.com</w:t>
      </w:r>
      <w:r>
        <w:rPr>
          <w:rFonts w:ascii="Times New Roman PS Std;serif" w:hAnsi="Times New Roman PS Std;serif"/>
          <w:b w:val="false"/>
          <w:i w:val="false"/>
          <w:caps w:val="false"/>
          <w:smallCaps w:val="false"/>
          <w:sz w:val="20"/>
        </w:rPr>
        <w:t>. The information on or available through any of such website is not deemed incorporated in this prospectus and does not form part of this prospectus. Presto intends to make any legally required disclosures regarding amendments to, or waivers of, provisions of its code of ethics on its website rather than by filing a Current Report on Form 8-K.</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 Interlocks and Insider Participation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Presto’s executive officers currently serves, or has served during the last year, as a member of the board of directors or compensation committee of any entity, other than Presto, that has one or more executive officers serving as a member of the Presto Board.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5" w:name="T11"/>
      <w:bookmarkEnd w:id="15"/>
      <w:r>
        <w:rPr>
          <w:rFonts w:ascii="Times New Roman PS Std;serif" w:hAnsi="Times New Roman PS Std;serif"/>
          <w:b/>
          <w:i w:val="false"/>
          <w:caps/>
          <w:sz w:val="20"/>
        </w:rPr>
        <w:t>EXECUTIVE AND DIRECTOR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named executive officers (or “NEOs”) for the fiscal year ended June 30, 2022, which consist of any individual serving as our principal executive officer during such year and our two other most highly compensated executive officers, other than the principal executive officer, serving as executive officers at the end of such year, were: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Rajat Suri, who served as our Chief Executive Officer until March 21, 2023;</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Ashish Gupta, who served as our Chief Financial Officer until March 31, 2023 and is currently serving as the Company’s principal financial officer through May 15, 2023;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Dan Mosher, our President and Chief Revenue Officer since March 2023 and March 2021, respectively.</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compensation awarded to, earned by and paid to the NEOs for the fiscal years ended June 30, 2022 and 2021.</w:t>
      </w:r>
    </w:p>
    <w:tbl>
      <w:tblPr>
        <w:tblW w:w="10614" w:type="dxa"/>
        <w:jc w:val="left"/>
        <w:tblInd w:w="0" w:type="dxa"/>
        <w:tblCellMar>
          <w:top w:w="0" w:type="dxa"/>
          <w:left w:w="0" w:type="dxa"/>
          <w:bottom w:w="0" w:type="dxa"/>
          <w:right w:w="0" w:type="dxa"/>
        </w:tblCellMar>
      </w:tblPr>
      <w:tblGrid>
        <w:gridCol w:w="3446"/>
        <w:gridCol w:w="146"/>
        <w:gridCol w:w="586"/>
        <w:gridCol w:w="146"/>
        <w:gridCol w:w="886"/>
        <w:gridCol w:w="301"/>
        <w:gridCol w:w="146"/>
        <w:gridCol w:w="766"/>
        <w:gridCol w:w="146"/>
        <w:gridCol w:w="1176"/>
        <w:gridCol w:w="400"/>
        <w:gridCol w:w="146"/>
        <w:gridCol w:w="1066"/>
        <w:gridCol w:w="146"/>
        <w:gridCol w:w="1111"/>
      </w:tblGrid>
      <w:tr>
        <w:trPr/>
        <w:tc>
          <w:tcPr>
            <w:tcW w:w="344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($)(1)</w:t>
            </w:r>
          </w:p>
        </w:tc>
        <w:tc>
          <w:tcPr>
            <w:tcW w:w="146"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($)(2)</w:t>
            </w:r>
          </w:p>
        </w:tc>
        <w:tc>
          <w:tcPr>
            <w:tcW w:w="146" w:type="dxa"/>
            <w:tcBorders/>
            <w:shd w:fill="auto" w:val="clear"/>
            <w:vAlign w:val="bottom"/>
          </w:tcPr>
          <w:p>
            <w:pPr>
              <w:pStyle w:val="TableContents"/>
              <w:spacing w:before="0" w:after="283"/>
              <w:rPr/>
            </w:pPr>
            <w:r>
              <w:rPr/>
              <w:t> </w:t>
            </w:r>
          </w:p>
        </w:tc>
        <w:tc>
          <w:tcPr>
            <w:tcW w:w="15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 xml:space="preserve">Compensation </w:t>
              <w:br/>
              <w:t>($)</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($)(3)</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34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Rajat Suri</w:t>
            </w:r>
          </w:p>
        </w:tc>
        <w:tc>
          <w:tcPr>
            <w:tcW w:w="14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3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r>
      <w:tr>
        <w:trPr/>
        <w:tc>
          <w:tcPr>
            <w:tcW w:w="344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Executive Officer</w:t>
            </w:r>
          </w:p>
        </w:tc>
        <w:tc>
          <w:tcPr>
            <w:tcW w:w="14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217,187</w:t>
            </w:r>
          </w:p>
        </w:tc>
        <w:tc>
          <w:tcPr>
            <w:tcW w:w="3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1,022,753</w:t>
            </w:r>
          </w:p>
        </w:tc>
        <w:tc>
          <w:tcPr>
            <w:tcW w:w="14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1,239,940</w:t>
            </w:r>
          </w:p>
        </w:tc>
      </w:tr>
      <w:tr>
        <w:trPr/>
        <w:tc>
          <w:tcPr>
            <w:tcW w:w="3446" w:type="dxa"/>
            <w:tcBorders/>
            <w:shd w:fill="auto" w:val="clear"/>
            <w:vAlign w:val="bottom"/>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Ashish Gupta</w:t>
            </w:r>
          </w:p>
        </w:tc>
        <w:tc>
          <w:tcPr>
            <w:tcW w:w="14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keepNext w:val="false"/>
              <w:widowControl/>
              <w:pBdr/>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340,167</w:t>
            </w:r>
          </w:p>
        </w:tc>
        <w:tc>
          <w:tcPr>
            <w:tcW w:w="301" w:type="dxa"/>
            <w:tcBorders/>
            <w:shd w:fill="auto"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w:t>
            </w:r>
          </w:p>
        </w:tc>
        <w:tc>
          <w:tcPr>
            <w:tcW w:w="400" w:type="dxa"/>
            <w:tcBorders/>
            <w:shd w:fill="auto"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390,167</w:t>
            </w:r>
          </w:p>
        </w:tc>
      </w:tr>
      <w:tr>
        <w:trPr/>
        <w:tc>
          <w:tcPr>
            <w:tcW w:w="3446" w:type="dxa"/>
            <w:tcBorders/>
            <w:shd w:fill="auto" w:val="clear"/>
            <w:vAlign w:val="bottom"/>
          </w:tcPr>
          <w:p>
            <w:pPr>
              <w:pStyle w:val="TableContents"/>
              <w:keepNext w:val="false"/>
              <w:widowControl/>
              <w:pBdr/>
              <w:spacing w:before="0" w:after="283"/>
              <w:ind w:left="2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Financial Officer and current Principal Financial Officer</w:t>
            </w:r>
          </w:p>
        </w:tc>
        <w:tc>
          <w:tcPr>
            <w:tcW w:w="146" w:type="dxa"/>
            <w:tcBorders/>
            <w:shd w:fill="auto" w:val="clear"/>
            <w:vAlign w:val="bottom"/>
          </w:tcPr>
          <w:p>
            <w:pPr>
              <w:pStyle w:val="TableContents"/>
              <w:spacing w:before="0" w:after="283"/>
              <w:rPr/>
            </w:pPr>
            <w:r>
              <w:rPr/>
              <w:t> </w:t>
            </w:r>
          </w:p>
        </w:tc>
        <w:tc>
          <w:tcPr>
            <w:tcW w:w="586" w:type="dxa"/>
            <w:tcBorders/>
            <w:shd w:fill="auto" w:val="clear"/>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auto" w:val="clear"/>
          </w:tcPr>
          <w:p>
            <w:pPr>
              <w:pStyle w:val="TableContents"/>
              <w:spacing w:before="0" w:after="283"/>
              <w:rPr/>
            </w:pPr>
            <w:r>
              <w:rPr/>
              <w:t> </w:t>
            </w:r>
          </w:p>
        </w:tc>
        <w:tc>
          <w:tcPr>
            <w:tcW w:w="886"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323,409</w:t>
            </w:r>
          </w:p>
        </w:tc>
        <w:tc>
          <w:tcPr>
            <w:tcW w:w="301"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tcPr>
          <w:p>
            <w:pPr>
              <w:pStyle w:val="TableContents"/>
              <w:spacing w:before="0" w:after="283"/>
              <w:rPr/>
            </w:pPr>
            <w:r>
              <w:rPr/>
              <w:t> </w:t>
            </w:r>
          </w:p>
        </w:tc>
        <w:tc>
          <w:tcPr>
            <w:tcW w:w="766"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shd w:fill="auto" w:val="clear"/>
          </w:tcPr>
          <w:p>
            <w:pPr>
              <w:pStyle w:val="TableContents"/>
              <w:spacing w:before="0" w:after="283"/>
              <w:rPr/>
            </w:pPr>
            <w:r>
              <w:rPr/>
              <w:t> </w:t>
            </w:r>
          </w:p>
        </w:tc>
        <w:tc>
          <w:tcPr>
            <w:tcW w:w="1176"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0"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tcPr>
          <w:p>
            <w:pPr>
              <w:pStyle w:val="TableContents"/>
              <w:spacing w:before="0" w:after="283"/>
              <w:rPr/>
            </w:pPr>
            <w:r>
              <w:rPr/>
              <w:t> </w:t>
            </w:r>
          </w:p>
        </w:tc>
        <w:tc>
          <w:tcPr>
            <w:tcW w:w="1066"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171,210</w:t>
            </w:r>
          </w:p>
        </w:tc>
        <w:tc>
          <w:tcPr>
            <w:tcW w:w="146" w:type="dxa"/>
            <w:tcBorders/>
            <w:shd w:fill="auto" w:val="clear"/>
          </w:tcPr>
          <w:p>
            <w:pPr>
              <w:pStyle w:val="TableContents"/>
              <w:spacing w:before="0" w:after="283"/>
              <w:rPr/>
            </w:pPr>
            <w:r>
              <w:rPr/>
              <w:t> </w:t>
            </w:r>
          </w:p>
        </w:tc>
        <w:tc>
          <w:tcPr>
            <w:tcW w:w="111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544,619</w:t>
            </w:r>
          </w:p>
        </w:tc>
      </w:tr>
      <w:tr>
        <w:trPr/>
        <w:tc>
          <w:tcPr>
            <w:tcW w:w="3446" w:type="dxa"/>
            <w:tcBorders/>
            <w:shd w:fill="CCEEFF" w:val="clear"/>
            <w:vAlign w:val="bottom"/>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Mosher</w:t>
            </w:r>
          </w:p>
        </w:tc>
        <w:tc>
          <w:tcPr>
            <w:tcW w:w="14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240,765</w:t>
            </w:r>
          </w:p>
        </w:tc>
        <w:tc>
          <w:tcPr>
            <w:tcW w:w="301" w:type="dxa"/>
            <w:tcBorders/>
            <w:shd w:fill="CCEEFF"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152,044</w:t>
            </w:r>
          </w:p>
        </w:tc>
        <w:tc>
          <w:tcPr>
            <w:tcW w:w="400" w:type="dxa"/>
            <w:tcBorders/>
            <w:shd w:fill="CCEEFF" w:val="clear"/>
            <w:vAlign w:val="bottom"/>
          </w:tcPr>
          <w:p>
            <w:pPr>
              <w:pStyle w:val="TableContents"/>
              <w:keepNext w:val="false"/>
              <w:widowControl/>
              <w:pBdr/>
              <w:spacing w:before="16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392,809</w:t>
            </w:r>
          </w:p>
        </w:tc>
      </w:tr>
      <w:tr>
        <w:trPr/>
        <w:tc>
          <w:tcPr>
            <w:tcW w:w="344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Revenue Officer and President</w:t>
            </w:r>
          </w:p>
        </w:tc>
        <w:tc>
          <w:tcPr>
            <w:tcW w:w="14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67,083</w:t>
            </w:r>
          </w:p>
        </w:tc>
        <w:tc>
          <w:tcPr>
            <w:tcW w:w="30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520,252</w:t>
            </w:r>
          </w:p>
        </w:tc>
        <w:tc>
          <w:tcPr>
            <w:tcW w:w="14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587,335</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amounts paid to Messrs. Suri and Gupta to restore prior salary reductions implemented in 2020 due to COVID.</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an annual bonus, with the amount payable determined by our Chief Executive Officer.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reported here do not reflect the actual economic value realized by each NEO. In accordance with SEC rules, these amounts represent the grant date fair value of stock options, calculated in accordance with Financial Accounting Standards Board Accounting Standards Codification Topic 718, Stock Compensation (“ASC Topic 718”). For additional information, see Note 11. Stock-Based Compensation to the notes accompanying our audited consolidated financial statements located elsewhere in this prospectus. The assumptions used in calculating the grant date fair value of the stock options reported in this table are set forth in the section entitled “Management’s Discussion and Analysis of Financial Condition and Results of Operations of Presto — Critical Accounting Policies and Estimates — Stock Based Compensation.”</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Reflects commission-based annual incentive payments.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Reflects the prorated portion of Mr. Mosher’s $230,000 annual base salary paid from his start date on March 15, 2021 through June 30, 2021.</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Disclosure to Summary Compensation Table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describes the material elements of our compensation program for the fiscal year ended June 30, 2022 as applicable to the NEOs and reflected in the Summary Compensation Table above.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Base Salary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salaries for our executive officers were established primarily based on individual negotiations with the executive officers when they joined us. In determining compensation for our executive officers, we considered salaries provided to executive officers of our peer companies, each executive officer’s anticipated role criticality relative to others at the Company and our determination of the essential need to attract and retain these executive officers.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Annual Incentive Awards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Gupta received an annual cash bonus of $50,000, with the amount payable determined by the Chief Executive Officer, and Mr. Mosher received commission-based annual incentive payments of $152,044.</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Employee Benefits and Perquisites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health, dental, vision, life and disability insurance benefits to our named executive officers, on the same terms and conditions as provided to our other senior executives. We generally do not provide perquisites to our NEOs.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Retirement Benefits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401(k) Plan.    </w:t>
      </w:r>
      <w:r>
        <w:rPr>
          <w:rFonts w:ascii="Times New Roman PS Std;serif" w:hAnsi="Times New Roman PS Std;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Agreements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offer letters with Messrs. Gupta and Mosher in August 2019 and February 2021, respectively, which provided for at-will employment and set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2023, we entered into a Consulting Agreement with Mr. Gupta in connection with his determination to leave the Company at the end of the third quarter 2023 to pursue other opportunities. The Consulting Agreement provides that Mr. Gupta’s employment ends as of March 7, 2023, but that he will remain with the Company on a contract basis as its principal financial officer through May 19, 2023. Pursuant to the Consulting Agreement, Mr. Gupta receives $50,000 for his services and an additional $50,000 upon the filing of the Company’s Quarterly Report on Form 10-Q for the third quarter 2023. Additionally, Mr. Gupta’s outstanding equity awards will continue to vest through the end of the term of the Consulting Agreement and the exercisability of any stock options vested as of such date is extended for three years from the end of the term.</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Long-Term Incentives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2021, Messrs. Suri and Gupta were granted 1,562,019 and 143,770 stock options, respectively, with an exercise price of $1.44 under our 2018 Equity Incentive Plan. Mr. Suri’s award agreement provided that 961,267 of the stock options would vest in monthly installments over four years, subject to continued employment, and 600,752 would be subject to performance-based vesting conditions, with half of such options vesting in connection with the closing of a financing event and half in connection with a public liquidity event. Mr. Gupta’s award agreement provided that his stock options would vest in equal monthly installments over a two year period, subject to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2021, in connection with his hiring, Mr. Mosher was granted 513,358 stock options with an exercise price of $2.23 under our 2018 Plan. The stock options are subject to a four-year vesting schedule, with 25% vesting upon the first anniversary of the vesting commencement date, and the remainder vesting monthly in equal installments, subject to Mr. Mosher’s continued employment. Fifty percent of any unvested stock options will vest in the event Mr. Mosher is terminated without “Cause” within three months following a “Change in Control” (in each case, as defined in his offer letter).</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Payments Upon Termination or Change in Control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our NEOs are not entitled to any payments and benefits upon a termination of employment or a change in control other than certain of Mr. Gupta’s stock options granted in 2019 and 2020 and Mr. Mosher’s options, which would accelerate upon certain terminations in connection with a change in control as described below in the section entitled “— </w:t>
      </w:r>
      <w:r>
        <w:rPr>
          <w:rFonts w:ascii="Times New Roman PS Std;serif" w:hAnsi="Times New Roman PS Std;serif"/>
          <w:b w:val="false"/>
          <w:i/>
          <w:caps w:val="false"/>
          <w:smallCaps w:val="false"/>
          <w:sz w:val="20"/>
        </w:rPr>
        <w:t>Outstanding Equity Awards at Fiscal Year-End</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outstanding equity awards held by the NEOs as of June 30, 2022.</w:t>
      </w:r>
    </w:p>
    <w:tbl>
      <w:tblPr>
        <w:tblW w:w="10205" w:type="dxa"/>
        <w:jc w:val="left"/>
        <w:tblInd w:w="0" w:type="dxa"/>
        <w:tblCellMar>
          <w:top w:w="0" w:type="dxa"/>
          <w:left w:w="0" w:type="dxa"/>
          <w:bottom w:w="0" w:type="dxa"/>
          <w:right w:w="0" w:type="dxa"/>
        </w:tblCellMar>
      </w:tblPr>
      <w:tblGrid>
        <w:gridCol w:w="2389"/>
        <w:gridCol w:w="146"/>
        <w:gridCol w:w="1066"/>
        <w:gridCol w:w="341"/>
        <w:gridCol w:w="146"/>
        <w:gridCol w:w="1053"/>
        <w:gridCol w:w="367"/>
        <w:gridCol w:w="146"/>
        <w:gridCol w:w="1357"/>
        <w:gridCol w:w="461"/>
        <w:gridCol w:w="146"/>
        <w:gridCol w:w="918"/>
        <w:gridCol w:w="146"/>
        <w:gridCol w:w="1523"/>
      </w:tblGrid>
      <w:tr>
        <w:trPr/>
        <w:tc>
          <w:tcPr>
            <w:tcW w:w="2389"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140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w:t>
              <w:br/>
              <w:t xml:space="preserve">(#) </w:t>
              <w:br/>
              <w:t>Exercisable</w:t>
            </w:r>
          </w:p>
        </w:tc>
        <w:tc>
          <w:tcPr>
            <w:tcW w:w="146" w:type="dxa"/>
            <w:tcBorders/>
            <w:shd w:fill="auto" w:val="clear"/>
            <w:vAlign w:val="bottom"/>
          </w:tcPr>
          <w:p>
            <w:pPr>
              <w:pStyle w:val="TableContents"/>
              <w:spacing w:before="0" w:after="283"/>
              <w:rPr/>
            </w:pPr>
            <w:r>
              <w:rPr/>
              <w:t> </w:t>
            </w:r>
          </w:p>
        </w:tc>
        <w:tc>
          <w:tcPr>
            <w:tcW w:w="14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Options</w:t>
              <w:br/>
              <w:t xml:space="preserve">(#) </w:t>
              <w:br/>
              <w:t>Unexercisable</w:t>
            </w:r>
          </w:p>
        </w:tc>
        <w:tc>
          <w:tcPr>
            <w:tcW w:w="146" w:type="dxa"/>
            <w:tcBorders/>
            <w:shd w:fill="auto" w:val="clear"/>
            <w:vAlign w:val="bottom"/>
          </w:tcPr>
          <w:p>
            <w:pPr>
              <w:pStyle w:val="TableContents"/>
              <w:spacing w:before="0" w:after="283"/>
              <w:rPr/>
            </w:pPr>
            <w:r>
              <w:rPr/>
              <w:t> </w:t>
            </w:r>
          </w:p>
        </w:tc>
        <w:tc>
          <w:tcPr>
            <w:tcW w:w="1818"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Equity Incentive </w:t>
              <w:br/>
              <w:t xml:space="preserve">Plan Awards: </w:t>
              <w:br/>
              <w:t xml:space="preserve">Number of </w:t>
              <w:br/>
              <w:t xml:space="preserve">Securities </w:t>
              <w:br/>
              <w:t xml:space="preserve">Underlying </w:t>
              <w:br/>
              <w:t xml:space="preserve">Unexercised </w:t>
              <w:br/>
              <w:t xml:space="preserve">Unearned Options </w:t>
              <w:br/>
              <w:t>(#)</w:t>
            </w:r>
          </w:p>
        </w:tc>
        <w:tc>
          <w:tcPr>
            <w:tcW w:w="146"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w:t>
              <w:br/>
              <w:t xml:space="preserve">Exercise </w:t>
              <w:br/>
              <w:t xml:space="preserve">Price </w:t>
              <w:br/>
              <w:t>($)</w:t>
            </w:r>
          </w:p>
        </w:tc>
        <w:tc>
          <w:tcPr>
            <w:tcW w:w="146" w:type="dxa"/>
            <w:tcBorders/>
            <w:shd w:fill="auto" w:val="clear"/>
            <w:vAlign w:val="bottom"/>
          </w:tcPr>
          <w:p>
            <w:pPr>
              <w:pStyle w:val="TableContents"/>
              <w:spacing w:before="0" w:after="283"/>
              <w:rPr/>
            </w:pPr>
            <w:r>
              <w:rPr/>
              <w:t> </w:t>
            </w:r>
          </w:p>
        </w:tc>
        <w:tc>
          <w:tcPr>
            <w:tcW w:w="152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Expiration </w:t>
              <w:br/>
              <w:t>Date</w:t>
            </w:r>
          </w:p>
        </w:tc>
      </w:tr>
      <w:tr>
        <w:trPr/>
        <w:tc>
          <w:tcPr>
            <w:tcW w:w="238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Rajat Suri</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2,221,689</w:t>
            </w:r>
          </w:p>
        </w:tc>
        <w:tc>
          <w:tcPr>
            <w:tcW w:w="3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4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8/26/2027</w:t>
            </w:r>
          </w:p>
        </w:tc>
      </w:tr>
      <w:tr>
        <w:trPr/>
        <w:tc>
          <w:tcPr>
            <w:tcW w:w="2389"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Executive Officer</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791,292</w:t>
            </w:r>
          </w:p>
        </w:tc>
        <w:tc>
          <w:tcPr>
            <w:tcW w:w="3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4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8/26/2027</w:t>
            </w:r>
          </w:p>
        </w:tc>
      </w:tr>
      <w:tr>
        <w:trPr/>
        <w:tc>
          <w:tcPr>
            <w:tcW w:w="23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723,528</w:t>
            </w:r>
          </w:p>
        </w:tc>
        <w:tc>
          <w:tcPr>
            <w:tcW w:w="3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4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8/26/2027</w:t>
            </w:r>
          </w:p>
        </w:tc>
      </w:tr>
      <w:tr>
        <w:trPr/>
        <w:tc>
          <w:tcPr>
            <w:tcW w:w="23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300,376</w:t>
            </w:r>
          </w:p>
        </w:tc>
        <w:tc>
          <w:tcPr>
            <w:tcW w:w="34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300,376</w:t>
            </w:r>
          </w:p>
        </w:tc>
        <w:tc>
          <w:tcPr>
            <w:tcW w:w="4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3/4/2031</w:t>
            </w:r>
          </w:p>
        </w:tc>
      </w:tr>
      <w:tr>
        <w:trPr/>
        <w:tc>
          <w:tcPr>
            <w:tcW w:w="23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340,448</w:t>
            </w:r>
          </w:p>
        </w:tc>
        <w:tc>
          <w:tcPr>
            <w:tcW w:w="3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620,818</w:t>
            </w:r>
          </w:p>
        </w:tc>
        <w:tc>
          <w:tcPr>
            <w:tcW w:w="36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3/4/2031</w:t>
            </w:r>
          </w:p>
        </w:tc>
      </w:tr>
      <w:tr>
        <w:trPr/>
        <w:tc>
          <w:tcPr>
            <w:tcW w:w="2389" w:type="dxa"/>
            <w:tcBorders/>
            <w:shd w:fill="auto" w:val="clear"/>
            <w:vAlign w:val="bottom"/>
          </w:tcPr>
          <w:p>
            <w:pPr>
              <w:pStyle w:val="TableContents"/>
              <w:keepNext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Ashish Gupta</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313,390</w:t>
            </w:r>
          </w:p>
        </w:tc>
        <w:tc>
          <w:tcPr>
            <w:tcW w:w="341" w:type="dxa"/>
            <w:tcBorders/>
            <w:shd w:fill="auto"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142,696</w:t>
            </w:r>
          </w:p>
        </w:tc>
        <w:tc>
          <w:tcPr>
            <w:tcW w:w="367" w:type="dxa"/>
            <w:tcBorders/>
            <w:shd w:fill="auto" w:val="clear"/>
            <w:vAlign w:val="bottom"/>
          </w:tcPr>
          <w:p>
            <w:pPr>
              <w:pStyle w:val="TableContents"/>
              <w:keepNext w:val="false"/>
              <w:widowControl/>
              <w:pBdr/>
              <w:spacing w:before="16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w:t>
            </w:r>
          </w:p>
        </w:tc>
        <w:tc>
          <w:tcPr>
            <w:tcW w:w="461" w:type="dxa"/>
            <w:tcBorders/>
            <w:shd w:fill="auto"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146" w:type="dxa"/>
            <w:tcBorders/>
            <w:shd w:fill="auto" w:val="clear"/>
            <w:vAlign w:val="bottom"/>
          </w:tcPr>
          <w:p>
            <w:pPr>
              <w:pStyle w:val="TableContents"/>
              <w:spacing w:before="0" w:after="283"/>
              <w:rPr/>
            </w:pPr>
            <w:r>
              <w:rPr/>
              <w:t> </w:t>
            </w:r>
          </w:p>
        </w:tc>
        <w:tc>
          <w:tcPr>
            <w:tcW w:w="1523" w:type="dxa"/>
            <w:tcBorders/>
            <w:shd w:fill="auto"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9/21/2029</w:t>
            </w:r>
          </w:p>
        </w:tc>
      </w:tr>
      <w:tr>
        <w:trPr/>
        <w:tc>
          <w:tcPr>
            <w:tcW w:w="2389"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Financial Officer</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55,982</w:t>
            </w:r>
          </w:p>
        </w:tc>
        <w:tc>
          <w:tcPr>
            <w:tcW w:w="3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71,979</w:t>
            </w:r>
          </w:p>
        </w:tc>
        <w:tc>
          <w:tcPr>
            <w:tcW w:w="36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shd w:fill="auto" w:val="clear"/>
            <w:vAlign w:val="bottom"/>
          </w:tcPr>
          <w:p>
            <w:pPr>
              <w:pStyle w:val="TableContents"/>
              <w:spacing w:before="0" w:after="283"/>
              <w:rPr/>
            </w:pPr>
            <w:r>
              <w:rPr/>
              <w:t> </w:t>
            </w:r>
          </w:p>
        </w:tc>
        <w:tc>
          <w:tcPr>
            <w:tcW w:w="1523"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12/16/2030</w:t>
            </w:r>
          </w:p>
        </w:tc>
      </w:tr>
      <w:tr>
        <w:trPr/>
        <w:tc>
          <w:tcPr>
            <w:tcW w:w="23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101,836</w:t>
            </w:r>
          </w:p>
        </w:tc>
        <w:tc>
          <w:tcPr>
            <w:tcW w:w="3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41,933</w:t>
            </w:r>
          </w:p>
        </w:tc>
        <w:tc>
          <w:tcPr>
            <w:tcW w:w="36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shd w:fill="auto" w:val="clear"/>
            <w:vAlign w:val="bottom"/>
          </w:tcPr>
          <w:p>
            <w:pPr>
              <w:pStyle w:val="TableContents"/>
              <w:spacing w:before="0" w:after="283"/>
              <w:rPr/>
            </w:pPr>
            <w:r>
              <w:rPr/>
              <w:t> </w:t>
            </w:r>
          </w:p>
        </w:tc>
        <w:tc>
          <w:tcPr>
            <w:tcW w:w="1523"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3/4/2031</w:t>
            </w:r>
          </w:p>
        </w:tc>
      </w:tr>
      <w:tr>
        <w:trPr/>
        <w:tc>
          <w:tcPr>
            <w:tcW w:w="2389" w:type="dxa"/>
            <w:tcBorders/>
            <w:shd w:fill="CCEEFF" w:val="clear"/>
            <w:vAlign w:val="bottom"/>
          </w:tcPr>
          <w:p>
            <w:pPr>
              <w:pStyle w:val="TableContents"/>
              <w:keepNext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Mosher</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160,423</w:t>
            </w:r>
          </w:p>
        </w:tc>
        <w:tc>
          <w:tcPr>
            <w:tcW w:w="341" w:type="dxa"/>
            <w:tcBorders/>
            <w:shd w:fill="CCEEFF"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352,934</w:t>
            </w:r>
          </w:p>
        </w:tc>
        <w:tc>
          <w:tcPr>
            <w:tcW w:w="367" w:type="dxa"/>
            <w:tcBorders/>
            <w:shd w:fill="CCEEFF" w:val="clear"/>
            <w:vAlign w:val="bottom"/>
          </w:tcPr>
          <w:p>
            <w:pPr>
              <w:pStyle w:val="TableContents"/>
              <w:keepNext w:val="false"/>
              <w:widowControl/>
              <w:pBdr/>
              <w:spacing w:before="16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spacing w:before="16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keepNext w:val="false"/>
              <w:widowControl/>
              <w:pBdr/>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4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4/25/2031</w:t>
            </w:r>
          </w:p>
        </w:tc>
      </w:tr>
      <w:tr>
        <w:trPr/>
        <w:tc>
          <w:tcPr>
            <w:tcW w:w="2389"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Revenue Officer and President</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spacing w:before="0" w:after="283"/>
              <w:rPr/>
            </w:pPr>
            <w:r>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time-based stock options that vest in equal monthly installments over four years from the vesting commencement date, subject to the NEO’s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time-based stock options that vest over four years, with 25% vesting upon the first anniversary of the vesting commencement date, and the remainder vesting monthly in equal installments, subject to the NEO’s continued employment, and will fully vest in the event of a termination by the Company without “Cause” (as defined in the 2018 Plan) or the NEO resigns for “Good Reason” (as defined in the applicable award agreement) 90 days prior to or 12 months following a change in control (within the meaning of the 2018 Plan).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Reflects time-based stock options that vest in equal monthly installments over two years from the vesting commencement date, subject to the NEO’s continued employment.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Reflects time-based stock options that vest over four-years, with 25% vesting upon the first anniversary of the vesting commencement date, and the remainder vesting monthly in equal installments, subject to the NEO’s continued employment. Fifty percent of any unvested stock options will vest in the event of a termination without “Cause” within three months following a “Change in Control” (in each case, as defined in his offer letter).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Reflects performance based options, with half of such options vesting in connection with the closing of a financing event and half in connection with a public liquidity event, subject to the NEO’s continued employment. Mr. Suri resigned from his roles with the Company on March 21, 2023, half of the performance based options were met and any stock options vested as of such date would remain exercisable for three years.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Plans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2022 Equity Incentive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of the Business Combination, our shareholders approved and we adopted the 2022 Incentive Award Plan (the “2022 Plan”). The material terms of the 2022 Plan are summarized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Compensation Committee of the Presto Board administers the 2022 Plan. The Committee 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Committee shall be final, conclusive and binding upon all persons and entities. The Committee may delegate to one or more officers of Presto or any affiliate the authority to act on behalf of the Committee with respect to any matter, right, obligation or election that is the responsibility of or that is allocated to the Committee in the 2022 Plan and that may be so delegated as a matter of law, except for grants of awards to persons subject to Section 16 of the Exchange Act.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Eligibility.    </w:t>
      </w:r>
      <w:r>
        <w:rPr>
          <w:rFonts w:ascii="Times New Roman PS Std;serif" w:hAnsi="Times New Roman PS Std;serif"/>
          <w:b w:val="false"/>
          <w:i w:val="false"/>
          <w:caps w:val="false"/>
          <w:smallCaps w:val="false"/>
          <w:sz w:val="20"/>
        </w:rPr>
        <w:t>Certain employees, directors, officers, advisors or consultants of Presto or its affiliates are eligible to participate in the 2022 Plan. Approximately 190 employees, consultants, advisors and service providers and all of our directors are eligible to participate in the 2022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Number of Shares Authorized.    </w:t>
      </w:r>
      <w:r>
        <w:rPr>
          <w:rFonts w:ascii="Times New Roman PS Std;serif" w:hAnsi="Times New Roman PS Std;serif"/>
          <w:b w:val="false"/>
          <w:i w:val="false"/>
          <w:caps w:val="false"/>
          <w:smallCaps w:val="false"/>
          <w:sz w:val="20"/>
        </w:rPr>
        <w:t>The 2022 Plan provides for an aggregate of 4,617,400 shares of Presto Common Stock to be delivered, plus any shares representing Optionholder Earnout Shares (as defined in the Merger Agreement) that are forfeited by reason of a termination of service or employment following the effective date, not to exceed an aggregate of 4,500,000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Presto Common Stock as of the immediately preceding December 31, or (ii) a number as may be determined by the Presto Board. Notwithstanding anything to the contrary in the 2022 Plan, no more than 23,087,000 shares of Presto Common Stock may be issued pursuant to the exercise of ISOs under the 2022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Presto Common Stock underlying awards under the 2022 Plan that are forfeited, canceled, expire unexercised or are settled in cash will be available again for new awards under the 2022 Plan. If there is any change in our corporate capitalization, the Committee in its sole discretion may make substitutions or adjustments to the number of shares of Presto Common Stock reserved for issuance under the 2022 Plan, the number of shares of Presto Common Stock covered by awards then outstanding under the 2022 Plan, the limitations on awards under the 2022 Plan, the exercise price of outstanding options and such other equitable substitutions or adjustments as it may determine appropriate.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2022 Plan has a term of 10 years from the date it was approved by stockholders, and no further awards may be granted under the 2022 Plan after that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Awards Available for Grant.    </w:t>
      </w:r>
      <w:r>
        <w:rPr>
          <w:rFonts w:ascii="Times New Roman PS Std;serif" w:hAnsi="Times New Roman PS Std;serif"/>
          <w:b w:val="false"/>
          <w:i w:val="false"/>
          <w:caps w:val="false"/>
          <w:smallCaps w:val="false"/>
          <w:sz w:val="20"/>
        </w:rPr>
        <w:t>The Compensation Committee may grant awards of nonqualified stock options, ISOs, stock appreciation rights (“SARs”), restricted stock, restricted stock units (“RSUs”), other stock-based awards, other cash-based awards, dividend equivalents, and/or performance compensation awards or any combination of the foregoing.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and Stock Appreciation Rights.    </w:t>
      </w:r>
      <w:r>
        <w:rPr>
          <w:rFonts w:ascii="Times New Roman PS Std;serif" w:hAnsi="Times New Roman PS Std;serif"/>
          <w:b w:val="false"/>
          <w:i w:val="false"/>
          <w:caps w:val="false"/>
          <w:smallCaps w:val="false"/>
          <w:sz w:val="20"/>
        </w:rPr>
        <w:t xml:space="preserve">Stock options provide for the purchase of shares of Presto Common Stock in the future at an exercise price set on the grant date. ISOs, in contrast to NSOs, may provide tax deferral beyond exercise and favorable capital gains tax treatment to their holders if certain holding period and other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w:t>
      </w:r>
      <w:r>
        <w:rPr>
          <w:rFonts w:ascii="Times New Roman PS Std;serif" w:hAnsi="Times New Roman PS Std;serif"/>
          <w:b w:val="false"/>
          <w:i w:val="false"/>
          <w:caps w:val="false"/>
          <w:smallCaps w:val="false"/>
          <w:sz w:val="20"/>
        </w:rPr>
        <w:t>Restricted stock is an award of nontransferable shares of Presto Common Stock that are subject to certain vesting conditions and other restrictions.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RSUs.    </w:t>
      </w:r>
      <w:r>
        <w:rPr>
          <w:rFonts w:ascii="Times New Roman PS Std;serif" w:hAnsi="Times New Roman PS Std;serif"/>
          <w:b w:val="false"/>
          <w:i w:val="false"/>
          <w:caps w:val="false"/>
          <w:smallCaps w:val="false"/>
          <w:sz w:val="20"/>
        </w:rPr>
        <w:t>RSUs are contractual promises to deliver shares of Presto Common Stock in the future, which may also remain forfeitable unless and until specified conditions are met and may be accompanied by the right to receive the equivalent value of dividends paid on shares of Common Stock prior to the delivery of the underlying shares (i.e., dividend equivalent rights). The Compensation Committee may provide that the delivery of the shares underlying RSUs will be deferred on a mandatory basis or at the election of the participant. The terms and conditions applicable to RSUs will be determined by the Compensation Committee, subject to the conditions and limitations contained in the 2022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Stock or Cash-Based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Awards.    </w:t>
      </w:r>
      <w:r>
        <w:rPr>
          <w:rFonts w:ascii="Times New Roman PS Std;serif" w:hAnsi="Times New Roman PS Std;serif"/>
          <w:b w:val="false"/>
          <w:i w:val="false"/>
          <w:caps w:val="false"/>
          <w:smallCaps w:val="false"/>
          <w:sz w:val="20"/>
        </w:rPr>
        <w:t>Other stock or cash based awards are awards of cash, fully vested shares of Presto Common Stock and other awards valued wholly or partially by referring to, or otherwise based on, shares of Presto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Equivalents.    </w:t>
      </w:r>
      <w:r>
        <w:rPr>
          <w:rFonts w:ascii="Times New Roman PS Std;serif" w:hAnsi="Times New Roman PS Std;serif"/>
          <w:b w:val="false"/>
          <w:i w:val="false"/>
          <w:caps w:val="false"/>
          <w:smallCaps w:val="false"/>
          <w:sz w:val="20"/>
        </w:rPr>
        <w:t>Dividend equivalents represent the right to receive the equivalent value of dividends paid on shares of Presto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Performance Awards.    </w:t>
      </w:r>
      <w:r>
        <w:rPr>
          <w:rFonts w:ascii="Times New Roman PS Std;serif" w:hAnsi="Times New Roman PS Std;serif"/>
          <w:b w:val="false"/>
          <w:i w:val="false"/>
          <w:caps w:val="false"/>
          <w:smallCaps w:val="false"/>
          <w:sz w:val="20"/>
        </w:rPr>
        <w:t>Performance awards granted pursuant to the 2022 Plan may be in the form of a cash bonus, or an award of performance shares or performance units denominated in shares of Presto Common Stock, that may be settled in cash, property or by issuance of those shares subject to the satisfaction or achievement of specified performance conditions.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Transferability.    </w:t>
      </w:r>
      <w:r>
        <w:rPr>
          <w:rFonts w:ascii="Times New Roman PS Std;serif" w:hAnsi="Times New Roman PS Std;serif"/>
          <w:b w:val="false"/>
          <w:i w:val="false"/>
          <w:caps w:val="false"/>
          <w:smallCaps w:val="false"/>
          <w:sz w:val="20"/>
        </w:rPr>
        <w:t>Each award may be exercised during the participant’s lifetime only by the participant or, if permissible under applicable aw, by the participant’s guardian or legal representative and may not be otherwise assigned, alienated, pledged, attached, sold or otherwise transferred or encumbered by a participant other than by will or by the laws of descent and distribution. The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Repricing.    </w:t>
      </w:r>
      <w:r>
        <w:rPr>
          <w:rFonts w:ascii="Times New Roman PS Std;serif" w:hAnsi="Times New Roman PS Std;serif"/>
          <w:b w:val="false"/>
          <w:i w:val="false"/>
          <w:caps w:val="false"/>
          <w:smallCaps w:val="false"/>
          <w:sz w:val="20"/>
        </w:rPr>
        <w:t>In general, our Board may amend, alter, suspend, discontinue or 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 any stock option or SAR that has an exercise price that is greater than the then-current fair market value of Presto Common Stock in exchange for cash, other awards or stock options or SARs with an exercise price per share that is less than the exercise price per share of the original stock options or SARs.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Adjustments; Corporate Transactions.    </w:t>
      </w:r>
      <w:r>
        <w:rPr>
          <w:rFonts w:ascii="Times New Roman PS Std;serif" w:hAnsi="Times New Roman PS Std;serif"/>
          <w:b w:val="false"/>
          <w:i w:val="false"/>
          <w:caps w:val="false"/>
          <w:smallCaps w:val="false"/>
          <w:sz w:val="20"/>
        </w:rPr>
        <w:t>In the event of certain capitalization events or corporate transactions (as set forth in the 2022 Plan), including the consummation of a merger or consolidation of Presto with another corporation, the Committee may adjust the number of shares of Presto Common Stock or other securities of Presto (or number and kind of other securities or other property) subject to an award, the exercise or strike price of an award, or any applicable performance measure, and may provide for the substitution or assumption of outstanding 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2018 Equity Incentive Plan and 2008 Stock Incentive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2018 Equity Incentive Plan (the “2018 Plan”) was adopted by our Board in November 2018 and our 2008 Stock Incentive Plan (the “2008 Plan”) was adopted by our Board in 2008. The 2008 Plan terminated in connection with the adoption of the 2018 Plan and the 2018 Plan terminated in connection with the adoption of the 2022 Plan, although outstanding awards under each of the plans continue to be governed by the terms of the respective plans. Both plans provided for the grant of qualified and non-qualified stock options, restricted stock, RSUs and stock appreciation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stock options to purchase 6,093,781 shares of Presto Common Stock with a weighted-average exercise price of $1.27 per share, and 1,091,731 RSUs were outstanding under the 2018 Plan and stock options to purchase 4,858,210 shares of Presto Common Stock with a weighted-average exercise price of $0.05 per share were outstanding under the 2008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2018 Plan provides that it is administered by a committee consisting of at least one member of our Board or, if no such members are designated, our Board, and the 2008 Plan provides that it is administered by our Board. The committee, or Board, as applicable, has the authority to construe and interpret the plans and any award agreements; prescribe and modify the plans, or grant any waiver of any conditions of the plans or any award; approve grantees, and determine the form and terms of, awards; interpret the plans (including correcting any defects or inconsistencies); and make all other determinations and findings necessary or advisable for the administration of the plans. The determinations of the committee or the Board, as applicable, are final and binding. The committee or the Board, as applicable generally may delegate its authority to grant an award to officers of the Company or other committees of our Board to the extent permitted by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Company’s common stock is changed by a stock dividend, recapitalization, stock split, reverse stock split, subdivision, combination, reclassification or other change in the capital structure of the Company affecting shares of Presto Common Stock without consideration, then appropriate adjustments will be made to (a) the number and class of shares reserved for issuance under the plans or subject to outstanding awards and (b) the exercise prices, as applicable, and other terms and conditions of outstanding awards.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(referred to as an “acquisition or other combination” in the 2018 Plan and a “reorganization event” in the 2008 Plan), the 2018 Plan provides that an award will be subject to the terms of the applicable transaction agreement, which will provide for one or more of the following: (1) continuation by the Company, (2) assumption or substitution, (3) full or partial vesting, (4) cash-out (including the cancelation for no consideration of any underwater stock option) or (5) cancelation of an unvested or unexercised award for no consideration and the 2008 Plan provides that the Presto Board may take one or more of the following actions with respect to outstanding awards on terms determined by the Presto Board: (1) assumption or substitution, (2) termination if unexercised, (3) accelerate vesting or exercisability, (4) cash-out any in-the-money options or (5) cancelation of an unvested or unexercised award for no consideration.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granted under our 2018 Plan and 2008 Plan generally may not be transferred or assigned in any manner other than by will, by the laws of descent and distribution, unless otherwise permitted by the committee or the Board.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may terminate any outstanding award under the 2018 Plan upon a dissolution or liquidation of the Company, followed by payment of the Company’s creditors and distribution of remaining funds to the Company’s stockholders. Further, the Presto Board may amend or terminate any award under the 2008 Plan without a participant’s consent unless such amendment or termination would adversely impact the rights of the participant and may amend or substitute any award, without stockholder approval, to provide an exercise price that is lower than that provided in the applicable award.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2022, no director received cash, equity or other non-equity compensation for service on Presto’s Board.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each of Kim Lopdrup, who served as a member of the Presto Board until February 2023, and Gail Zauder were granted 60,744 RSUs under the 2018 Plan that vest in monthly increments over a 36 month period beginning October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but prior to the Closing of the Business Combination, in September 2022, the Presto Board, upon receipt of the approval of Presto’s disinterested shareholders, granted Krishna K. Gupta approximately 1.2 million Presto RSUs, which are subject to the same terms as the 2018 Plan (although they were granted outside of the 2018 Plan) and the terms of the award agreement governing such RSUs and are subject to a three year service-based vesting schedule.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2023, Presto adopted a director compensation program that is designed to align compensation with its business objectives and the creation of stockholder value, while enabling Presto to attract, retain, incentivize and reward directors who contribute to the long-term success of Presto. Pursuant to the program, upon joining the Board, each non-employee director will receive an initial grant of RSUs having a value equal to $200,000, which vest quarterly over a three-year period. The program provides for an annual cash retainer of $40,000 per year, paid quarterly, and an annual RSU award with a value of $125,000 that vests in full on the earlier of one year from the date of grant, or the day prior to the next annual meeting of stockholders. Additionally, the program provides for the following additional cash compensation, which will be paid quarterly, for service on Board committees and for the Non-Executive Chair role:</w:t>
      </w:r>
    </w:p>
    <w:tbl>
      <w:tblPr>
        <w:tblW w:w="4094" w:type="dxa"/>
        <w:jc w:val="left"/>
        <w:tblInd w:w="0" w:type="dxa"/>
        <w:tblCellMar>
          <w:top w:w="0" w:type="dxa"/>
          <w:left w:w="0" w:type="dxa"/>
          <w:bottom w:w="0" w:type="dxa"/>
          <w:right w:w="0" w:type="dxa"/>
        </w:tblCellMar>
      </w:tblPr>
      <w:tblGrid>
        <w:gridCol w:w="2911"/>
        <w:gridCol w:w="146"/>
        <w:gridCol w:w="226"/>
        <w:gridCol w:w="811"/>
      </w:tblGrid>
      <w:tr>
        <w:trPr/>
        <w:tc>
          <w:tcPr>
            <w:tcW w:w="2911"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Chair</w:t>
            </w:r>
          </w:p>
        </w:tc>
        <w:tc>
          <w:tcPr>
            <w:tcW w:w="146" w:type="dxa"/>
            <w:tcBorders/>
            <w:shd w:fill="CCEEFF" w:val="clear"/>
          </w:tcPr>
          <w:p>
            <w:pPr>
              <w:pStyle w:val="TableContents"/>
              <w:spacing w:before="0" w:after="283"/>
              <w:rPr/>
            </w:pPr>
            <w:r>
              <w:rPr/>
              <w:t> </w:t>
            </w:r>
          </w:p>
        </w:tc>
        <w:tc>
          <w:tcPr>
            <w:tcW w:w="226" w:type="dxa"/>
            <w:tcBorders/>
            <w:shd w:fill="CCEEFF"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w:t>
            </w:r>
          </w:p>
        </w:tc>
      </w:tr>
      <w:tr>
        <w:trPr/>
        <w:tc>
          <w:tcPr>
            <w:tcW w:w="291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Committee Chairs</w:t>
            </w:r>
          </w:p>
        </w:tc>
        <w:tc>
          <w:tcPr>
            <w:tcW w:w="146" w:type="dxa"/>
            <w:tcBorders/>
            <w:shd w:fill="auto" w:val="clear"/>
          </w:tcPr>
          <w:p>
            <w:pPr>
              <w:pStyle w:val="TableContents"/>
              <w:spacing w:before="0" w:after="283"/>
              <w:rPr/>
            </w:pPr>
            <w:r>
              <w:rPr/>
              <w:t> </w:t>
            </w:r>
          </w:p>
        </w:tc>
        <w:tc>
          <w:tcPr>
            <w:tcW w:w="226"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tcPr>
          <w:p>
            <w:pPr>
              <w:pStyle w:val="TableContents"/>
              <w:spacing w:before="0" w:after="283"/>
              <w:rPr/>
            </w:pPr>
            <w:r>
              <w:rPr/>
              <w:t> </w:t>
            </w:r>
          </w:p>
        </w:tc>
      </w:tr>
      <w:tr>
        <w:trPr/>
        <w:tc>
          <w:tcPr>
            <w:tcW w:w="2911" w:type="dxa"/>
            <w:tcBorders/>
            <w:shd w:fill="CCEEFF"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w:t>
            </w:r>
          </w:p>
        </w:tc>
        <w:tc>
          <w:tcPr>
            <w:tcW w:w="146" w:type="dxa"/>
            <w:tcBorders/>
            <w:shd w:fill="CCEEFF" w:val="clear"/>
          </w:tcPr>
          <w:p>
            <w:pPr>
              <w:pStyle w:val="TableContents"/>
              <w:spacing w:before="0" w:after="283"/>
              <w:rPr/>
            </w:pPr>
            <w:r>
              <w:rPr/>
              <w:t> </w:t>
            </w:r>
          </w:p>
        </w:tc>
        <w:tc>
          <w:tcPr>
            <w:tcW w:w="226" w:type="dxa"/>
            <w:tcBorders/>
            <w:shd w:fill="CCEEFF"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2911" w:type="dxa"/>
            <w:tcBorders/>
            <w:shd w:fill="auto"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Strategic Finance</w:t>
            </w:r>
          </w:p>
        </w:tc>
        <w:tc>
          <w:tcPr>
            <w:tcW w:w="146" w:type="dxa"/>
            <w:tcBorders/>
            <w:shd w:fill="auto" w:val="clear"/>
          </w:tcPr>
          <w:p>
            <w:pPr>
              <w:pStyle w:val="TableContents"/>
              <w:spacing w:before="0" w:after="283"/>
              <w:rPr/>
            </w:pPr>
            <w:r>
              <w:rPr/>
              <w:t> </w:t>
            </w:r>
          </w:p>
        </w:tc>
        <w:tc>
          <w:tcPr>
            <w:tcW w:w="226"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r>
      <w:tr>
        <w:trPr/>
        <w:tc>
          <w:tcPr>
            <w:tcW w:w="2911" w:type="dxa"/>
            <w:tcBorders/>
            <w:shd w:fill="CCEEFF"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w:t>
            </w:r>
          </w:p>
        </w:tc>
        <w:tc>
          <w:tcPr>
            <w:tcW w:w="146" w:type="dxa"/>
            <w:tcBorders/>
            <w:shd w:fill="CCEEFF" w:val="clear"/>
          </w:tcPr>
          <w:p>
            <w:pPr>
              <w:pStyle w:val="TableContents"/>
              <w:spacing w:before="0" w:after="283"/>
              <w:rPr/>
            </w:pPr>
            <w:r>
              <w:rPr/>
              <w:t> </w:t>
            </w:r>
          </w:p>
        </w:tc>
        <w:tc>
          <w:tcPr>
            <w:tcW w:w="226" w:type="dxa"/>
            <w:tcBorders/>
            <w:shd w:fill="CCEEFF"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r>
      <w:tr>
        <w:trPr/>
        <w:tc>
          <w:tcPr>
            <w:tcW w:w="2911" w:type="dxa"/>
            <w:tcBorders/>
            <w:shd w:fill="auto"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Nominating and Governance</w:t>
            </w:r>
          </w:p>
        </w:tc>
        <w:tc>
          <w:tcPr>
            <w:tcW w:w="146" w:type="dxa"/>
            <w:tcBorders/>
            <w:shd w:fill="auto" w:val="clear"/>
          </w:tcPr>
          <w:p>
            <w:pPr>
              <w:pStyle w:val="TableContents"/>
              <w:spacing w:before="0" w:after="283"/>
              <w:rPr/>
            </w:pPr>
            <w:r>
              <w:rPr/>
              <w:t> </w:t>
            </w:r>
          </w:p>
        </w:tc>
        <w:tc>
          <w:tcPr>
            <w:tcW w:w="226"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r>
      <w:tr>
        <w:trPr/>
        <w:tc>
          <w:tcPr>
            <w:tcW w:w="2911"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Committee Membership</w:t>
            </w:r>
          </w:p>
        </w:tc>
        <w:tc>
          <w:tcPr>
            <w:tcW w:w="146" w:type="dxa"/>
            <w:tcBorders/>
            <w:shd w:fill="CCEEFF" w:val="clear"/>
          </w:tcPr>
          <w:p>
            <w:pPr>
              <w:pStyle w:val="TableContents"/>
              <w:spacing w:before="0" w:after="283"/>
              <w:rPr/>
            </w:pPr>
            <w:r>
              <w:rPr/>
              <w:t> </w:t>
            </w:r>
          </w:p>
        </w:tc>
        <w:tc>
          <w:tcPr>
            <w:tcW w:w="226" w:type="dxa"/>
            <w:tcBorders/>
            <w:shd w:fill="CCEEFF" w:val="clear"/>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tcPr>
          <w:p>
            <w:pPr>
              <w:pStyle w:val="TableContents"/>
              <w:spacing w:before="0" w:after="283"/>
              <w:rPr/>
            </w:pPr>
            <w:r>
              <w:rPr/>
              <w:t> </w:t>
            </w:r>
          </w:p>
        </w:tc>
      </w:tr>
      <w:tr>
        <w:trPr/>
        <w:tc>
          <w:tcPr>
            <w:tcW w:w="2911" w:type="dxa"/>
            <w:tcBorders/>
            <w:shd w:fill="auto"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w:t>
            </w:r>
          </w:p>
        </w:tc>
        <w:tc>
          <w:tcPr>
            <w:tcW w:w="146" w:type="dxa"/>
            <w:tcBorders/>
            <w:shd w:fill="auto" w:val="clear"/>
          </w:tcPr>
          <w:p>
            <w:pPr>
              <w:pStyle w:val="TableContents"/>
              <w:spacing w:before="0" w:after="283"/>
              <w:rPr/>
            </w:pPr>
            <w:r>
              <w:rPr/>
              <w:t> </w:t>
            </w:r>
          </w:p>
        </w:tc>
        <w:tc>
          <w:tcPr>
            <w:tcW w:w="226"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911" w:type="dxa"/>
            <w:tcBorders/>
            <w:shd w:fill="CCEEFF"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Strategic Finance</w:t>
            </w:r>
          </w:p>
        </w:tc>
        <w:tc>
          <w:tcPr>
            <w:tcW w:w="146" w:type="dxa"/>
            <w:tcBorders/>
            <w:shd w:fill="CCEEFF" w:val="clear"/>
          </w:tcPr>
          <w:p>
            <w:pPr>
              <w:pStyle w:val="TableContents"/>
              <w:spacing w:before="0" w:after="283"/>
              <w:rPr/>
            </w:pPr>
            <w:r>
              <w:rPr/>
              <w:t> </w:t>
            </w:r>
          </w:p>
        </w:tc>
        <w:tc>
          <w:tcPr>
            <w:tcW w:w="226" w:type="dxa"/>
            <w:tcBorders/>
            <w:shd w:fill="CCEEFF"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r>
      <w:tr>
        <w:trPr/>
        <w:tc>
          <w:tcPr>
            <w:tcW w:w="2911" w:type="dxa"/>
            <w:tcBorders/>
            <w:shd w:fill="auto"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w:t>
            </w:r>
          </w:p>
        </w:tc>
        <w:tc>
          <w:tcPr>
            <w:tcW w:w="146" w:type="dxa"/>
            <w:tcBorders/>
            <w:shd w:fill="auto" w:val="clear"/>
          </w:tcPr>
          <w:p>
            <w:pPr>
              <w:pStyle w:val="TableContents"/>
              <w:spacing w:before="0" w:after="283"/>
              <w:rPr/>
            </w:pPr>
            <w:r>
              <w:rPr/>
              <w:t> </w:t>
            </w:r>
          </w:p>
        </w:tc>
        <w:tc>
          <w:tcPr>
            <w:tcW w:w="226"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w:t>
            </w:r>
          </w:p>
        </w:tc>
      </w:tr>
      <w:tr>
        <w:trPr/>
        <w:tc>
          <w:tcPr>
            <w:tcW w:w="2911" w:type="dxa"/>
            <w:tcBorders/>
            <w:shd w:fill="CCEEFF" w:val="clea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Nominating and Governance</w:t>
            </w:r>
          </w:p>
        </w:tc>
        <w:tc>
          <w:tcPr>
            <w:tcW w:w="146" w:type="dxa"/>
            <w:tcBorders/>
            <w:shd w:fill="CCEEFF" w:val="clear"/>
          </w:tcPr>
          <w:p>
            <w:pPr>
              <w:pStyle w:val="TableContents"/>
              <w:spacing w:before="0" w:after="283"/>
              <w:rPr/>
            </w:pPr>
            <w:r>
              <w:rPr/>
              <w:t> </w:t>
            </w:r>
          </w:p>
        </w:tc>
        <w:tc>
          <w:tcPr>
            <w:tcW w:w="226" w:type="dxa"/>
            <w:tcBorders/>
            <w:shd w:fill="CCEEFF"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of Presto’s Board expects to review director compensation periodically to ensure that director compensation remains competitive such that Presto is able to recruit and retain qualified directors.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6" w:name="T10"/>
      <w:bookmarkEnd w:id="16"/>
      <w:r>
        <w:rPr>
          <w:rFonts w:ascii="Times New Roman PS Std;serif" w:hAnsi="Times New Roman PS Std;serif"/>
          <w:b/>
          <w:i w:val="false"/>
          <w:caps/>
          <w:sz w:val="20"/>
        </w:rPr>
        <w:t>BENEFICIAL OWNERSHIP OF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with respect to the beneficial ownership of our capital stock as of April 25, 2023 by: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the beneficial owner of more than 5% of Presto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an executive officer or director of the Company;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executive officers and directors of the Company, as a group.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In computing the number of shares beneficially owned by a person and the percentage ownership of that person, shares of common stock subject to options or warrants held by that person that are currently exercisable or exercisable within 60 days of April 25, 2023 are deemed outstanding, but are not deemed outstanding for computing the percentage ownership of any other person. The percentage of beneficial ownership is based on 51,365,106 shares of our Common Stock outstanding as of April 25, 2023.</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Company believes that all persons named below have sole voting and investment power with respect to the voting securities indicated in the table below and the corresponding footnotes as being beneficially owned by them.</w:t>
      </w:r>
    </w:p>
    <w:tbl>
      <w:tblPr>
        <w:tblW w:w="10029" w:type="dxa"/>
        <w:jc w:val="left"/>
        <w:tblInd w:w="0" w:type="dxa"/>
        <w:tblCellMar>
          <w:top w:w="0" w:type="dxa"/>
          <w:left w:w="0" w:type="dxa"/>
          <w:bottom w:w="0" w:type="dxa"/>
          <w:right w:w="0" w:type="dxa"/>
        </w:tblCellMar>
      </w:tblPr>
      <w:tblGrid>
        <w:gridCol w:w="6301"/>
        <w:gridCol w:w="146"/>
        <w:gridCol w:w="1756"/>
        <w:gridCol w:w="146"/>
        <w:gridCol w:w="1031"/>
        <w:gridCol w:w="649"/>
      </w:tblGrid>
      <w:tr>
        <w:trPr/>
        <w:tc>
          <w:tcPr>
            <w:tcW w:w="630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Owner(1)</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 Presto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p>
        </w:tc>
        <w:tc>
          <w:tcPr>
            <w:tcW w:w="146" w:type="dxa"/>
            <w:tcBorders/>
            <w:shd w:fill="auto" w:val="clear"/>
            <w:vAlign w:val="bottom"/>
          </w:tcPr>
          <w:p>
            <w:pPr>
              <w:pStyle w:val="TableContents"/>
              <w:spacing w:before="0" w:after="283"/>
              <w:rPr/>
            </w:pPr>
            <w:r>
              <w:rPr/>
              <w:t> </w:t>
            </w:r>
          </w:p>
        </w:tc>
        <w:tc>
          <w:tcPr>
            <w:tcW w:w="168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of Presto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Executive Officers</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 K. Gupta(2)</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14,350,390</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Kravcik</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Gail Zauder</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60,744</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Raskin</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Stanley Mbugua</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Xavier Casanova</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w:t>
            </w:r>
          </w:p>
        </w:tc>
        <w:tc>
          <w:tcPr>
            <w:tcW w:w="649"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Ilya Golubovich(3)</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4,429,505</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(Bill) Healey(4)</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915,262</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649"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Dan Mosher(5) </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299,875</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Scheetz(6)</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615,627</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49"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Rajat Suri(7)</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7,533,232</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Ashish Gupta(8)</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659,829</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649"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(ten individuals)</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21,017,403</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Five Percent Holders:</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r>
      <w:tr>
        <w:trPr/>
        <w:tc>
          <w:tcPr>
            <w:tcW w:w="63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Cleveland Avenue, LLC(9)</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7,000,000</w:t>
            </w:r>
          </w:p>
        </w:tc>
        <w:tc>
          <w:tcPr>
            <w:tcW w:w="14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64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Chardan International Investments, LLC(10)</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2,983,171</w:t>
            </w:r>
          </w:p>
        </w:tc>
        <w:tc>
          <w:tcPr>
            <w:tcW w:w="14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649"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of Presto’s stockholders is c/o Presto Automation Inc., 985 Industrial Road, San Carlos, CA 94070.</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Consists of (i) 1,479,680 shares of Presto Common Stock owned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Gupta exercises joint voting and dispositive control of the Presto Common Stock held by Romulus Special Opportunity; and (vi) 638,076 shares of Presto Common Stock held of record by Zaffran Special Opportunities LLC, for which Mr. Gupta is the sole general partner.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4,394,589 shares of Presto Common Stock held of record by I2BF Global Investments LTD (“I2BF”). Ilya Golubovich is the sole director of I2BF and possesses both voting and dispositive power over the shares. The business address of I2BF is C/O HSM Corporate Services Ltd. 68 Fort Street, PO Box 31726, Grand Cayman KY 1-1297, Cayman Islands.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(i) 40,496 shares of Presto Common Stock and (ii) 874,766 options to purchase shares of Presto Common Stock exercisable within 60 days.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21,598 shares of Presto Common Stock and (ii) 278,277 options to purchase shares of Presto Common Stock exercisable within 60 days.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shares owned by Ventoux Acquisition Holdings LLC, for which Edward Scheetz is a managing member and has voting and/or dispositive powers with respect to such shares.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2,234,703 shares of Presto Common Stock and (ii) 5,298,529 options to purchase shares of Presto Common Stock exercisable within 60 days. Mr. Suri resigned from his roles with the Company on March 21, 2023, and any unvested stock options were accelerated on March 25, 2023 and any stock options vested as of such date would remain exercisable for three years.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659,829 options to purchase shares of Presto Common Stock exercisable within 60 days. The terms of Mr. Gupta’s stock options were amended in connection with the Consulting Agreement entered into in March 2023 to provide for continued vesting through the term of his consulting arrangement and that any stock options vested as of the date of the consulting agreement will remain exercisable for three years.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1,108,171 shares of Presto Common Stock and 1,875,000 private placement warrants held by Chardan International Investments,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21st Floor, New York, NY 10004.</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7" w:name="T9"/>
      <w:bookmarkEnd w:id="17"/>
      <w:r>
        <w:rPr>
          <w:rFonts w:ascii="Times New Roman PS Std;serif" w:hAnsi="Times New Roman PS Std;serif"/>
          <w:b/>
          <w:i w:val="false"/>
          <w:caps/>
          <w:sz w:val="20"/>
        </w:rPr>
        <w:t>SELLING SECURITYHOLDERS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covers the resale by the Selling Securityholders identified below of an aggregate of 400,000 shares of our common stock. When we refer to the “Selling Securityholders” in this prospectus, we mean the persons listed in the table below, as well as their donees, pledges, assignees, transferees, or other successors in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details, as of the date of this prospectus, the name of each Selling Securityholder, the number of shares of our Common Stock beneficially owned by each Selling Securityholder prior to and following the offering. The (i) percentage of shares of our Common Stock beneficially owned by the Selling Securityholders and (ii) the voting power of the Selling Securityholders, in each case, both prior to and following the offering, is based on 51,365,106 shares of our Common Stock outstanding as of April 25, 2023.</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has been prepared on the assumption that all Resale Shares will be sold to parties unaffiliated with the Selling Securityholders.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advise you as to whether the Selling Securityholders will in fact sell any or all of the Resale Shares. In addition, the Selling Securityholders may sell, transfer or otherwise dispose of, at any time and from time to time, shares of the Resale Shares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(including all shares of common stock issuable upon exercise of the Resale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w:t>
      </w:r>
    </w:p>
    <w:tbl>
      <w:tblPr>
        <w:tblW w:w="10205" w:type="dxa"/>
        <w:jc w:val="left"/>
        <w:tblInd w:w="0" w:type="dxa"/>
        <w:tblCellMar>
          <w:top w:w="0" w:type="dxa"/>
          <w:left w:w="0" w:type="dxa"/>
          <w:bottom w:w="0" w:type="dxa"/>
          <w:right w:w="0" w:type="dxa"/>
        </w:tblCellMar>
      </w:tblPr>
      <w:tblGrid>
        <w:gridCol w:w="2763"/>
        <w:gridCol w:w="146"/>
        <w:gridCol w:w="1598"/>
        <w:gridCol w:w="146"/>
        <w:gridCol w:w="583"/>
        <w:gridCol w:w="318"/>
        <w:gridCol w:w="146"/>
        <w:gridCol w:w="1668"/>
        <w:gridCol w:w="146"/>
        <w:gridCol w:w="1598"/>
        <w:gridCol w:w="146"/>
        <w:gridCol w:w="580"/>
        <w:gridCol w:w="367"/>
      </w:tblGrid>
      <w:tr>
        <w:trPr/>
        <w:tc>
          <w:tcPr>
            <w:tcW w:w="2763"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Selling Securityholder</w:t>
            </w:r>
          </w:p>
        </w:tc>
        <w:tc>
          <w:tcPr>
            <w:tcW w:w="146" w:type="dxa"/>
            <w:vMerge w:val="restart"/>
            <w:tcBorders/>
            <w:shd w:fill="auto" w:val="clear"/>
            <w:vAlign w:val="bottom"/>
          </w:tcPr>
          <w:p>
            <w:pPr>
              <w:pStyle w:val="TableContents"/>
              <w:spacing w:before="0" w:after="283"/>
              <w:rPr/>
            </w:pPr>
            <w:r>
              <w:rPr/>
              <w:t> </w:t>
            </w:r>
          </w:p>
        </w:tc>
        <w:tc>
          <w:tcPr>
            <w:tcW w:w="2645"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 Prior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this Offering</w:t>
            </w:r>
          </w:p>
        </w:tc>
        <w:tc>
          <w:tcPr>
            <w:tcW w:w="146" w:type="dxa"/>
            <w:tcBorders/>
            <w:shd w:fill="auto" w:val="clear"/>
            <w:vAlign w:val="bottom"/>
          </w:tcPr>
          <w:p>
            <w:pPr>
              <w:pStyle w:val="TableContents"/>
              <w:spacing w:before="0" w:after="283"/>
              <w:rPr/>
            </w:pPr>
            <w:r>
              <w:rPr/>
              <w:t> </w:t>
            </w:r>
          </w:p>
        </w:tc>
        <w:tc>
          <w:tcPr>
            <w:tcW w:w="1668"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 be Offered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Pursuant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this Prospectus</w:t>
            </w:r>
          </w:p>
        </w:tc>
        <w:tc>
          <w:tcPr>
            <w:tcW w:w="146" w:type="dxa"/>
            <w:vMerge w:val="restart"/>
            <w:tcBorders/>
            <w:shd w:fill="auto" w:val="clear"/>
            <w:vAlign w:val="bottom"/>
          </w:tcPr>
          <w:p>
            <w:pPr>
              <w:pStyle w:val="TableContents"/>
              <w:spacing w:before="0" w:after="283"/>
              <w:rPr/>
            </w:pPr>
            <w:r>
              <w:rPr/>
              <w:t> </w:t>
            </w:r>
          </w:p>
        </w:tc>
        <w:tc>
          <w:tcPr>
            <w:tcW w:w="2691"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 After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this Offering(3)</w:t>
            </w:r>
          </w:p>
        </w:tc>
      </w:tr>
      <w:tr>
        <w:trPr/>
        <w:tc>
          <w:tcPr>
            <w:tcW w:w="2763"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9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shd w:fill="auto" w:val="clear"/>
            <w:vAlign w:val="bottom"/>
          </w:tcPr>
          <w:p>
            <w:pPr>
              <w:pStyle w:val="TableContents"/>
              <w:spacing w:before="0" w:after="283"/>
              <w:rPr/>
            </w:pPr>
            <w:r>
              <w:rPr/>
              <w:t> </w:t>
            </w:r>
          </w:p>
        </w:tc>
        <w:tc>
          <w:tcPr>
            <w:tcW w:w="1668"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9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276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Metropolitan Levered Partners </w:t>
              <w:br/>
              <w:t>Fund VII, LP(1)</w:t>
            </w:r>
          </w:p>
        </w:tc>
        <w:tc>
          <w:tcPr>
            <w:tcW w:w="146" w:type="dxa"/>
            <w:tcBorders/>
            <w:shd w:fill="CCEEFF" w:val="clear"/>
            <w:vAlign w:val="bottom"/>
          </w:tcPr>
          <w:p>
            <w:pPr>
              <w:pStyle w:val="TableContents"/>
              <w:spacing w:before="0" w:after="283"/>
              <w:rPr/>
            </w:pPr>
            <w:r>
              <w:rPr/>
              <w:t> </w:t>
            </w:r>
          </w:p>
        </w:tc>
        <w:tc>
          <w:tcPr>
            <w:tcW w:w="159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852,022</w:t>
            </w:r>
          </w:p>
        </w:tc>
        <w:tc>
          <w:tcPr>
            <w:tcW w:w="146"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178,520</w:t>
            </w:r>
          </w:p>
        </w:tc>
        <w:tc>
          <w:tcPr>
            <w:tcW w:w="146" w:type="dxa"/>
            <w:tcBorders/>
            <w:shd w:fill="CCEEFF" w:val="clear"/>
            <w:vAlign w:val="bottom"/>
          </w:tcPr>
          <w:p>
            <w:pPr>
              <w:pStyle w:val="TableContents"/>
              <w:spacing w:before="0" w:after="283"/>
              <w:rPr/>
            </w:pPr>
            <w:r>
              <w:rPr/>
              <w:t> </w:t>
            </w:r>
          </w:p>
        </w:tc>
        <w:tc>
          <w:tcPr>
            <w:tcW w:w="159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673,502</w:t>
            </w:r>
          </w:p>
        </w:tc>
        <w:tc>
          <w:tcPr>
            <w:tcW w:w="146"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c>
          <w:tcPr>
            <w:tcW w:w="36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6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Metropolitan Partners Fund VII, LP(1)</w:t>
            </w:r>
          </w:p>
        </w:tc>
        <w:tc>
          <w:tcPr>
            <w:tcW w:w="146" w:type="dxa"/>
            <w:tcBorders/>
            <w:shd w:fill="auto" w:val="clear"/>
            <w:vAlign w:val="bottom"/>
          </w:tcPr>
          <w:p>
            <w:pPr>
              <w:pStyle w:val="TableContents"/>
              <w:spacing w:before="0" w:after="283"/>
              <w:rPr/>
            </w:pPr>
            <w:r>
              <w:rPr/>
              <w:t> </w:t>
            </w:r>
          </w:p>
        </w:tc>
        <w:tc>
          <w:tcPr>
            <w:tcW w:w="15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1,074,496</w:t>
            </w:r>
          </w:p>
        </w:tc>
        <w:tc>
          <w:tcPr>
            <w:tcW w:w="146"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31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128,280</w:t>
            </w:r>
          </w:p>
        </w:tc>
        <w:tc>
          <w:tcPr>
            <w:tcW w:w="146" w:type="dxa"/>
            <w:tcBorders/>
            <w:shd w:fill="auto" w:val="clear"/>
            <w:vAlign w:val="bottom"/>
          </w:tcPr>
          <w:p>
            <w:pPr>
              <w:pStyle w:val="TableContents"/>
              <w:spacing w:before="0" w:after="283"/>
              <w:rPr/>
            </w:pPr>
            <w:r>
              <w:rPr/>
              <w:t> </w:t>
            </w:r>
          </w:p>
        </w:tc>
        <w:tc>
          <w:tcPr>
            <w:tcW w:w="15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946,216</w:t>
            </w:r>
          </w:p>
        </w:tc>
        <w:tc>
          <w:tcPr>
            <w:tcW w:w="146"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36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6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Metropolitan Offshore Partners </w:t>
              <w:br/>
              <w:t>Fund VII, LP(1)</w:t>
            </w:r>
          </w:p>
        </w:tc>
        <w:tc>
          <w:tcPr>
            <w:tcW w:w="146" w:type="dxa"/>
            <w:tcBorders/>
            <w:shd w:fill="CCEEFF" w:val="clear"/>
            <w:vAlign w:val="bottom"/>
          </w:tcPr>
          <w:p>
            <w:pPr>
              <w:pStyle w:val="TableContents"/>
              <w:spacing w:before="0" w:after="283"/>
              <w:rPr/>
            </w:pPr>
            <w:r>
              <w:rPr/>
              <w:t> </w:t>
            </w:r>
          </w:p>
        </w:tc>
        <w:tc>
          <w:tcPr>
            <w:tcW w:w="159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264,298</w:t>
            </w:r>
          </w:p>
        </w:tc>
        <w:tc>
          <w:tcPr>
            <w:tcW w:w="146"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0.51</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42,280</w:t>
            </w:r>
          </w:p>
        </w:tc>
        <w:tc>
          <w:tcPr>
            <w:tcW w:w="146" w:type="dxa"/>
            <w:tcBorders/>
            <w:shd w:fill="CCEEFF" w:val="clear"/>
            <w:vAlign w:val="bottom"/>
          </w:tcPr>
          <w:p>
            <w:pPr>
              <w:pStyle w:val="TableContents"/>
              <w:spacing w:before="0" w:after="283"/>
              <w:rPr/>
            </w:pPr>
            <w:r>
              <w:rPr/>
              <w:t> </w:t>
            </w:r>
          </w:p>
        </w:tc>
        <w:tc>
          <w:tcPr>
            <w:tcW w:w="159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222,018</w:t>
            </w:r>
          </w:p>
        </w:tc>
        <w:tc>
          <w:tcPr>
            <w:tcW w:w="146"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0.43</w:t>
            </w:r>
          </w:p>
        </w:tc>
        <w:tc>
          <w:tcPr>
            <w:tcW w:w="36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6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CEOF Holdings LP(2)</w:t>
            </w:r>
          </w:p>
        </w:tc>
        <w:tc>
          <w:tcPr>
            <w:tcW w:w="146" w:type="dxa"/>
            <w:tcBorders/>
            <w:shd w:fill="auto" w:val="clear"/>
            <w:vAlign w:val="bottom"/>
          </w:tcPr>
          <w:p>
            <w:pPr>
              <w:pStyle w:val="TableContents"/>
              <w:spacing w:before="0" w:after="283"/>
              <w:rPr/>
            </w:pPr>
            <w:r>
              <w:rPr/>
              <w:t> </w:t>
            </w:r>
          </w:p>
        </w:tc>
        <w:tc>
          <w:tcPr>
            <w:tcW w:w="15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318,193</w:t>
            </w:r>
          </w:p>
        </w:tc>
        <w:tc>
          <w:tcPr>
            <w:tcW w:w="146"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w:t>
            </w:r>
          </w:p>
        </w:tc>
        <w:tc>
          <w:tcPr>
            <w:tcW w:w="31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50,920</w:t>
            </w:r>
          </w:p>
        </w:tc>
        <w:tc>
          <w:tcPr>
            <w:tcW w:w="146" w:type="dxa"/>
            <w:tcBorders/>
            <w:shd w:fill="auto" w:val="clear"/>
            <w:vAlign w:val="bottom"/>
          </w:tcPr>
          <w:p>
            <w:pPr>
              <w:pStyle w:val="TableContents"/>
              <w:spacing w:before="0" w:after="283"/>
              <w:rPr/>
            </w:pPr>
            <w:r>
              <w:rPr/>
              <w:t> </w:t>
            </w:r>
          </w:p>
        </w:tc>
        <w:tc>
          <w:tcPr>
            <w:tcW w:w="15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267,273</w:t>
            </w:r>
          </w:p>
        </w:tc>
        <w:tc>
          <w:tcPr>
            <w:tcW w:w="146"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0.52</w:t>
            </w:r>
          </w:p>
        </w:tc>
        <w:tc>
          <w:tcPr>
            <w:tcW w:w="36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beneficial ownership of less than 1%.</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18th Floor, New York, New York 10022.</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31st Floor, New York, New York 10022. Mr. Bergstrom disclaims beneficial ownership of shares held by CEOF.</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Assumes the sale of all shares being offered pursuant to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8" w:name="T8"/>
      <w:bookmarkEnd w:id="18"/>
      <w:r>
        <w:rPr>
          <w:rFonts w:ascii="Times New Roman PS Std;serif" w:hAnsi="Times New Roman PS Std;serif"/>
          <w:b/>
          <w:i w:val="false"/>
          <w:caps/>
          <w:sz w:val="20"/>
        </w:rPr>
        <w:t>CERTAIN RELATIONSHIPS AND RELATED PERSON TRANSACTIONS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VTAQ Related Person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2020, VTAQ issued an unsecured promissory note to one of its sponsors, Ventoux Acquisition Holdings LLC. The outstanding balance under the promissory note of $151,812 was repaid in full on December 31, 2020.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at the closing of the IPO, VTAQ’s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VTAQ an aggregate of 675,000 Private Warrants at $1.00 per Private Warrant (for a total purchase price of $675,000). As of December 31, 2020, VTAQ had no loans outstanding, including any loans from its directors or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 Prior to the Closing, VTAQ and Presto intend to take reasonable steps to negotiate with their service providers to reduce their respective transaction expenses to be paid at the consummation of the Business Combination. The results of these negotiations are uncertain since the service providers can discontinue negotiations at any time and require the full amount of their fees payable upon the consummation of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VTAQ entered into an agreement, commencing on December 23, 2020 through VTAQ’s consummation of a Business Combination or its liquidation, to pay Chardan Capital Markets, LLC a total of $10,000 per month for office space, utilities and secretarial support.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29, 2022, Ventoux Acquisition Holdings LLC and Chardan International Investments, LLC, as the Sponsors, loaned $1,150,000 and $575,000 to VTAQ for the purpose of depositing such amounts into the Trust Account in order to extend the deadline for VTAQ to consummate the Business Combination from March 30, 2022 to June 30, 2022, in accordance with VTAQ’s certificate of incorporation and the trust agreement governing the Trust Account. In consideration for such loans, VTAQ issued two unsecured promissory notes (the “Extension Notes”) in the amounts of $1,150,000 and $575,000 to Ventoux Acquisition Holdings LLC and Chardan International Investments, LLC, respectively. On the same day, VTAQ wired the sum of $1,725,000 to Continental, as Trustee of the Trust Account, for the purpose of extending the deadline for VTAQ to consummate the Business Combination from March 30, 2022 to June 30,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March 29, 2022, Ventoux Acquisition Holdings LLC and Chardan International Investments, LLC loaned VTAQ $250,000 and $125,000 for additional working capital purposes. In consideration for such loans, VTAQ issued two unsecured promissory notes (the “Working Capital Notes”) in amounts of $250,000 and $125,000 to Ventoux Acquisition Holdings LLC and Chardan International Investments, LLC,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Extension Notes and Working Capital Notes were approved by VTAQ’s audit committee and VTAQ’s Board of Directors. The Extension Notes and Working Capital Notes do not bear interest and mature and are payable (subject to the waiver against trust provisions) upon on the earlier of (i) the date on which the Business Combination is consummated and (ii) the date of VTAQ’s liquidation.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VTAQ’s officers and directors are entitled to reimbursement for any out-of-pocket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order to finance transaction costs in connection with an intended initial business combination, our Sponsors or an affiliate of our Sponsors or certain of its officers and directors may, but are not obligated to, loan VTAQ funds as may be required on a non-interest basis. Upon completion of the Business Combination, VTAQ repaid such loaned amounts.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Related Party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Policies and Procedures for Related Person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of the Business Combination, the Presto Board adopted a written policy that sets forth the following policies and procedures for the review and approval or ratification of related person transactions (the “Related Person Transaction Policy”).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 Person Transaction” is a financial transaction, arrangement or relationship or any series of similar transactions, arrangement or relationships, in which Presto or any of its subsidiaries was, is or will be a participant, the amount of which involved exceeds $120,000, and in which any related person had, has or will have a direct or indirect material interest, other than an employment relationship or transaction involving an executive officer and any related compensation. A “Related Person” means: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during the applicable period was, one of Presto’s executive officers, a member or a member nominee of the Presto Board;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by Presto to be the beneficial owner of more than 5% of its voting stock at the time of occurrence or existence of the Related Person Transaction;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includes any child, stepchild, parent, stepparent, spouse, sibling, mother-in-law, father-in-law, son-in-law, daughter-in-law, brother-in-law or sister-in-law of a director, officer or a beneficial owner of more than 5% of Presto’s voting stock, and any person (other than a tenant or employee) sharing the household of such director, director nominee, executive officer or beneficial owner of more than 5% of Presto’s voting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transactions described above that Presto has entered into since the adoption of the Related Person Transaction Policy was approved in accordance with such policy; the transactions entered into before the Closing were not subject to the policy.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9" w:name="T9924"/>
      <w:bookmarkEnd w:id="19"/>
      <w:r>
        <w:rPr>
          <w:rFonts w:ascii="Times New Roman PS Std;serif" w:hAnsi="Times New Roman PS Std;serif"/>
          <w:b/>
          <w:i w:val="false"/>
          <w:caps/>
          <w:sz w:val="20"/>
        </w:rPr>
        <w:t xml:space="preserve">MATERIAL UNITED STATES FEDERAL INCOME TAX CONSIDERATIONS FOR </w:t>
        <w:br/>
        <w:t>NON-U.S. 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U.S. federal income tax consequences applicable to non-U.S. holders (as defined below) of the ownership and disposition of our shares of Common Stock, but does not purport to be a complete analysis of all potential tax considerations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financial services entities;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traders in securities that elect to use a mark-to-market method of accounting for their securities holdings;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expatriates or former long-term residents of the United States;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specifically provided below, persons that actually or constructively own five percent or more (by vote or value) of our shares;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our Common Stock pursuant to an exercise of employee share options, in connection with employee share incentive plans or otherwise as compensation;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tax-qualified retirement plans;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qualified foreign pension funds” as defined in Section 897(l)(2) of the Code and entities all of the interests of which are held by qualified foreign pension funds;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or traders subject to a mark-to-market method of accounting with respect to our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Common Stock as part of a “straddle,” constructive sale, hedge, wash sale, conversion or other integrated or similar transaction;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deemed to sell our common stock under the constructive sale provisions of the Code;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special tax accounting rules as a result of any item of gross income with respect to our common stock being taken into account in an applicable financial statement;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 (as defined below) whose functional currency is not the U.S. dollar;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entities or arrangements classified as partnerships or other pass-through entities for U.S. federal income tax purposes) and any beneficial owners of such partnerships;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corporations that accumulate earnings to avoid U.S. federal income tax;</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DISCUSSION IS ONLY A SUMMARY OF CERTAIN U.S. FEDERAL INCOME TAX CONSIDERATIONS ASSOCIATED WITH THE OWNERSHIP AND DISPOSITION OF OUR COMMON STOCK. EACH PROSPECTIVE INVESTOR IN OUR COMMON STOCK IS URGED TO CONSULT ITS OWN TAX ADVISOR WITH RESPECT TO THE PARTICULAR TAX CONSEQUENCES TO SUCH INVESTOR OF THE OWNERSHIP AND DISPOSITION OF OUR COMMON STOCK, INCLUDING THE APPLICABILITY AND EFFECT OF ANY U.S. FEDERAL NON-INCOME, STATE, LOCAL, AND NON-U.S. TAX LAWS</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 of Non-U.S. Holder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herein, the term “Non-U.S. holder” means a beneficial owner of our Common Stock (other than a partnership or entity or arrangement classified as a partnership for U.S. federal income tax purposes) that is not a U.S. person.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person” is any person that, for U.S. federal income tax purposes, is or is treated as any of the following: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citizen or resident of the United States;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 regardless of its source;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Distributions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cash distributions on other property or sale proceeds from warrants or other property subsequently paid or credited to such holder.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distribution in excess of current and accumulated earnings and profits will constitute a return of capital that will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PS Std;serif" w:hAnsi="Times New Roman PS Std;serif"/>
          <w:b w:val="false"/>
          <w:i/>
          <w:caps w:val="false"/>
          <w:smallCaps w:val="false"/>
          <w:sz w:val="20"/>
        </w:rPr>
        <w:t>Gain on Sale, Taxable Exchange or Other Taxable Disposition of Common Stock</w:t>
      </w:r>
      <w:r>
        <w:rPr>
          <w:rFonts w:ascii="Times New Roman PS Std;serif" w:hAnsi="Times New Roman PS Std;serif"/>
          <w:b w:val="false"/>
          <w:i w:val="false"/>
          <w:caps w:val="false"/>
          <w:smallCaps w:val="false"/>
          <w:sz w:val="20"/>
        </w:rPr>
        <w:t>” below. In addition, if we determine that we are likely to be classified as a “United States real property holding corporation” (see “</w:t>
      </w:r>
      <w:r>
        <w:rPr>
          <w:rFonts w:ascii="Times New Roman PS Std;serif" w:hAnsi="Times New Roman PS Std;serif"/>
          <w:b w:val="false"/>
          <w:i/>
          <w:caps w:val="false"/>
          <w:smallCaps w:val="false"/>
          <w:sz w:val="20"/>
        </w:rPr>
        <w:t>Gain on Sale, Taxable Exchange or Other Taxable Disposition of Common Stock</w:t>
      </w:r>
      <w:r>
        <w:rPr>
          <w:rFonts w:ascii="Times New Roman PS Std;serif" w:hAnsi="Times New Roman PS Std;serif"/>
          <w:b w:val="false"/>
          <w:i w:val="false"/>
          <w:caps w:val="false"/>
          <w:smallCaps w:val="false"/>
          <w:sz w:val="20"/>
        </w:rPr>
        <w:t>” below), we generally will withhold 15% of any distribution that exceeds our current and accumulated earnings and profits.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on a net income basis at the same graduated U.S. federal income tax rates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that claims an exemption from withholding or the benefit of an applicable income tax treaty will generally be required to satisfy applicable certification and other requirements prior to the distribution date. Non-U.S. holders that do not timely provide us or our paying agent with the required certification may obtain a refund of any excess amounts withheld by timely filing an appropriate claim for refund with the IRS.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Gain on Sale, Taxable Exchange or Other Taxable Disposition of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an individual present in the United States for 183 days or more in the taxable year of disposition and certain other requirements are met;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warrants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described in the second bullet point above will be subject to U.S. federal income tax at a flat 30% rate (or such lower rate as may be specified by an applicable income tax treaty), but may be offset by U.S. source capital losses realized during the same taxable year. Non-U.S. holders should consult any applicable income tax treaties that may provide for different rules.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third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Reporting and Backup Withholding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Information returns will be filed with the IRS in connection with payments of distributions and the proceeds from a sale or other disposition of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w:t>
      </w:r>
      <w:r>
        <w:rPr>
          <w:rFonts w:ascii="Times New Roman PS Std;serif" w:hAnsi="Times New Roman PS Std;serif"/>
          <w:b w:val="false"/>
          <w:i/>
          <w:caps w:val="false"/>
          <w:smallCaps w:val="false"/>
          <w:sz w:val="20"/>
        </w:rPr>
        <w:t>provided that</w:t>
      </w:r>
      <w:r>
        <w:rPr>
          <w:rFonts w:ascii="Times New Roman PS Std;serif" w:hAnsi="Times New Roman PS Std;serif"/>
          <w:b w:val="false"/>
          <w:i w:val="false"/>
          <w:caps w:val="false"/>
          <w:smallCaps w:val="false"/>
          <w:sz w:val="20"/>
        </w:rPr>
        <w:t xml:space="preserve"> the required information is timely furnished to the IRS. Each Non-U.S. holder is urged to consult its tax advisor regarding the application of the information reporting rules and backup withholding to it.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FATCA Withholding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0" w:name="T7"/>
      <w:bookmarkEnd w:id="20"/>
      <w:r>
        <w:rPr>
          <w:rFonts w:ascii="Times New Roman PS Std;serif" w:hAnsi="Times New Roman PS Std;serif"/>
          <w:b/>
          <w:i w:val="false"/>
          <w:caps/>
          <w:sz w:val="20"/>
        </w:rPr>
        <w:t>DESCRIPTION OF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is a summary and is not complete. You are encouraged to read the applicable provisions of Delaware law, the Charter and the Bylaws in their entirety for a complete description of the rights and preferences of Presto’s securities.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and Outstanding Stock</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authorizes the issuance of shares of Presto capital stock, each with a par value of $0.0001, consisting of (a) 180,000,000 shares of Presto Common Stock and (b) 1,500,000 shares of preferred stock. As of April 25, 2023, Presto had outstanding 51,365,106 shares of Common Stock prior to any exercise of the Resale Warrants. As of April 25, 2023, Presto had 163 holders of record of shares of Common Stock.</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the following with respect to the rights, powers, preferences and privileges of the common stock.</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Power</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or as otherwise provided in any certificate of designation for any series of preferred stock, under the Charter, the holders of Presto Common Stock will possess all voting power for the election of directors and all other matters requiring stockholder action and are entitled to one vote per share on matters to be voted on by stockholders.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and the rights and preferences of any holders of any outstanding series of preferred stock, under the Charter, holders of Presto Common Stock are entitled to the payment of dividends when, as and if declared by the Presto Board in accordance with applicable law.</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Dissolution and Winding Up</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and preferences of any holders of any shares of any outstanding series of preferred stock, in the event of the voluntary or involuntary liquidation, dissolution, or winding-up of Presto, the holders of Presto Common Stock are entitled to receive all the funds and assets of Presto available for distribution to stockholders, ratably in proportion to the number of shares of Presto Common Stock held by them, after the rights of creditors of Presto and the holders of any outstanding shares of preferred stock have been satisfied.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Preemptive or Other Rights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Presto Common Stock do not have preemptive or other subscription rights and there is no sinking fund or redemption provisions applicable to Presto Common Stock.</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Preferred Stock may be issued from time to time in one or more series, each of such series to have such terms as stated or expressed in the Charter and in the resolution or resolutions providing for the creation and issuance of such series adopted by the Presto Board.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Resale Warrants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outstanding an aggregate of 24,875,035 warrants, which entitles the holders to acquire Presto Common Stock.</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entitle Metropolitan Levered Partners Fund VII, LP, Metropolitan Partners Fund VII, LP, Metropolitan Off-shore Partners Fund VII, LP, and CEOF Holdings LP, the registered holders of the Resale Warrants, to purchase 178,520, 128,280, 42,280 and 50,920 shares of Presto Common Stock, respectively, at an exercise price of $0.01, subject to adjustment as described below, at any time commencing on March 31, 2023 (the “Issuance Date”). The warrants will expire on March 31, 2028, the fifth anniversary of the Issuance Date at, 11:59 p.m., Eastern time.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were issued pursuant to Section 4 of that certain Amended and Restated Fee Letter, dated March 31, 2023, among E La Carte, LLC, Presto and Metropolitan, as agent (the “Fee Letter”).</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may be exercised by the registered holders at any time or times on or after the Issuance Date, in whole or in part, by (i) delivery of a written notice of the registered holder’s election to exercise the Resale Warrant and (ii) (A) payment to Presto of an amount equal to the applicable exercise price multiplied by the number of Presto Common Stock as to which the Resale Warrant is being exercised in cash by wire transfer or (B) if applicable, by notifying Presto that the Resale Warrant is being exercised pursuant to a cashless exercise.</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Presto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Resale Shares will be proportionately increased. If Presto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Resale Shares will be proportionately decreased.</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any adjustment to the exercise price, the number of Resale Shares that may be purchased upon exercise of the Resale Warrants will be increased or decreased proportionately, so that after such adjustment the aggregate exercise price payable for the adjusted number of Resale Shares will be the same as the aggregate exercise price in effect immediately prior to such adjustment.</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the exercise price be reduced below the par value of the Presto’s Common Stock, but Presto may at any time during the term of the Resale Warrants, with prior written notice to the holders, reduce the then current exercise price to any amount and for any period of time deemed appropriate by the Presto Board.</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will not effect the exercise of any portion of the Resale Warrants, and the registered holders will not have the right to exercise any portion of the Resale Warrant and any such exercise will be null and void and treated as if never made, to the extent that after giving effect to such exercise, the registered holders together with the other affiliates collectively would beneficially own in excess of 4.99%. Upon delivery of a written notice to Presto, the registered holders may from time to time increase (with such increase not effective until the sixty-first (61st) day after delivery of such notice) or decrease beneficial ownership beyond 4.99% to any other percentage not in excess of 9.99% as specified in such notice; provided that (i) any such increase will not be effective until the sixty-first (61st) day after such notice is delivered to Presto and (ii) any such increase or decrease will apply only to the registered holder and the other affiliates and not to any other holder that is not an affiliate of the holder.</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upon exercise of the Resale Warrants. If, upon exercise of the Resale Warrants, the registered holder would be entitled to receive a fractional interest in a share, Presto will, upon exercise, round down to the nearest whole number the number of shares of Common Stock to be issued to the registered holder.</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are governed by and construed and enforced in accordance with, and all questions concerning the construction, validity, interpretation and performance of the Resale Warrants are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Presto and each holder irrevocably submits to the exclusive jurisdiction of the state and federal courts sitting in The City of New York, Borough of Manhattan irrevocably waives, and agrees not to assert in any suit, action or proceeding, any claim that it is not personally subject to the jurisdiction of any such court.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Provisions</w:t>
      </w:r>
    </w:p>
    <w:p>
      <w:pPr>
        <w:pStyle w:val="TextBody"/>
        <w:keepNext w:val="true"/>
        <w:pageBreakBefore w:val="false"/>
        <w:widowControl/>
        <w:pBdr/>
        <w:spacing w:before="2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Authorized but Unissued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authorizes 181,500,000 shares of capital stock, consisting of 180,000,000 shares of Presto Common Stock and 1,500,000 shares of preferred stock.</w:t>
      </w:r>
    </w:p>
    <w:p>
      <w:pPr>
        <w:pStyle w:val="TextBody"/>
        <w:keepNext w:val="true"/>
        <w:pageBreakBefore w:val="false"/>
        <w:widowControl/>
        <w:pBdr/>
        <w:spacing w:before="2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Exclusive Forum for Certain Lawsuits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Charter provides that, unless Presto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breach of fiduciary duty owed by any current or former director, officer or other employee of Presto to Presto or its stockholders; (iii) any action asserting a claim against Presto, its directors, officers or employees arising under the DGCL, the Charter or the Bylaws or (iv) any action, suit or proceeding asserting a claim against Presto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Meetings of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special meetings of Presto stockholders may be called at any time by the chairperson of the Presto Board, the Chief Executive Officer or the board of directors acting pursuant to a resolution adopted by a majority of the Presto Board, and may not be called by any other person or persons, subject to the rights of holders of any series of preferred stock then outstanding.</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Advance Notice Requirements for Stockholder Proposals and Director Nominations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Presto with certain information. Generally, to be timely, a stockholder’s notice must be received at Presto’s principal executive offices not less than 90 days nor more than 120 days prior to the first anniversary date of the immediately preceding annual meeting of stockholders (for the purposes of the first annual meeting of the stockholders of Presto following the adoption of the Bylaws, the date of the preceding annual meeting will be deemed to be September 14th of the preceding calendar year).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Presto.</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Presto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Action by Written Consent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Presto’s stock entitled to vote thereon were present and voted, unless Presto’s then-effective charter provides otherwise. Subject to applicable law and the rights, if any, of the holders of any outstanding series of preferred stock or any other outstanding class or series of stock of Presto, the Charter does not permit Presto’s holders of the Common Stock to act by consent in writing.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Dissenter’s Rights of Appraisal and Payment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Derivative 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any of Presto’s stockholders may bring an action in Presto’s name to procure a judgment in Presto’s favor, also known as a derivative action, provided that the stockholder bringing the action is a holder of Presto’s shares at the time of the transaction to which the action relates or such stockholder’s stock thereafter devolved by operation of law.</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Conflicts of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will, to the maximum extent permitted from time to time by Delaware law, renounce any interest or expectancy that Presto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Presto (including any non-employee director who serves as one of its officers in both his or her director and officer capacities) or his or her affiliates will have any fiduciary duty to refrain from (i) engaging or possessing interests in a corporate opportunity in the same or similar lines of business in which Presto or its affiliates now engage or propose to engage or (ii) otherwise competing with Presto or its affiliates. The Charter will not renounce Presto’s interest in any business opportunity that is expressly offered to a non-employee director solely in his or her capacity as a director or officer of Presto. To the fullest extent permitted by law, a business opportunity will not be deemed to be a potential corporate opportunity for Presto if Presto is neither financially nor legally able, nor contractually permitted to undertake the opportunity, the opportunity is not in the line of Presto’s business or is of no practical advantage to Presto or it is one in which Presto has no interest or reasonable expectancy.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Bylaws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 Presto believes that these indemnification and advancement provisions and insurance are useful to attract and retain qualified directors and executive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Presto and its stockholders. In addition, your investment may be adversely affected to the extent Presto pays the costs of settlement and damage awards against directors and officer pursuant to these indemnification provisions.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 Registration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Presto, the Sponsors, the PIPE Investors and other holders of Presto capital stock (the “Presto Holders” and together with the Sponsors and PIPE Investors, the “Holders”) entered into the Amended and Restated Registration Rights Agreement in September 2022. Pursuant to the terms of the Amended and Restated Registration Rights Agreement and the Equity Subscription Agreements, within 30 days of the Closing, Presto was required to file a registration statement to register the resale of an aggregate of approximately 45.7 million shares of Presto Common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that was issued to the investors in the PIPE Investment, held by Presto’s directors and officers, and underlying Private Placement Warrants held by the Sponsors and VTAQ’s independent directors, as well as 5,775,000 Private Placement Warrants. Presto filed such registration statement in December 2022, which was declared effective by the SEC in January 2023. The Amended and Restated Registration Rights Agreement also provides the Holders with certain “demand” and “piggy-back” registration rights, subject to certain requirements and customary conditions. See the section entitled “</w:t>
      </w:r>
      <w:r>
        <w:rPr>
          <w:rFonts w:ascii="Times New Roman PS Std;serif" w:hAnsi="Times New Roman PS Std;serif"/>
          <w:b w:val="false"/>
          <w:i/>
          <w:caps w:val="false"/>
          <w:smallCaps w:val="false"/>
          <w:sz w:val="20"/>
        </w:rPr>
        <w:t>Securities Act Restrictions on Resale of Securities —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 for a description of the lock-up agreements.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Metropolitan Registration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Presto and Metropolitan entered into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is required to file a registration statement to register the resale of 400,000 shares of Presto Common Stock issuable upon the exercise of the Resale Warrants held by the Metropolitan Entities, within 30 days of March 31, 2023.</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Warrant Agent and Registrar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for Presto capital stock is Continental. Presto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of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common stock and public warrants are listed on the Nasdaq Stock Market under the symbols “PRST” and “PRSTW,” respectively.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1" w:name="T6"/>
      <w:bookmarkEnd w:id="21"/>
      <w:r>
        <w:rPr>
          <w:rFonts w:ascii="Times New Roman PS Std;serif" w:hAnsi="Times New Roman PS Std;serif"/>
          <w:b/>
          <w:i w:val="false"/>
          <w:caps/>
          <w:sz w:val="20"/>
        </w:rPr>
        <w:t>SECURITIES ACT RESTRICTIONS ON RESALE OF SECURITIES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Resales under Rule 144</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Securities Act, securities may be sold only if the sale is registered under the Securities Act or qualifies for an exemption from registration, including an exemption under Rule 144 under the Securities Act (“Rule 144”).</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144(b)(1) provides a safe harbor pursuant to which certain persons may sell shares of Presto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shares of Presto Common Stock pursuant to Rule 144(b)(1) are as follows: (i) the person selling the shares must not be an affiliate of Presto at the time of the sale, and must not have been an affiliate of Presto during the preceding three months, and (2) either (A) at least one year must have elapsed since the date of acquisition of the restricted securities from Presto or any of its affiliates or (B) if Presto satisfies the current public information requirements set forth in Rule 144, at least six months have elapsed since the date of acquisition of the restricted securities from Presto or any of its affiliates.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144(b)(2) provides a safe harbor pursuant to which persons who are affiliates of Presto may sell shares of its stock, whether restricted securities or not, without registration under the Securities Act if certain conditions are met. In general, the conditions that must be met for a person who is an affiliate of Presto (or has been within three months prior to the date of sale) to sell shares of stock of Presto pursuant to Rule 144(b)(2) are as follows (1) if the shares being sold are restricted securities, at least six months must have elapsed since the date of acquisition of the shares of stock from Presto or any of its affiliates, (2) the seller must comply with volume limitations, manner of sale restrictions and notice requirements and (3) Presto must satisfy the current public information requirements set forth in Rule 144. In order to comply with the volume limitations, a seller may not sell, in any three month period, more than the following number of shares:</w:t>
      </w:r>
    </w:p>
    <w:p>
      <w:pPr>
        <w:pStyle w:val="TextBody"/>
        <w:keepNext w:val="false"/>
        <w:pageBreakBefore w:val="false"/>
        <w:widowControl/>
        <w:pBdr/>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 the shares of Presto Common Stock then outstanding as shown by the most recent report or statement published by Presto;</w:t>
      </w:r>
    </w:p>
    <w:p>
      <w:pPr>
        <w:pStyle w:val="TextBody"/>
        <w:keepNext w:val="false"/>
        <w:pageBreakBefore w:val="false"/>
        <w:widowControl/>
        <w:pBdr/>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volume of trading in Presto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pStyle w:val="TextBody"/>
        <w:keepNext w:val="false"/>
        <w:pageBreakBefore w:val="false"/>
        <w:widowControl/>
        <w:pBdr/>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pStyle w:val="TextBody"/>
        <w:keepNext w:val="true"/>
        <w:pageBreakBefore w:val="false"/>
        <w:widowControl/>
        <w:pBdr/>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the Use of Rule 144 by Shell Companies or Former Shell Companies</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unless the following conditions are met:</w:t>
      </w:r>
    </w:p>
    <w:p>
      <w:pPr>
        <w:pStyle w:val="TextBody"/>
        <w:keepNext w:val="false"/>
        <w:pageBreakBefore w:val="false"/>
        <w:widowControl/>
        <w:pBdr/>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pStyle w:val="TextBody"/>
        <w:keepNext w:val="false"/>
        <w:pageBreakBefore w:val="false"/>
        <w:widowControl/>
        <w:pBdr/>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 type information with the SEC reflecting its status as an entity that is not a shell company.</w:t>
      </w:r>
    </w:p>
    <w:p>
      <w:pPr>
        <w:pStyle w:val="TextBody"/>
        <w:keepNext w:val="false"/>
        <w:pageBreakBefore w:val="false"/>
        <w:widowControl/>
        <w:pBdr/>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Bylaws and Company Support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VTAQ, Presto and certain Presto stockholders (including Rajat Suri, Krishna Gupta, affiliates of Mr. Gupta, and I2BF Global Investments Ltd.) entered into an Amended and Restated Presto Stockholder Support Agreement to subject substantially all shares of Presto Common Stock held by the Presto stockholders to a lockup period that expires 18 months after the Closing of the Business Combination. In addition, the Bylaws apply the same lockup to certain Presto stockholders.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 Support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Sponsors, Presto’s directors and officers and certain affiliates of the Sponsors (together, the “Sponsor Parties”) entered into an Amended and Restated Sponsor Support Agreement (the “Sponsor Support Agreement”) with the Company and Presto, pursuant to which the Sponsor Parties agreed to subject the shares they acquired prior to the VTAQ IPO (the “founder shares”) and any privately placed warrants they acquired prior to the VTAQ IPO to lock-up restrictions. During the period beginning on the Closing Date and ending on the date that is 18 months after the Closing Date of the Business Combination, the Sponsor Parties may not transfer any such shares or private placement warrants, in each case, except for certain limited permitted transfers.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Sponsors also agreed to subject a total of 444,500 of their founders shares to vesting and forfeiture provisions as set forth in the Sponsor Support Agreement (such shares, the “Sponsors’ Contingent Consideration”). Pursuant to the Sponsor Support Agreement, 25% of the Sponsors’ Contingent Consideration shall vest at such time as each of the following Stock Price Levels (as defined below) is achieved on or before September 21, 2027: $12.00, $15.00,$20.00 and $25.00. If the applicable Stock Price Level is not achieved on or prior to September 21, 2027, the applicable Sponsors’ Contingent Consideration shall not vest and shall be automatically forfeited and cancelled for no consideration. A “Stock Price Level” is defined as the volume weighted average price of the Presto Common Stock being equal to or greater than the applicable threshold for any forty trading days within any sixty day period.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Subscription Agreements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Subscription Agreements, the PIPE investors are contractually restricted from selling or transferring the PIPE Shares for a period of 18 months following the Closing (subject to certain exceptions contained therein).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2" w:name="T5"/>
      <w:bookmarkEnd w:id="22"/>
      <w:r>
        <w:rPr>
          <w:rFonts w:ascii="Times New Roman PS Std;serif" w:hAnsi="Times New Roman PS Std;serif"/>
          <w:b/>
          <w:i w:val="false"/>
          <w:caps/>
          <w:sz w:val="20"/>
        </w:rPr>
        <w:t>PLAN OF DISTRIBUTION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Shares covered by this prospectus to permit the Selling Securityholders to conduct public secondary trading of the Resale Shares from time to time after the date of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of the sale of the Resale Shares offered by this prospectus. We expect to receive only nominal proceeds from the exercise of the Resale Warrants, assuming the exercise in full of the Resale Warrants for cash. See the section titled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We will not pay any brokers’ or underwriters’ discounts and commissions in connection with the registration and sale of the Resale Shares covered by this prospectus. The Selling Securityholders reserve the right to accept and, together with their respective agents, to reject, any proposed purchases of Resale Shares to be made directly or through agents.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Shares offered by this prospectus may be sold from time to time to purchasers (1) directly by the Selling Securityholders, or (2) through underwriters, broker-dealers or agents, who may receive compensation in the form of discounts, commissions or agent’s commissions from the Selling Securityholders or the purchasers of the Resale Shares. The Resale Shares may be distributed at a fixed price or prices, which may be changed, market prices prevailing at the time of sale, prices related to the prevailing market prices, or negotiated prices.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underwriters, broker-dealers or agents who participate in the sale or distribution of the Resale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Resale Shares by the Selling Securityholders.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Shares may be sold in one or more transactions at: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fixed prices;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prevailing market prices at the time of sale;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prices related to such prevailing market prices;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varying prices determined at the time of sale;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negotiated prices.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sales may be effected in one or more transactions: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any national securities exchange or quotation service on which the Resale Shares may be listed or quoted at the time of sale, including the Nasdaq;</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over-the-counter market;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otherwise than on such exchanges or services or in the over-the-counter market;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to members, limited partners or stockholders of Selling Securityholders;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by applicable law;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any combination of the foregoing.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transactions may include block transactions or crosses. Crosses are transactions in which the same broker acts as an agent on both sides of the trade.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time a particular offering of the Resale Shares is made, a prospectus supplement, if required, will be distributed, which will set forth the name of the Selling Securityholders, the aggregate amount of Resale Shares being offered and the terms of the offering, including, to the extent required, (1) the name or names of any underwriters, broker-dealers or agents, (2) any discounts, commissions and other terms constituting compensation from the Selling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Securityholders and (3) any discounts, commissions or concessions allowed or reallowed to be paid to broker-dealers. We may suspend the sale of Resale Shares by the Selling Securityholders pursuant to this prospectus for certain periods of time for certain reasons, including if the prospectus is required to be supplemented or amended to include additional material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will act independently of us in making decisions with respect to the timing, manner, and size of each resale or other transfer. There can be no assurance that the Selling Securityholders will sell any or all of the Resale Shares under this prospectus. Further, we cannot assure you that the Selling Securityholders will not transfer, distribute, devise or gift the Resale Shares by other means not described in this prospectus. In addition, any Resale Shares covered by this prospectus that qualify for sale under Rule 144 of the Securities Act may be sold under Rule 144 rather than under this prospectus. The Resale Shares may be sold in some states only through registered or licensed brokers or dealers. In addition, in some states the Resale Shares may not be sold unless they have been registered or qualified for sale or an exemption from registration or qualification is available and complied with.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other person participating in the sale of the Resale Shares will be subject to the Exchange Act. The Exchange Act rules include, without limitation, Regulation M, which may limit the timing of purchases and sales of any of the Resale Shares by the Selling Securityholders and any other person. In addition, Regulation M may restrict the ability of any person engaged in the distribution of the Resale Shares to engage in market-making activities with respect to the particular Resale Shares being distributed. This may affect the marketability of the Resale Shares and the ability of any person or entity to engage in market-making activities with respect to the Resale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regarding expenses of registration, see the section titled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3" w:name="T4"/>
      <w:bookmarkEnd w:id="23"/>
      <w:r>
        <w:rPr>
          <w:rFonts w:ascii="Times New Roman PS Std;serif" w:hAnsi="Times New Roman PS Std;serif"/>
          <w:b/>
          <w:i w:val="false"/>
          <w:caps/>
          <w:sz w:val="20"/>
        </w:rPr>
        <w:t>LEGAL MATTERS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White &amp; Case LLP, New York, New York has passed upon the validity of the common stock offered by this prospectus and certain other legal matters related to this prospectus.</w:t>
      </w:r>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4" w:name="T2"/>
      <w:bookmarkEnd w:id="24"/>
      <w:r>
        <w:rPr>
          <w:rFonts w:ascii="Times New Roman PS Std;serif" w:hAnsi="Times New Roman PS Std;serif"/>
          <w:b/>
          <w:i w:val="false"/>
          <w:caps/>
          <w:sz w:val="20"/>
        </w:rPr>
        <w:t>EXPERTS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E La Carte, Inc. (dba Presto) as of June 30, 2022 and 2021, and for the years then ended, included in this prospectus have been audited by Moss Adams LLP, an independent registered public accounting firm, as stated in their report (which report expresses an unqualified opinion and includes an explanatory paragraph relating to a going concern uncertainty). Such consolidated financial statements are so included in reliance upon the report of such firm given their authority as experts in accounting and auditing.</w:t>
      </w:r>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5" w:name="T1"/>
      <w:bookmarkEnd w:id="25"/>
      <w:r>
        <w:rPr>
          <w:rFonts w:ascii="Times New Roman PS Std;serif" w:hAnsi="Times New Roman PS Std;serif"/>
          <w:b/>
          <w:i w:val="false"/>
          <w:caps/>
          <w:sz w:val="20"/>
        </w:rPr>
        <w:t>WHERE YOU CAN FIND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Those filings are also available to the public on, or accessible through, our website under the heading “Investors” at </w:t>
      </w:r>
      <w:r>
        <w:rPr>
          <w:rFonts w:ascii="Times New Roman PS Std;serif" w:hAnsi="Times New Roman PS Std;serif"/>
          <w:b w:val="false"/>
          <w:i/>
          <w:caps w:val="false"/>
          <w:smallCaps w:val="false"/>
          <w:sz w:val="20"/>
        </w:rPr>
        <w:t>www.presto.com</w:t>
      </w:r>
      <w:r>
        <w:rPr>
          <w:rFonts w:ascii="Times New Roman PS Std;serif" w:hAnsi="Times New Roman PS Std;serif"/>
          <w:b w:val="false"/>
          <w:i w:val="false"/>
          <w:caps w:val="false"/>
          <w:smallCaps w:val="false"/>
          <w:sz w:val="20"/>
        </w:rPr>
        <w:t>. The information on our web site, however, is not, and should not be deemed to be, a part of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26" w:name="T9925"/>
      <w:bookmarkEnd w:id="26"/>
      <w:r>
        <w:rPr>
          <w:rFonts w:ascii="Times New Roman PS Std;serif" w:hAnsi="Times New Roman PS Std;serif"/>
          <w:b/>
          <w:i w:val="false"/>
          <w:caps/>
          <w:sz w:val="20"/>
        </w:rPr>
        <w:t>INDEX TO FINANCIAL STATEMENTS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Unaudited Financial Statements of Presto Automation Inc. as of and for the three and six months ended December 31, 2022 and 2021</w:t>
      </w:r>
    </w:p>
    <w:tbl>
      <w:tblPr>
        <w:tblW w:w="10205" w:type="dxa"/>
        <w:jc w:val="left"/>
        <w:tblInd w:w="0" w:type="dxa"/>
        <w:tblCellMar>
          <w:top w:w="0" w:type="dxa"/>
          <w:left w:w="0" w:type="dxa"/>
          <w:bottom w:w="0" w:type="dxa"/>
          <w:right w:w="0" w:type="dxa"/>
        </w:tblCellMar>
      </w:tblPr>
      <w:tblGrid>
        <w:gridCol w:w="9157"/>
        <w:gridCol w:w="146"/>
        <w:gridCol w:w="902"/>
      </w:tblGrid>
      <w:tr>
        <w:trPr/>
        <w:tc>
          <w:tcPr>
            <w:tcW w:w="915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57" w:type="dxa"/>
            <w:tcBorders/>
            <w:shd w:fill="CCEEFF" w:val="clear"/>
            <w:vAlign w:val="bottom"/>
          </w:tcPr>
          <w:p>
            <w:pPr>
              <w:pStyle w:val="TableContents"/>
              <w:keepNext w:val="false"/>
              <w:widowControl/>
              <w:pBdr/>
              <w:spacing w:before="0" w:after="283"/>
              <w:ind w:left="200" w:right="0" w:hanging="200"/>
              <w:jc w:val="left"/>
              <w:rPr/>
            </w:pPr>
            <w:hyperlink w:anchor="T2001">
              <w:r>
                <w:rPr>
                  <w:rStyle w:val="InternetLink"/>
                  <w:rFonts w:ascii="Times New Roman PS Std;serif" w:hAnsi="Times New Roman PS Std;serif"/>
                  <w:b w:val="false"/>
                  <w:i w:val="false"/>
                  <w:caps w:val="false"/>
                  <w:smallCaps w:val="false"/>
                  <w:sz w:val="20"/>
                </w:rPr>
                <w:t>Condensed Consolidated Balance Sheets as of December 31, 2022 and June 30, 2022</w:t>
              </w:r>
            </w:hyperlink>
          </w:p>
        </w:tc>
        <w:tc>
          <w:tcPr>
            <w:tcW w:w="146"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57" w:type="dxa"/>
            <w:tcBorders/>
            <w:shd w:fill="auto" w:val="clear"/>
            <w:vAlign w:val="bottom"/>
          </w:tcPr>
          <w:p>
            <w:pPr>
              <w:pStyle w:val="TableContents"/>
              <w:keepNext w:val="false"/>
              <w:widowControl/>
              <w:pBdr/>
              <w:spacing w:before="0" w:after="283"/>
              <w:ind w:left="200" w:right="0" w:hanging="200"/>
              <w:jc w:val="left"/>
              <w:rPr/>
            </w:pPr>
            <w:hyperlink w:anchor="T2002">
              <w:r>
                <w:rPr>
                  <w:rStyle w:val="InternetLink"/>
                  <w:rFonts w:ascii="Times New Roman PS Std;serif" w:hAnsi="Times New Roman PS Std;serif"/>
                  <w:b w:val="false"/>
                  <w:i w:val="false"/>
                  <w:caps w:val="false"/>
                  <w:smallCaps w:val="false"/>
                  <w:sz w:val="20"/>
                </w:rPr>
                <w:t>Condensed Consolidated Statements of Operations and Comprehensive Income (Loss) for the three and six months ended December 31, 2022 and 2021</w:t>
              </w:r>
            </w:hyperlink>
          </w:p>
        </w:tc>
        <w:tc>
          <w:tcPr>
            <w:tcW w:w="146"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57" w:type="dxa"/>
            <w:tcBorders/>
            <w:shd w:fill="CCEEFF" w:val="clear"/>
            <w:vAlign w:val="bottom"/>
          </w:tcPr>
          <w:p>
            <w:pPr>
              <w:pStyle w:val="TableContents"/>
              <w:keepNext w:val="false"/>
              <w:widowControl/>
              <w:pBdr/>
              <w:spacing w:before="0" w:after="283"/>
              <w:ind w:left="200" w:right="0" w:hanging="200"/>
              <w:jc w:val="left"/>
              <w:rPr/>
            </w:pPr>
            <w:hyperlink w:anchor="T2003">
              <w:r>
                <w:rPr>
                  <w:rStyle w:val="InternetLink"/>
                  <w:rFonts w:ascii="Times New Roman PS Std;serif" w:hAnsi="Times New Roman PS Std;serif"/>
                  <w:b w:val="false"/>
                  <w:i w:val="false"/>
                  <w:caps w:val="false"/>
                  <w:smallCaps w:val="false"/>
                  <w:sz w:val="20"/>
                </w:rPr>
                <w:t>Condensed Consolidated Statements of Stockholders’ Deficit for the six months ended December 31, 2022 and 2021</w:t>
              </w:r>
            </w:hyperlink>
          </w:p>
        </w:tc>
        <w:tc>
          <w:tcPr>
            <w:tcW w:w="146"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57" w:type="dxa"/>
            <w:tcBorders/>
            <w:shd w:fill="auto" w:val="clear"/>
            <w:vAlign w:val="bottom"/>
          </w:tcPr>
          <w:p>
            <w:pPr>
              <w:pStyle w:val="TableContents"/>
              <w:keepNext w:val="false"/>
              <w:widowControl/>
              <w:pBdr/>
              <w:spacing w:before="0" w:after="283"/>
              <w:ind w:left="200" w:right="0" w:hanging="200"/>
              <w:jc w:val="left"/>
              <w:rPr/>
            </w:pPr>
            <w:hyperlink w:anchor="T2004">
              <w:r>
                <w:rPr>
                  <w:rStyle w:val="InternetLink"/>
                  <w:rFonts w:ascii="Times New Roman PS Std;serif" w:hAnsi="Times New Roman PS Std;serif"/>
                  <w:b w:val="false"/>
                  <w:i w:val="false"/>
                  <w:caps w:val="false"/>
                  <w:smallCaps w:val="false"/>
                  <w:sz w:val="20"/>
                </w:rPr>
                <w:t>Condensed Consolidated Statements of Stockholders’ Deficit for the three months ended December 31, 2022 and 2021</w:t>
              </w:r>
            </w:hyperlink>
          </w:p>
        </w:tc>
        <w:tc>
          <w:tcPr>
            <w:tcW w:w="146"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57" w:type="dxa"/>
            <w:tcBorders/>
            <w:shd w:fill="CCEEFF" w:val="clear"/>
            <w:vAlign w:val="bottom"/>
          </w:tcPr>
          <w:p>
            <w:pPr>
              <w:pStyle w:val="TableContents"/>
              <w:keepNext w:val="false"/>
              <w:widowControl/>
              <w:pBdr/>
              <w:spacing w:before="0" w:after="283"/>
              <w:ind w:left="200" w:right="0" w:hanging="200"/>
              <w:jc w:val="left"/>
              <w:rPr/>
            </w:pPr>
            <w:hyperlink w:anchor="T2005">
              <w:r>
                <w:rPr>
                  <w:rStyle w:val="InternetLink"/>
                  <w:rFonts w:ascii="Times New Roman PS Std;serif" w:hAnsi="Times New Roman PS Std;serif"/>
                  <w:b w:val="false"/>
                  <w:i w:val="false"/>
                  <w:caps w:val="false"/>
                  <w:smallCaps w:val="false"/>
                  <w:sz w:val="20"/>
                </w:rPr>
                <w:t>Condensed Consolidated Statements of Cash Flows for the six months ended December 31, 2022 and 2021</w:t>
              </w:r>
            </w:hyperlink>
          </w:p>
        </w:tc>
        <w:tc>
          <w:tcPr>
            <w:tcW w:w="146"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 – F-7</w:t>
            </w:r>
          </w:p>
        </w:tc>
      </w:tr>
      <w:tr>
        <w:trPr/>
        <w:tc>
          <w:tcPr>
            <w:tcW w:w="9157" w:type="dxa"/>
            <w:tcBorders/>
            <w:shd w:fill="auto" w:val="clear"/>
            <w:vAlign w:val="bottom"/>
          </w:tcPr>
          <w:p>
            <w:pPr>
              <w:pStyle w:val="TableContents"/>
              <w:keepNext w:val="false"/>
              <w:widowControl/>
              <w:pBdr/>
              <w:spacing w:before="0" w:after="283"/>
              <w:ind w:left="200" w:right="0" w:hanging="200"/>
              <w:jc w:val="left"/>
              <w:rPr/>
            </w:pPr>
            <w:hyperlink w:anchor="T2006">
              <w:r>
                <w:rPr>
                  <w:rStyle w:val="InternetLink"/>
                  <w:rFonts w:ascii="Times New Roman PS Std;serif" w:hAnsi="Times New Roman PS Std;serif"/>
                  <w:b w:val="false"/>
                  <w:i w:val="false"/>
                  <w:caps w:val="false"/>
                  <w:smallCaps w:val="false"/>
                  <w:sz w:val="20"/>
                </w:rPr>
                <w:t>Notes to Condensed Consolidated Financial Statements</w:t>
              </w:r>
            </w:hyperlink>
          </w:p>
        </w:tc>
        <w:tc>
          <w:tcPr>
            <w:tcW w:w="146"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 – F-40</w:t>
            </w:r>
          </w:p>
        </w:tc>
      </w:tr>
    </w:tbl>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Audited Financial Statements of E La Carte, Inc. (dba Presto) as of and for the fiscal years ended June 30, 2022 and 2021</w:t>
      </w:r>
    </w:p>
    <w:tbl>
      <w:tblPr>
        <w:tblW w:w="10205" w:type="dxa"/>
        <w:jc w:val="left"/>
        <w:tblInd w:w="0" w:type="dxa"/>
        <w:tblCellMar>
          <w:top w:w="0" w:type="dxa"/>
          <w:left w:w="0" w:type="dxa"/>
          <w:bottom w:w="0" w:type="dxa"/>
          <w:right w:w="0" w:type="dxa"/>
        </w:tblCellMar>
      </w:tblPr>
      <w:tblGrid>
        <w:gridCol w:w="8975"/>
        <w:gridCol w:w="146"/>
        <w:gridCol w:w="1084"/>
      </w:tblGrid>
      <w:tr>
        <w:trPr/>
        <w:tc>
          <w:tcPr>
            <w:tcW w:w="897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75" w:type="dxa"/>
            <w:tcBorders/>
            <w:shd w:fill="CCEEFF" w:val="clear"/>
            <w:vAlign w:val="bottom"/>
          </w:tcPr>
          <w:p>
            <w:pPr>
              <w:pStyle w:val="TableContents"/>
              <w:keepNext w:val="false"/>
              <w:widowControl/>
              <w:pBdr/>
              <w:spacing w:before="0" w:after="283"/>
              <w:ind w:left="200" w:right="0" w:hanging="200"/>
              <w:jc w:val="left"/>
              <w:rPr/>
            </w:pPr>
            <w:hyperlink w:anchor="T2007">
              <w:r>
                <w:rPr>
                  <w:rStyle w:val="InternetLink"/>
                  <w:rFonts w:ascii="Times New Roman PS Std;serif" w:hAnsi="Times New Roman PS Std;serif"/>
                  <w:b w:val="false"/>
                  <w:i w:val="false"/>
                  <w:caps w:val="false"/>
                  <w:smallCaps w:val="false"/>
                  <w:sz w:val="20"/>
                </w:rPr>
                <w:t>Report of Independent Registered Public Accounting Firm</w:t>
              </w:r>
            </w:hyperlink>
          </w:p>
        </w:tc>
        <w:tc>
          <w:tcPr>
            <w:tcW w:w="14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F-41</w:t>
            </w:r>
          </w:p>
        </w:tc>
      </w:tr>
      <w:tr>
        <w:trPr/>
        <w:tc>
          <w:tcPr>
            <w:tcW w:w="8975" w:type="dxa"/>
            <w:tcBorders/>
            <w:shd w:fill="auto" w:val="clear"/>
            <w:vAlign w:val="bottom"/>
          </w:tcPr>
          <w:p>
            <w:pPr>
              <w:pStyle w:val="TableContents"/>
              <w:keepNext w:val="false"/>
              <w:widowControl/>
              <w:pBdr/>
              <w:spacing w:before="0" w:after="283"/>
              <w:ind w:left="200" w:right="0" w:hanging="200"/>
              <w:jc w:val="left"/>
              <w:rPr/>
            </w:pPr>
            <w:hyperlink w:anchor="T2008">
              <w:r>
                <w:rPr>
                  <w:rStyle w:val="InternetLink"/>
                  <w:rFonts w:ascii="Times New Roman PS Std;serif" w:hAnsi="Times New Roman PS Std;serif"/>
                  <w:b w:val="false"/>
                  <w:i w:val="false"/>
                  <w:caps w:val="false"/>
                  <w:smallCaps w:val="false"/>
                  <w:sz w:val="20"/>
                </w:rPr>
                <w:t>Consolidated Balance Sheets as of June 30, 2022 and 2021</w:t>
              </w:r>
            </w:hyperlink>
          </w:p>
        </w:tc>
        <w:tc>
          <w:tcPr>
            <w:tcW w:w="14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F-42</w:t>
            </w:r>
          </w:p>
        </w:tc>
      </w:tr>
      <w:tr>
        <w:trPr/>
        <w:tc>
          <w:tcPr>
            <w:tcW w:w="8975" w:type="dxa"/>
            <w:tcBorders/>
            <w:shd w:fill="CCEEFF" w:val="clear"/>
            <w:vAlign w:val="bottom"/>
          </w:tcPr>
          <w:p>
            <w:pPr>
              <w:pStyle w:val="TableContents"/>
              <w:keepNext w:val="false"/>
              <w:widowControl/>
              <w:pBdr/>
              <w:spacing w:before="0" w:after="283"/>
              <w:ind w:left="200" w:right="0" w:hanging="200"/>
              <w:jc w:val="left"/>
              <w:rPr/>
            </w:pPr>
            <w:hyperlink w:anchor="T2009">
              <w:r>
                <w:rPr>
                  <w:rStyle w:val="InternetLink"/>
                  <w:rFonts w:ascii="Times New Roman PS Std;serif" w:hAnsi="Times New Roman PS Std;serif"/>
                  <w:b w:val="false"/>
                  <w:i w:val="false"/>
                  <w:caps w:val="false"/>
                  <w:smallCaps w:val="false"/>
                  <w:sz w:val="20"/>
                </w:rPr>
                <w:t>Consolidated Statements of Operations and Comprehensive Loss for the fiscal years ended June 30, 2022 and 2021</w:t>
              </w:r>
            </w:hyperlink>
          </w:p>
        </w:tc>
        <w:tc>
          <w:tcPr>
            <w:tcW w:w="14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F-43</w:t>
            </w:r>
          </w:p>
        </w:tc>
      </w:tr>
      <w:tr>
        <w:trPr/>
        <w:tc>
          <w:tcPr>
            <w:tcW w:w="8975" w:type="dxa"/>
            <w:tcBorders/>
            <w:shd w:fill="auto" w:val="clear"/>
            <w:vAlign w:val="bottom"/>
          </w:tcPr>
          <w:p>
            <w:pPr>
              <w:pStyle w:val="TableContents"/>
              <w:keepNext w:val="false"/>
              <w:widowControl/>
              <w:pBdr/>
              <w:spacing w:before="0" w:after="283"/>
              <w:ind w:left="200" w:right="0" w:hanging="200"/>
              <w:jc w:val="left"/>
              <w:rPr/>
            </w:pPr>
            <w:hyperlink w:anchor="T2010">
              <w:r>
                <w:rPr>
                  <w:rStyle w:val="InternetLink"/>
                  <w:rFonts w:ascii="Times New Roman PS Std;serif" w:hAnsi="Times New Roman PS Std;serif"/>
                  <w:b w:val="false"/>
                  <w:i w:val="false"/>
                  <w:caps w:val="false"/>
                  <w:smallCaps w:val="false"/>
                  <w:sz w:val="20"/>
                </w:rPr>
                <w:t>Consolidated Statements of Stockholders’ Deficit for the fiscal years ended June 30, 2022 and 2021</w:t>
              </w:r>
            </w:hyperlink>
          </w:p>
        </w:tc>
        <w:tc>
          <w:tcPr>
            <w:tcW w:w="14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8975" w:type="dxa"/>
            <w:tcBorders/>
            <w:shd w:fill="CCEEFF" w:val="clear"/>
            <w:vAlign w:val="bottom"/>
          </w:tcPr>
          <w:p>
            <w:pPr>
              <w:pStyle w:val="TableContents"/>
              <w:keepNext w:val="false"/>
              <w:widowControl/>
              <w:pBdr/>
              <w:spacing w:before="0" w:after="283"/>
              <w:ind w:left="200" w:right="0" w:hanging="200"/>
              <w:jc w:val="left"/>
              <w:rPr/>
            </w:pPr>
            <w:hyperlink w:anchor="T2011">
              <w:r>
                <w:rPr>
                  <w:rStyle w:val="InternetLink"/>
                  <w:rFonts w:ascii="Times New Roman PS Std;serif" w:hAnsi="Times New Roman PS Std;serif"/>
                  <w:b w:val="false"/>
                  <w:i w:val="false"/>
                  <w:caps w:val="false"/>
                  <w:smallCaps w:val="false"/>
                  <w:sz w:val="20"/>
                </w:rPr>
                <w:t>Consolidated Statements of Cash Flows for the fiscal years ended June 30, 2022 and 2021</w:t>
              </w:r>
            </w:hyperlink>
          </w:p>
        </w:tc>
        <w:tc>
          <w:tcPr>
            <w:tcW w:w="14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 – F-46</w:t>
            </w:r>
          </w:p>
        </w:tc>
      </w:tr>
      <w:tr>
        <w:trPr/>
        <w:tc>
          <w:tcPr>
            <w:tcW w:w="8975" w:type="dxa"/>
            <w:tcBorders/>
            <w:shd w:fill="auto" w:val="clear"/>
            <w:vAlign w:val="bottom"/>
          </w:tcPr>
          <w:p>
            <w:pPr>
              <w:pStyle w:val="TableContents"/>
              <w:keepNext w:val="false"/>
              <w:widowControl/>
              <w:pBdr/>
              <w:spacing w:before="0" w:after="283"/>
              <w:ind w:left="200" w:right="0" w:hanging="200"/>
              <w:jc w:val="left"/>
              <w:rPr/>
            </w:pPr>
            <w:hyperlink w:anchor="T2012">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F-47 – F-88</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7" w:name="T2001"/>
      <w:bookmarkEnd w:id="27"/>
      <w:r>
        <w:rPr>
          <w:rFonts w:ascii="Times New Roman PS Std;serif" w:hAnsi="Times New Roman PS Std;serif"/>
          <w:b/>
          <w:i w:val="false"/>
          <w:caps w:val="false"/>
          <w:smallCaps w:val="false"/>
          <w:sz w:val="20"/>
        </w:rPr>
        <w:t>PRESTO AUTOMATION INC.</w:t>
        <w:br/>
        <w:t>CONDENSED CONSOLIDATED BALANCE SHEETS</w:t>
        <w:br/>
        <w:t>(UNAUDITED)</w:t>
        <w:br/>
        <w:t>(In thousands, except share and par value)</w:t>
      </w:r>
    </w:p>
    <w:tbl>
      <w:tblPr>
        <w:tblW w:w="10205" w:type="dxa"/>
        <w:jc w:val="left"/>
        <w:tblInd w:w="0" w:type="dxa"/>
        <w:tblCellMar>
          <w:top w:w="0" w:type="dxa"/>
          <w:left w:w="0" w:type="dxa"/>
          <w:bottom w:w="0" w:type="dxa"/>
          <w:right w:w="0" w:type="dxa"/>
        </w:tblCellMar>
      </w:tblPr>
      <w:tblGrid>
        <w:gridCol w:w="6984"/>
        <w:gridCol w:w="146"/>
        <w:gridCol w:w="250"/>
        <w:gridCol w:w="1064"/>
        <w:gridCol w:w="202"/>
        <w:gridCol w:w="146"/>
        <w:gridCol w:w="226"/>
        <w:gridCol w:w="961"/>
        <w:gridCol w:w="226"/>
      </w:tblGrid>
      <w:tr>
        <w:trPr/>
        <w:tc>
          <w:tcPr>
            <w:tcW w:w="698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December 31,</w:t>
              <w:br/>
              <w:t>2022</w:t>
            </w:r>
          </w:p>
        </w:tc>
        <w:tc>
          <w:tcPr>
            <w:tcW w:w="146" w:type="dxa"/>
            <w:tcBorders/>
            <w:shd w:fill="auto" w:val="clear"/>
            <w:vAlign w:val="bottom"/>
          </w:tcPr>
          <w:p>
            <w:pPr>
              <w:pStyle w:val="TableContents"/>
              <w:spacing w:before="0" w:after="283"/>
              <w:rPr/>
            </w:pPr>
            <w:r>
              <w:rPr/>
              <w:t> </w:t>
            </w:r>
          </w:p>
        </w:tc>
        <w:tc>
          <w:tcPr>
            <w:tcW w:w="14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June 30,</w:t>
              <w:br/>
              <w:t>2022</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38,211</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doubtful accounts of $137 and $353 as of December 31, 2022 and June 30, 2022, respectively</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2,572</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current</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48,477</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net of current portion</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 non-affiliate</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spacing w:before="0" w:after="283"/>
              <w:rPr/>
            </w:pPr>
            <w:r>
              <w:rPr/>
              <w:t>—</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6,942</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auto" w:val="clear"/>
            <w:vAlign w:val="bottom"/>
          </w:tcPr>
          <w:p>
            <w:pPr>
              <w:pStyle w:val="TableContents"/>
              <w:spacing w:before="0" w:after="283"/>
              <w:rPr/>
            </w:pPr>
            <w:r>
              <w:rPr/>
              <w:t> </w:t>
            </w:r>
          </w:p>
        </w:tc>
        <w:tc>
          <w:tcPr>
            <w:tcW w:w="25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61,174</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2,982</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4,356</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obligations, current</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current</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spacing w:before="0" w:after="283"/>
              <w:rPr/>
            </w:pPr>
            <w:r>
              <w:rPr/>
              <w:t>—</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 current</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spacing w:before="0" w:after="283"/>
              <w:rPr/>
            </w:pPr>
            <w:r>
              <w:rPr/>
              <w:t>—</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current</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17,657</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146,609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noncurrent</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loans</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spacing w:before="0" w:after="283"/>
              <w:rPr/>
            </w:pPr>
            <w:r>
              <w:rPr/>
              <w:t>—</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net of current portion</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73,398</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152,995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(Refer to Note 8)</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auto" w:val="clear"/>
            <w:vAlign w:val="bottom"/>
          </w:tcPr>
          <w:p>
            <w:pPr>
              <w:pStyle w:val="TableContents"/>
              <w:spacing w:before="0" w:after="0"/>
              <w:rPr/>
            </w:pPr>
            <w:r>
              <w:rPr/>
              <w:t> </w:t>
            </w:r>
          </w:p>
        </w:tc>
        <w:tc>
          <w:tcPr>
            <w:tcW w:w="20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0"/>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deficit:</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value-1,500,000 shares authorized as of December 31, 2022 and June 30, 2022, respectively; no shares issued and outstanding as of December 31, 2022 and June 30, 2022 respectively</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spacing w:before="0" w:after="283"/>
              <w:rPr/>
            </w:pPr>
            <w:r>
              <w:rPr/>
              <w:t>—</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value-180,000,000 shares authorized as of December 31, 2022 and June 30, 2022, and 51,231,608 and 27,974,439 shares issued and outstanding as of December 31, 2022 and June 30, 2022, respectively</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170,794</w:t>
            </w:r>
          </w:p>
        </w:tc>
        <w:tc>
          <w:tcPr>
            <w:tcW w:w="2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78,321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(183,023</w:t>
            </w:r>
          </w:p>
        </w:tc>
        <w:tc>
          <w:tcPr>
            <w:tcW w:w="20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(200,783</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8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(12,224</w:t>
            </w:r>
          </w:p>
        </w:tc>
        <w:tc>
          <w:tcPr>
            <w:tcW w:w="20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(122,459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deficit</w:t>
            </w:r>
          </w:p>
        </w:tc>
        <w:tc>
          <w:tcPr>
            <w:tcW w:w="146" w:type="dxa"/>
            <w:tcBorders/>
            <w:shd w:fill="CCEEFF" w:val="clear"/>
            <w:vAlign w:val="bottom"/>
          </w:tcPr>
          <w:p>
            <w:pPr>
              <w:pStyle w:val="TableContents"/>
              <w:spacing w:before="0" w:after="283"/>
              <w:rPr/>
            </w:pPr>
            <w:r>
              <w:rPr/>
              <w:t> </w:t>
            </w:r>
          </w:p>
        </w:tc>
        <w:tc>
          <w:tcPr>
            <w:tcW w:w="25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61,174</w:t>
            </w:r>
          </w:p>
        </w:tc>
        <w:tc>
          <w:tcPr>
            <w:tcW w:w="2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8" w:name="T2002"/>
      <w:bookmarkEnd w:id="28"/>
      <w:r>
        <w:rPr>
          <w:rFonts w:ascii="Times New Roman PS Std;serif" w:hAnsi="Times New Roman PS Std;serif"/>
          <w:b/>
          <w:i w:val="false"/>
          <w:caps w:val="false"/>
          <w:smallCaps w:val="false"/>
          <w:sz w:val="20"/>
        </w:rPr>
        <w:t>PRESTO AUTOMATION INC.</w:t>
        <w:br/>
        <w:t>CONDENSED CONSOLIDATED STATEMENTS OF OPERATIONS AND</w:t>
        <w:br/>
        <w:t>COMPREHENSIVE INCOME (LOSS)</w:t>
        <w:br/>
        <w:t>(UNAUDITED)</w:t>
        <w:br/>
        <w:t>(in thousands, except share and per share amounts)</w:t>
      </w:r>
    </w:p>
    <w:tbl>
      <w:tblPr>
        <w:tblW w:w="10205" w:type="dxa"/>
        <w:jc w:val="left"/>
        <w:tblInd w:w="0" w:type="dxa"/>
        <w:tblCellMar>
          <w:top w:w="0" w:type="dxa"/>
          <w:left w:w="0" w:type="dxa"/>
          <w:bottom w:w="0" w:type="dxa"/>
          <w:right w:w="0" w:type="dxa"/>
        </w:tblCellMar>
      </w:tblPr>
      <w:tblGrid>
        <w:gridCol w:w="3204"/>
        <w:gridCol w:w="146"/>
        <w:gridCol w:w="226"/>
        <w:gridCol w:w="1186"/>
        <w:gridCol w:w="181"/>
        <w:gridCol w:w="146"/>
        <w:gridCol w:w="226"/>
        <w:gridCol w:w="1186"/>
        <w:gridCol w:w="181"/>
        <w:gridCol w:w="146"/>
        <w:gridCol w:w="226"/>
        <w:gridCol w:w="1186"/>
        <w:gridCol w:w="181"/>
        <w:gridCol w:w="146"/>
        <w:gridCol w:w="226"/>
        <w:gridCol w:w="1186"/>
        <w:gridCol w:w="226"/>
      </w:tblGrid>
      <w:tr>
        <w:trPr/>
        <w:tc>
          <w:tcPr>
            <w:tcW w:w="320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33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shd w:fill="auto" w:val="clear"/>
            <w:vAlign w:val="bottom"/>
          </w:tcPr>
          <w:p>
            <w:pPr>
              <w:pStyle w:val="TableContents"/>
              <w:spacing w:before="0" w:after="283"/>
              <w:rPr/>
            </w:pPr>
            <w:r>
              <w:rPr/>
              <w:t> </w:t>
            </w:r>
          </w:p>
        </w:tc>
        <w:tc>
          <w:tcPr>
            <w:tcW w:w="337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320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financing obligations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45,530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(29,385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(loss) before 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(42,992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and comprehensive income (loss)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basic</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diluted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income (loss) per share attributable to common stockholders, basic</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40,475,200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0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income (loss) per share attributable to common stockholders, diluted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50,775,172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9" w:name="T2003"/>
      <w:bookmarkEnd w:id="29"/>
      <w:r>
        <w:rPr>
          <w:rFonts w:ascii="Times New Roman PS Std;serif" w:hAnsi="Times New Roman PS Std;serif"/>
          <w:b/>
          <w:i w:val="false"/>
          <w:caps w:val="false"/>
          <w:smallCaps w:val="false"/>
          <w:sz w:val="20"/>
        </w:rPr>
        <w:t>PRESTO AUTOMATION INC.</w:t>
        <w:br/>
        <w:t>CONDENSED CONSOLIDATED STATEMENTS OF STOCKHOLDERS’ DEFICIT</w:t>
        <w:br/>
        <w:t>(UNAUDITED)</w:t>
        <w:br/>
        <w:t>(in thousands, except share data)</w:t>
      </w:r>
    </w:p>
    <w:tbl>
      <w:tblPr>
        <w:tblW w:w="10205" w:type="dxa"/>
        <w:jc w:val="left"/>
        <w:tblInd w:w="0" w:type="dxa"/>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40"/>
        <w:gridCol w:w="959"/>
        <w:gridCol w:w="242"/>
      </w:tblGrid>
      <w:tr>
        <w:trPr/>
        <w:tc>
          <w:tcPr>
            <w:tcW w:w="1360"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shd w:fill="auto" w:val="clear"/>
            <w:vAlign w:val="bottom"/>
          </w:tcPr>
          <w:p>
            <w:pPr>
              <w:pStyle w:val="TableContents"/>
              <w:spacing w:before="0" w:after="283"/>
              <w:rPr/>
            </w:pPr>
            <w:r>
              <w:rPr/>
              <w:t> </w:t>
            </w:r>
          </w:p>
        </w:tc>
        <w:tc>
          <w:tcPr>
            <w:tcW w:w="144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gridSpan w:val="3"/>
            <w:vMerge w:val="continue"/>
            <w:tcBorders/>
            <w:shd w:fill="auto" w:val="clear"/>
            <w:vAlign w:val="bottom"/>
          </w:tcPr>
          <w:p>
            <w:pPr>
              <w:pStyle w:val="Normal"/>
              <w:rPr/>
            </w:pPr>
            <w:r>
              <w:rPr/>
            </w:r>
          </w:p>
        </w:tc>
      </w:tr>
      <w:tr>
        <w:trPr/>
        <w:tc>
          <w:tcPr>
            <w:tcW w:w="1360"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2021</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5,132,354</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74,417</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21,980,406</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spacing w:before="0" w:after="283"/>
              <w:rPr/>
            </w:pPr>
            <w:r>
              <w:rPr/>
              <w:t>—</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27,112,760</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74,447</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147,864</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954</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954</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(43,016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(43,016</w:t>
            </w:r>
          </w:p>
        </w:tc>
        <w:tc>
          <w:tcPr>
            <w:tcW w:w="24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2021</w:t>
            </w:r>
          </w:p>
        </w:tc>
        <w:tc>
          <w:tcPr>
            <w:tcW w:w="146" w:type="dxa"/>
            <w:tcBorders/>
            <w:shd w:fill="CCEEFF" w:val="clear"/>
            <w:vAlign w:val="bottom"/>
          </w:tcPr>
          <w:p>
            <w:pPr>
              <w:pStyle w:val="TableContents"/>
              <w:spacing w:before="0" w:after="283"/>
              <w:rPr/>
            </w:pPr>
            <w:r>
              <w:rPr/>
              <w:t> </w:t>
            </w:r>
          </w:p>
        </w:tc>
        <w:tc>
          <w:tcPr>
            <w:tcW w:w="1096" w:type="dxa"/>
            <w:tcBorders>
              <w:bottom w:val="double" w:sz="2" w:space="0" w:color="000000"/>
            </w:tcBorders>
            <w:shd w:fill="CCEEFF" w:val="clear"/>
            <w:tcMar>
              <w:bottom w:w="28" w:type="dxa"/>
            </w:tcM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27,260,624</w:t>
            </w:r>
          </w:p>
        </w:tc>
        <w:tc>
          <w:tcPr>
            <w:tcW w:w="146" w:type="dxa"/>
            <w:tcBorders/>
            <w:shd w:fill="CCEEFF" w:val="clear"/>
            <w:vAlign w:val="bottom"/>
          </w:tcPr>
          <w:p>
            <w:pPr>
              <w:pStyle w:val="TableContents"/>
              <w:spacing w:before="0" w:after="283"/>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75,459</w:t>
            </w:r>
          </w:p>
        </w:tc>
        <w:tc>
          <w:tcPr>
            <w:tcW w:w="146" w:type="dxa"/>
            <w:tcBorders/>
            <w:shd w:fill="CCEEFF" w:val="clear"/>
            <w:vAlign w:val="bottom"/>
          </w:tcPr>
          <w:p>
            <w:pPr>
              <w:pStyle w:val="TableContents"/>
              <w:spacing w:before="0" w:after="283"/>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(187,485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(112,023</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tbl>
      <w:tblPr>
        <w:tblW w:w="10205" w:type="dxa"/>
        <w:jc w:val="left"/>
        <w:tblInd w:w="0" w:type="dxa"/>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29"/>
        <w:gridCol w:w="852"/>
        <w:gridCol w:w="146"/>
        <w:gridCol w:w="228"/>
        <w:gridCol w:w="912"/>
        <w:gridCol w:w="181"/>
        <w:gridCol w:w="146"/>
        <w:gridCol w:w="240"/>
        <w:gridCol w:w="959"/>
        <w:gridCol w:w="242"/>
      </w:tblGrid>
      <w:tr>
        <w:trPr/>
        <w:tc>
          <w:tcPr>
            <w:tcW w:w="1360"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shd w:fill="auto" w:val="clear"/>
            <w:vAlign w:val="bottom"/>
          </w:tcPr>
          <w:p>
            <w:pPr>
              <w:pStyle w:val="TableContents"/>
              <w:spacing w:before="0" w:after="283"/>
              <w:rPr/>
            </w:pPr>
            <w:r>
              <w:rPr/>
              <w:t> </w:t>
            </w:r>
          </w:p>
        </w:tc>
        <w:tc>
          <w:tcPr>
            <w:tcW w:w="144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gridSpan w:val="3"/>
            <w:vMerge w:val="continue"/>
            <w:tcBorders/>
            <w:shd w:fill="auto" w:val="clear"/>
            <w:vAlign w:val="bottom"/>
          </w:tcPr>
          <w:p>
            <w:pPr>
              <w:pStyle w:val="Normal"/>
              <w:rPr/>
            </w:pPr>
            <w:r>
              <w:rPr/>
            </w:r>
          </w:p>
        </w:tc>
      </w:tr>
      <w:tr>
        <w:trPr/>
        <w:tc>
          <w:tcPr>
            <w:tcW w:w="1360"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2022</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6,196,257</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78,290</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(200,783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(122,459</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21,778,182</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spacing w:before="0" w:after="283"/>
              <w:rPr/>
            </w:pPr>
            <w:r>
              <w:rPr/>
              <w:t>—</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27,974,439</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78,321</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(200,783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(122,459</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146,823</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Fair value of issued warrants on common stock</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net exercise of warrants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136,681</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spacing w:before="0" w:after="283"/>
              <w:rPr/>
            </w:pPr>
            <w:r>
              <w:rPr/>
              <w:t>—</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(Note 9)</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133,333</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vesting of restricted stock units (Note 11)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488,598</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spacing w:before="0" w:after="283"/>
              <w:rPr/>
            </w:pPr>
            <w:r>
              <w:rPr/>
              <w:t>—</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and transfer of warrants upon termination of convertible note agreement (Note 9)</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323,968</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2,412</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2,412</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convertible notes into common stock (Note 7)</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8,147,938</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41,391</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41,392</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Warrants issued with Credit Agreement (Note 7)</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2,076</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2,076</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Reclassification of liability classified warrants to equity (Note 10)</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830</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830</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Contribution by shareholder in conjunction with Credit Agreement (Note 7)</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Earnout shares stock-based compensation (Note 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Merger and PIPE Financing (Note 1)</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13,879,828</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35,737</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35,738</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 (Note 11)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3,461</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3,461</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17,760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17,760</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2022</w:t>
            </w:r>
          </w:p>
        </w:tc>
        <w:tc>
          <w:tcPr>
            <w:tcW w:w="146" w:type="dxa"/>
            <w:tcBorders/>
            <w:shd w:fill="auto" w:val="clear"/>
            <w:vAlign w:val="bottom"/>
          </w:tcPr>
          <w:p>
            <w:pPr>
              <w:pStyle w:val="TableContents"/>
              <w:spacing w:before="0" w:after="283"/>
              <w:rPr/>
            </w:pPr>
            <w:r>
              <w:rPr/>
              <w:t> </w:t>
            </w:r>
          </w:p>
        </w:tc>
        <w:tc>
          <w:tcPr>
            <w:tcW w:w="1096" w:type="dxa"/>
            <w:tcBorders>
              <w:bottom w:val="double" w:sz="2" w:space="0" w:color="000000"/>
            </w:tcBorders>
            <w:shd w:fill="auto" w:val="clear"/>
            <w:tcMar>
              <w:bottom w:w="28" w:type="dxa"/>
            </w:tcM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auto" w:val="clear"/>
            <w:tcMar>
              <w:bottom w:w="28" w:type="dxa"/>
            </w:tcM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51,231,608</w:t>
            </w:r>
          </w:p>
        </w:tc>
        <w:tc>
          <w:tcPr>
            <w:tcW w:w="146" w:type="dxa"/>
            <w:tcBorders/>
            <w:shd w:fill="auto" w:val="clear"/>
            <w:vAlign w:val="bottom"/>
          </w:tcPr>
          <w:p>
            <w:pPr>
              <w:pStyle w:val="TableContents"/>
              <w:spacing w:before="0" w:after="283"/>
              <w:rPr/>
            </w:pPr>
            <w:r>
              <w:rPr/>
              <w:t> </w:t>
            </w:r>
          </w:p>
        </w:tc>
        <w:tc>
          <w:tcPr>
            <w:tcW w:w="24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170,794</w:t>
            </w:r>
          </w:p>
        </w:tc>
        <w:tc>
          <w:tcPr>
            <w:tcW w:w="146" w:type="dxa"/>
            <w:tcBorders/>
            <w:shd w:fill="auto" w:val="clear"/>
            <w:vAlign w:val="bottom"/>
          </w:tcPr>
          <w:p>
            <w:pPr>
              <w:pStyle w:val="TableContents"/>
              <w:spacing w:before="0" w:after="283"/>
              <w:rPr/>
            </w:pPr>
            <w:r>
              <w:rPr/>
              <w:t> </w:t>
            </w:r>
          </w:p>
        </w:tc>
        <w:tc>
          <w:tcPr>
            <w:tcW w:w="22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(183,023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4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(12,224</w:t>
            </w:r>
          </w:p>
        </w:tc>
        <w:tc>
          <w:tcPr>
            <w:tcW w:w="24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0" w:name="T2004"/>
      <w:bookmarkEnd w:id="30"/>
      <w:r>
        <w:rPr>
          <w:rFonts w:ascii="Times New Roman PS Std;serif" w:hAnsi="Times New Roman PS Std;serif"/>
          <w:b/>
          <w:i w:val="false"/>
          <w:caps w:val="false"/>
          <w:smallCaps w:val="false"/>
          <w:sz w:val="20"/>
        </w:rPr>
        <w:t>PRESTO AUTOMATION INC.</w:t>
        <w:br/>
        <w:t>CONDENSED CONSOLIDATED STATEMENTS OF STOCKHOLDERS’ DEFICIT</w:t>
        <w:br/>
        <w:t>(UNAUDITED)</w:t>
        <w:br/>
        <w:t>(in thousands, except share data)</w:t>
      </w:r>
    </w:p>
    <w:tbl>
      <w:tblPr>
        <w:tblW w:w="10205" w:type="dxa"/>
        <w:jc w:val="left"/>
        <w:tblInd w:w="0" w:type="dxa"/>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40"/>
        <w:gridCol w:w="959"/>
        <w:gridCol w:w="242"/>
      </w:tblGrid>
      <w:tr>
        <w:trPr/>
        <w:tc>
          <w:tcPr>
            <w:tcW w:w="1360"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shd w:fill="auto" w:val="clear"/>
            <w:vAlign w:val="bottom"/>
          </w:tcPr>
          <w:p>
            <w:pPr>
              <w:pStyle w:val="TableContents"/>
              <w:spacing w:before="0" w:after="283"/>
              <w:rPr/>
            </w:pPr>
            <w:r>
              <w:rPr/>
              <w:t> </w:t>
            </w:r>
          </w:p>
        </w:tc>
        <w:tc>
          <w:tcPr>
            <w:tcW w:w="144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gridSpan w:val="3"/>
            <w:vMerge w:val="continue"/>
            <w:tcBorders/>
            <w:shd w:fill="auto" w:val="clear"/>
            <w:vAlign w:val="bottom"/>
          </w:tcPr>
          <w:p>
            <w:pPr>
              <w:pStyle w:val="Normal"/>
              <w:rPr/>
            </w:pPr>
            <w:r>
              <w:rPr/>
            </w:r>
          </w:p>
        </w:tc>
      </w:tr>
      <w:tr>
        <w:trPr/>
        <w:tc>
          <w:tcPr>
            <w:tcW w:w="1360"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September 30, 2021</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5,211,270</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74,922</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(163,978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(89,023</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21,980,406</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spacing w:before="0" w:after="283"/>
              <w:rPr/>
            </w:pPr>
            <w:r>
              <w:rPr/>
              <w:t>—</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27,191,676</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74,952</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(163,978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(89,023</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68,948</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(23,507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(23,507</w:t>
            </w:r>
          </w:p>
        </w:tc>
        <w:tc>
          <w:tcPr>
            <w:tcW w:w="24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2021</w:t>
            </w:r>
          </w:p>
        </w:tc>
        <w:tc>
          <w:tcPr>
            <w:tcW w:w="146" w:type="dxa"/>
            <w:tcBorders/>
            <w:shd w:fill="CCEEFF" w:val="clear"/>
            <w:vAlign w:val="bottom"/>
          </w:tcPr>
          <w:p>
            <w:pPr>
              <w:pStyle w:val="TableContents"/>
              <w:spacing w:before="0" w:after="283"/>
              <w:rPr/>
            </w:pPr>
            <w:r>
              <w:rPr/>
              <w:t> </w:t>
            </w:r>
          </w:p>
        </w:tc>
        <w:tc>
          <w:tcPr>
            <w:tcW w:w="1096" w:type="dxa"/>
            <w:tcBorders>
              <w:bottom w:val="double" w:sz="2" w:space="0" w:color="000000"/>
            </w:tcBorders>
            <w:shd w:fill="CCEEFF" w:val="clear"/>
            <w:tcMar>
              <w:bottom w:w="28" w:type="dxa"/>
            </w:tcM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27,260,624</w:t>
            </w:r>
          </w:p>
        </w:tc>
        <w:tc>
          <w:tcPr>
            <w:tcW w:w="146" w:type="dxa"/>
            <w:tcBorders/>
            <w:shd w:fill="CCEEFF" w:val="clear"/>
            <w:vAlign w:val="bottom"/>
          </w:tcPr>
          <w:p>
            <w:pPr>
              <w:pStyle w:val="TableContents"/>
              <w:spacing w:before="0" w:after="283"/>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75,459</w:t>
            </w:r>
          </w:p>
        </w:tc>
        <w:tc>
          <w:tcPr>
            <w:tcW w:w="146" w:type="dxa"/>
            <w:tcBorders/>
            <w:shd w:fill="CCEEFF" w:val="clear"/>
            <w:vAlign w:val="bottom"/>
          </w:tcPr>
          <w:p>
            <w:pPr>
              <w:pStyle w:val="TableContents"/>
              <w:spacing w:before="0" w:after="283"/>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(187,485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(112,023</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tbl>
      <w:tblPr>
        <w:tblW w:w="10205" w:type="dxa"/>
        <w:jc w:val="left"/>
        <w:tblInd w:w="0" w:type="dxa"/>
        <w:tblCellMar>
          <w:top w:w="0" w:type="dxa"/>
          <w:left w:w="0" w:type="dxa"/>
          <w:bottom w:w="0" w:type="dxa"/>
          <w:right w:w="0" w:type="dxa"/>
        </w:tblCellMar>
      </w:tblPr>
      <w:tblGrid>
        <w:gridCol w:w="1877"/>
        <w:gridCol w:w="146"/>
        <w:gridCol w:w="743"/>
        <w:gridCol w:w="147"/>
        <w:gridCol w:w="318"/>
        <w:gridCol w:w="523"/>
        <w:gridCol w:w="146"/>
        <w:gridCol w:w="1036"/>
        <w:gridCol w:w="146"/>
        <w:gridCol w:w="318"/>
        <w:gridCol w:w="523"/>
        <w:gridCol w:w="146"/>
        <w:gridCol w:w="229"/>
        <w:gridCol w:w="852"/>
        <w:gridCol w:w="146"/>
        <w:gridCol w:w="228"/>
        <w:gridCol w:w="912"/>
        <w:gridCol w:w="181"/>
        <w:gridCol w:w="146"/>
        <w:gridCol w:w="262"/>
        <w:gridCol w:w="915"/>
        <w:gridCol w:w="265"/>
      </w:tblGrid>
      <w:tr>
        <w:trPr/>
        <w:tc>
          <w:tcPr>
            <w:tcW w:w="1877"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731"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shd w:fill="auto" w:val="clear"/>
            <w:vAlign w:val="bottom"/>
          </w:tcPr>
          <w:p>
            <w:pPr>
              <w:pStyle w:val="TableContents"/>
              <w:spacing w:before="0" w:after="283"/>
              <w:rPr/>
            </w:pPr>
            <w:r>
              <w:rPr/>
              <w:t> </w:t>
            </w:r>
          </w:p>
        </w:tc>
        <w:tc>
          <w:tcPr>
            <w:tcW w:w="1442"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877"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74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7"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2" w:type="dxa"/>
            <w:gridSpan w:val="3"/>
            <w:vMerge w:val="continue"/>
            <w:tcBorders/>
            <w:shd w:fill="auto" w:val="clear"/>
            <w:vAlign w:val="bottom"/>
          </w:tcPr>
          <w:p>
            <w:pPr>
              <w:pStyle w:val="Normal"/>
              <w:rPr/>
            </w:pPr>
            <w:r>
              <w:rPr/>
            </w:r>
          </w:p>
        </w:tc>
      </w:tr>
      <w:tr>
        <w:trPr/>
        <w:tc>
          <w:tcPr>
            <w:tcW w:w="1877"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September 30, 2022</w:t>
            </w:r>
          </w:p>
        </w:tc>
        <w:tc>
          <w:tcPr>
            <w:tcW w:w="146"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w:t>
            </w:r>
          </w:p>
        </w:tc>
        <w:tc>
          <w:tcPr>
            <w:tcW w:w="14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51,039,859</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167,156</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(165,994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1,167</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877"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103,111</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877"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Fair value of issued warrants on common stock</w:t>
            </w:r>
          </w:p>
        </w:tc>
        <w:tc>
          <w:tcPr>
            <w:tcW w:w="146"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877"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vesting of restricted stock units (Note 11)</w:t>
            </w:r>
          </w:p>
        </w:tc>
        <w:tc>
          <w:tcPr>
            <w:tcW w:w="146"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88,638</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auto" w:val="clear"/>
            <w:vAlign w:val="bottom"/>
          </w:tcPr>
          <w:p>
            <w:pPr>
              <w:pStyle w:val="TableContents"/>
              <w:spacing w:before="0" w:after="283"/>
              <w:rPr/>
            </w:pPr>
            <w:r>
              <w:rPr/>
              <w:t>—</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877"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Earnout shares stock-based compensation (Note 1)</w:t>
            </w:r>
          </w:p>
        </w:tc>
        <w:tc>
          <w:tcPr>
            <w:tcW w:w="146"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1,696</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1,696</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877" w:type="dxa"/>
            <w:tcBorders/>
            <w:shd w:fill="auto"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 (Note 11)</w:t>
            </w:r>
          </w:p>
        </w:tc>
        <w:tc>
          <w:tcPr>
            <w:tcW w:w="146"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877" w:type="dxa"/>
            <w:tcBorders/>
            <w:shd w:fill="CCEEFF" w:val="clear"/>
            <w:vAlign w:val="bottom"/>
          </w:tcPr>
          <w:p>
            <w:pPr>
              <w:pStyle w:val="TableContents"/>
              <w:keepNext w:val="false"/>
              <w:widowControl/>
              <w:pBdr/>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(17,029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(17,029</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877"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2022</w:t>
            </w:r>
          </w:p>
        </w:tc>
        <w:tc>
          <w:tcPr>
            <w:tcW w:w="146" w:type="dxa"/>
            <w:tcBorders/>
            <w:shd w:fill="auto" w:val="clear"/>
            <w:vAlign w:val="bottom"/>
          </w:tcPr>
          <w:p>
            <w:pPr>
              <w:pStyle w:val="TableContents"/>
              <w:spacing w:before="0" w:after="283"/>
              <w:rPr/>
            </w:pPr>
            <w:r>
              <w:rPr/>
              <w:t> </w:t>
            </w:r>
          </w:p>
        </w:tc>
        <w:tc>
          <w:tcPr>
            <w:tcW w:w="743" w:type="dxa"/>
            <w:tcBorders>
              <w:bottom w:val="double" w:sz="2" w:space="0" w:color="000000"/>
            </w:tcBorders>
            <w:shd w:fill="auto" w:val="clear"/>
            <w:tcMar>
              <w:bottom w:w="28" w:type="dxa"/>
            </w:tcMar>
            <w:vAlign w:val="bottom"/>
          </w:tcPr>
          <w:p>
            <w:pPr>
              <w:pStyle w:val="TableContents"/>
              <w:spacing w:before="0" w:after="283"/>
              <w:rPr/>
            </w:pPr>
            <w:r>
              <w:rPr/>
              <w:t>—</w:t>
            </w:r>
          </w:p>
        </w:tc>
        <w:tc>
          <w:tcPr>
            <w:tcW w:w="147" w:type="dxa"/>
            <w:tcBorders/>
            <w:shd w:fill="auto" w:val="clear"/>
            <w:vAlign w:val="bottom"/>
          </w:tcPr>
          <w:p>
            <w:pPr>
              <w:pStyle w:val="TableContents"/>
              <w:spacing w:before="0" w:after="283"/>
              <w:rPr/>
            </w:pPr>
            <w:r>
              <w:rPr/>
              <w:t> </w:t>
            </w:r>
          </w:p>
        </w:tc>
        <w:tc>
          <w:tcPr>
            <w:tcW w:w="3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51,231,608</w:t>
            </w:r>
          </w:p>
        </w:tc>
        <w:tc>
          <w:tcPr>
            <w:tcW w:w="146" w:type="dxa"/>
            <w:tcBorders/>
            <w:shd w:fill="auto" w:val="clear"/>
            <w:vAlign w:val="bottom"/>
          </w:tcPr>
          <w:p>
            <w:pPr>
              <w:pStyle w:val="TableContents"/>
              <w:spacing w:before="0" w:after="283"/>
              <w:rPr/>
            </w:pPr>
            <w:r>
              <w:rPr/>
              <w:t> </w:t>
            </w:r>
          </w:p>
        </w:tc>
        <w:tc>
          <w:tcPr>
            <w:tcW w:w="3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46" w:type="dxa"/>
            <w:tcBorders/>
            <w:shd w:fill="auto" w:val="clear"/>
            <w:vAlign w:val="bottom"/>
          </w:tcPr>
          <w:p>
            <w:pPr>
              <w:pStyle w:val="TableContents"/>
              <w:spacing w:before="0" w:after="283"/>
              <w:rPr/>
            </w:pPr>
            <w:r>
              <w:rPr/>
              <w:t> </w:t>
            </w:r>
          </w:p>
        </w:tc>
        <w:tc>
          <w:tcPr>
            <w:tcW w:w="22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170,794</w:t>
            </w:r>
          </w:p>
        </w:tc>
        <w:tc>
          <w:tcPr>
            <w:tcW w:w="146" w:type="dxa"/>
            <w:tcBorders/>
            <w:shd w:fill="auto" w:val="clear"/>
            <w:vAlign w:val="bottom"/>
          </w:tcPr>
          <w:p>
            <w:pPr>
              <w:pStyle w:val="TableContents"/>
              <w:spacing w:before="0" w:after="283"/>
              <w:rPr/>
            </w:pPr>
            <w:r>
              <w:rPr/>
              <w:t> </w:t>
            </w:r>
          </w:p>
        </w:tc>
        <w:tc>
          <w:tcPr>
            <w:tcW w:w="22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(183,023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(12,224</w:t>
            </w:r>
          </w:p>
        </w:tc>
        <w:tc>
          <w:tcPr>
            <w:tcW w:w="26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1" w:name="T2005"/>
      <w:bookmarkEnd w:id="31"/>
      <w:r>
        <w:rPr>
          <w:rFonts w:ascii="Times New Roman PS Std;serif" w:hAnsi="Times New Roman PS Std;serif"/>
          <w:b/>
          <w:i w:val="false"/>
          <w:caps w:val="false"/>
          <w:smallCaps w:val="false"/>
          <w:sz w:val="20"/>
        </w:rPr>
        <w:t>PRESTO AUTOMATION INC.</w:t>
        <w:br/>
        <w:t>CONDENSED CONSOLIDATED STATEMENTS OF CASH FLOWS</w:t>
        <w:br/>
        <w:t>(UNAUDITED)</w:t>
        <w:br/>
        <w:t>(in thousands)</w:t>
      </w:r>
    </w:p>
    <w:tbl>
      <w:tblPr>
        <w:tblW w:w="10205" w:type="dxa"/>
        <w:jc w:val="left"/>
        <w:tblInd w:w="0" w:type="dxa"/>
        <w:tblCellMar>
          <w:top w:w="0" w:type="dxa"/>
          <w:left w:w="0" w:type="dxa"/>
          <w:bottom w:w="0" w:type="dxa"/>
          <w:right w:w="0" w:type="dxa"/>
        </w:tblCellMar>
      </w:tblPr>
      <w:tblGrid>
        <w:gridCol w:w="7372"/>
        <w:gridCol w:w="146"/>
        <w:gridCol w:w="226"/>
        <w:gridCol w:w="841"/>
        <w:gridCol w:w="181"/>
        <w:gridCol w:w="146"/>
        <w:gridCol w:w="226"/>
        <w:gridCol w:w="841"/>
        <w:gridCol w:w="226"/>
      </w:tblGrid>
      <w:tr>
        <w:trPr/>
        <w:tc>
          <w:tcPr>
            <w:tcW w:w="737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(loss) to net cash used in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amortization and impairment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share stock-based compensation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Contra-revenue associated with warrant agreement (Refer to Note 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expense attributable to fair value liabilities assumed in Merger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liability classified warrants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(48,271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debt issuance costs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financing obligations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Paid-in-kind 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and warrant cost on termination of convertible note agreement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unvested founder shares liability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off property and equipment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(4,777</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 financing facility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(7,305</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(30,291</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relating to capitalized software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 non-affiliate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CONDENSED CONSOLIDATED STATEMENTS OF CASH FLOWS — (Continued)</w:t>
        <w:br/>
        <w:t>(UNAUDITED)</w:t>
        <w:br/>
        <w:t>(in thousands)</w:t>
      </w:r>
    </w:p>
    <w:tbl>
      <w:tblPr>
        <w:tblW w:w="10205" w:type="dxa"/>
        <w:jc w:val="left"/>
        <w:tblInd w:w="0" w:type="dxa"/>
        <w:tblCellMar>
          <w:top w:w="0" w:type="dxa"/>
          <w:left w:w="0" w:type="dxa"/>
          <w:bottom w:w="0" w:type="dxa"/>
          <w:right w:w="0" w:type="dxa"/>
        </w:tblCellMar>
      </w:tblPr>
      <w:tblGrid>
        <w:gridCol w:w="7372"/>
        <w:gridCol w:w="146"/>
        <w:gridCol w:w="226"/>
        <w:gridCol w:w="841"/>
        <w:gridCol w:w="181"/>
        <w:gridCol w:w="146"/>
        <w:gridCol w:w="226"/>
        <w:gridCol w:w="841"/>
        <w:gridCol w:w="226"/>
      </w:tblGrid>
      <w:tr>
        <w:trPr/>
        <w:tc>
          <w:tcPr>
            <w:tcW w:w="737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exercise of common stock options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term loans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60,250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term loans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(32,980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penalties and other costs on extinguishment of debt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promissory notes and embedded warrants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financing obligations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of financing obligations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common stock</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from Merger and PIPE financing, net of transaction costs and other payments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transaction costs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(used in) by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66,385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35,194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(31,273</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period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period</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38,211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Investing and Financing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 of stock-based compensation expense to capitalized software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 (Refer to Note 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contribution from shareholder in conjunction with Credit Agreement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 in conjunction with Credit Agreement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 in conjunction with Lago Term Loan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conversion to common stock</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41,392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warrants from liabilities to equity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liability classified warrants upon Merger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Unvested Founder Shares liability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recorded in accounts payable and accrued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 in exchange for operating lease liability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bookmarkStart w:id="32" w:name="T2006"/>
      <w:bookmarkEnd w:id="32"/>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Summary of Business and Significant Accounting Policies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Times New Roman PS Std;serif" w:hAnsi="Times New Roman PS Std;serif"/>
          <w:b/>
          <w:i w:val="false"/>
          <w:caps w:val="false"/>
          <w:smallCaps w:val="false"/>
          <w:sz w:val="20"/>
        </w:rPr>
        <w:t>dba</w:t>
      </w:r>
      <w:r>
        <w:rPr>
          <w:rFonts w:ascii="Times New Roman PS Std;serif" w:hAnsi="Times New Roman PS Std;serif"/>
          <w:b w:val="false"/>
          <w:i w:val="false"/>
          <w:caps w:val="false"/>
          <w:smallCaps w:val="false"/>
          <w:sz w:val="20"/>
        </w:rPr>
        <w:t>”) name. In February 2019, the Company formed Presto Technology, Inc. as a wholly owned subsidiary located in Ontario, Canada.</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with Ventoux CCM Acquisition Corp.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Trust Proceeds and PIPE Investment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Ventoux’s initial public offering on December 30, 2020, $151,500 was placed in a trust account, (the “Trust”), for which various redemptions of amounts in the Trust were made up until the date of the Merger. On the closing date of the Merger, $9,498 of unredeemed funds were released to Ventoux from the Trust.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$55,400, in a private placement pursuant to the subscription agreements (the “PIPE”). The PIPE investment closed simultaneously with the consummation of the Merger.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Merger, Presto received approximately $49,840 from the Trust and PIPE, net of transaction costs and other payments as set forth as follows:</w:t>
      </w:r>
    </w:p>
    <w:tbl>
      <w:tblPr>
        <w:tblW w:w="6075" w:type="dxa"/>
        <w:jc w:val="left"/>
        <w:tblInd w:w="0" w:type="dxa"/>
        <w:tblCellMar>
          <w:top w:w="0" w:type="dxa"/>
          <w:left w:w="0" w:type="dxa"/>
          <w:bottom w:w="0" w:type="dxa"/>
          <w:right w:w="0" w:type="dxa"/>
        </w:tblCellMar>
      </w:tblPr>
      <w:tblGrid>
        <w:gridCol w:w="4636"/>
        <w:gridCol w:w="146"/>
        <w:gridCol w:w="226"/>
        <w:gridCol w:w="841"/>
        <w:gridCol w:w="226"/>
      </w:tblGrid>
      <w:tr>
        <w:trPr/>
        <w:tc>
          <w:tcPr>
            <w:tcW w:w="46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Cash</w:t>
            </w:r>
          </w:p>
        </w:tc>
      </w:tr>
      <w:tr>
        <w:trPr/>
        <w:tc>
          <w:tcPr>
            <w:tcW w:w="4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Cash-Ventoux Trust and working capital cash</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Cash-PIPE investment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transaction costs and other payments(1)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(15,144</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 reflects (1) the repayment of $1,925 of Ventoux related party loans utilizing proceeds from Trust, (2) the payment of $7,771 in Ventoux transaction costs related to the Merger, (3) the payment of $4,874 in Legacy Presto transaction costs related to the Merger and (4) the payment of certain other costs not directly related to the Merger in the amount of $499. Legacy Presto also incurred $2,090 in transaction costs which were paid via the issuance of 260,000 Company shares. Further in conjunction with the Merger, Legacy Presto incurred $3,247 in transaction costs which were either paid prior to or after the Merger. As of December 31, 2022, all of the transaction costs incurred by Legacy Presto are paid. Accordingly, in total Legacy Presto incurred transaction costs of $10,431.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Legacy Presto Convertible Promissory Notes and Equity and the Exchange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Earnout Arrangement with holders of Legacy Presto Common Stock and Outstanding Equity Awards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7,500,000 shares, if, during the period from and after the closing of the Merger until the third anniversary of the closing of the Merger, the Volume Weighted Average Price (“</w:t>
      </w:r>
      <w:r>
        <w:rPr>
          <w:rFonts w:ascii="Times New Roman PS Std;serif" w:hAnsi="Times New Roman PS Std;serif"/>
          <w:b/>
          <w:i w:val="false"/>
          <w:caps w:val="false"/>
          <w:smallCaps w:val="false"/>
          <w:sz w:val="20"/>
        </w:rPr>
        <w:t>VWAP</w:t>
      </w:r>
      <w:r>
        <w:rPr>
          <w:rFonts w:ascii="Times New Roman PS Std;serif" w:hAnsi="Times New Roman PS Std;serif"/>
          <w:b w:val="false"/>
          <w:i w:val="false"/>
          <w:caps w:val="false"/>
          <w:smallCaps w:val="false"/>
          <w:sz w:val="20"/>
        </w:rPr>
        <w:t>” as defined in the Business Combination Agreement) of Presto Common Stock is greater than or equal to $12.50 for any 20 trading days within a period of 30 consecutive trading days,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earnout shares are equity classified since they do not meet the liability classification criteria outlined in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During the period from the date of the Merger through December 31, 2022, the Company recorded stock-based compensation expense associated with earnouts in the amount of $1,874 to equity award holders who held awards associated with the Company’s equity incentive plan and to common stock holders held by current employees and directors, of which $1,267, $455, and $152 are recorded within general and administrative, research and development and sales and marketing expenses, respectively, on the condensed consolidated statement of operations and comprehensive income (loss). During the three months ended December 31, 2022, the Company recorded stock-based compensation expense associated with earnouts, to the same equity award holders as above, in the amount of $1,696, of which $1,135, $423, and $138 are recorded within general and administrative, research and development and sales and marketing expenses, respectively, on the condensed consolidated statement of operations and comprehensive income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2022, unrecognized stock-based compensation expense is $12,221 which is expected to be recognized over a weighted-average period of 2.0 years. Unrecognized stock-based compensation expense for awards with a performance-based vesting condition that was not deemed probable to occur as of December 31, 2022 is $1,024 which is expected to time-vest over a remaining weighted-average period of 4.5 years, subject to the performance-based vesting condition being satisfied or deemed probable, at which point the Company will recognize a cumulative adjustment for the service condition satisfied at such point. As of December 31, 2022, 79,837 earnout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held by current employees and directors were forfeited. The Earnout shares given to common stockholders not held by current employees and directors and warrant holders have been recorded with equal and offsetting effects on additional paid-in capital on its condensed consolidated balance sheet. As of December 31, 2022, all of the earnout shares remain unissued as the conditions to issuance have not been achieved.</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Unvested Founder Share Arrangement with Founders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444,500 founders shares held by the Sponsors (the “unvested founders shares”) became subject to the following vesting and forfeiture provisions: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first 25% of such unvested founder shares owned by the Sponsors vest at such time as a $12.00 Stock Price Level is achieved on or before the date that is five years after the Closing Date,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next 25% of such unvested founder shares owned by the Sponsors vests at such time as a $15.00 Stock Price Level is achieved on or before the date that is five years after the Closing Date,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next 25% of such unvested founder shares owned by the Sponsors vest at such time as a $20.00 Stock Price Level is achieved on or before the date that is five years after the Closing Date and</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remaining 25% of such unvested founder shares owned by the Sponsors shall vest at such time as a $25.00 Stock Price Level is achieved on or before the date that is five years after the Closing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December 31, 2022, all of the unvested founder shares remain unvested as the vesting conditions have not been achieved.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concluded that the unvested founder shares are accounted for as equity-linked instruments under ASC 815-40 and are not indexed to the entity’s own stock and accordingly, such financial instruments are classified as liabilities. With the closing of the Merger, the Company recorded $1,588 within other long-term liabilities. During the period from the closing of the Merger until December 31, 2022 and the three months ended December 31, 2022, the Company recorded a gain on remeasurement of $1,160 and a loss on remeasurement of $15, respectively, which are included in change in fair value of warrants and convertible promissory notes in the condensed consolidated statement of operations and comprehensive income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 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accounted for as a reverse recapitalization in accordance with generally accepted accounting principles in the United States of America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xml:space="preserve">”). Under the guidance in ASC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xml:space="preserve">, Ventoux was treated as the “acquired” company for financial reporting purposes. This 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unaudited condensed consolidated financial statements represents the accounts of Presto and its wholly 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liabilities of Ventoux assumed by the Company was $9,768, which is inclusive of a liability for the private warrants of $9,389 but excludes the $55,400 in PIPE proceeds raised by Ventoux immediately prior to the Merger. The remaining net liabilities assumed from Ventoux were immaterial to the Company.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Cyborg Ops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consequence to the closing of the Merger, bonus and deferred consideration amounts owed to certain founding members of CyborgOps became due and payable resulting in an expense of $1,946, of which $1,878 and $68 has been recorded within research and development and sales and marketing, respectively, in the condensed consolidated statement of operations and comprehensive income (loss) for the six months ended December 31,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remain an emerging growth company until the earliest of (i) the last day of the fiscal year in which the Company’s total annual gross revenue is at least $1,070,000, (ii) the last day of the fiscal year following the fifth anniversary of the completion of Ventoux’s initial public offering, which occurred on December 30, 2020, (iii) the date on which the Company issued more than $1,000,000 in non-convertible debt securities during the prior three-year period, or (iv) the date on which the Company becomes a large accelerated filer.</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interim condensed consolidated financial statements have been prepared in accordance with U.S. GAAP for interim financial reporting and the rules and regulations of the Securities and Exchange Commission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References to ASC and ASU included herein refer to the Accounting Standards Codification and Accounting Standards Update established by the Financial Accounting Standards Board (“</w:t>
      </w:r>
      <w:r>
        <w:rPr>
          <w:rFonts w:ascii="Times New Roman PS Std;serif" w:hAnsi="Times New Roman PS Std;serif"/>
          <w:b/>
          <w:i w:val="false"/>
          <w:caps w:val="false"/>
          <w:smallCaps w:val="false"/>
          <w:sz w:val="20"/>
        </w:rPr>
        <w:t>FASB</w:t>
      </w:r>
      <w:r>
        <w:rPr>
          <w:rFonts w:ascii="Times New Roman PS Std;serif" w:hAnsi="Times New Roman PS Std;serif"/>
          <w:b w:val="false"/>
          <w:i w:val="false"/>
          <w:caps w:val="false"/>
          <w:smallCaps w:val="false"/>
          <w:sz w:val="20"/>
        </w:rPr>
        <w:t>”) as the source of authoritative U.S. GAAP. All intercompany balances and transactions have been eliminated in consolidation.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December 31, 2022, and its results of operations for the three and six months ended December 31, 2022 and 2021 and cash flows for the six months ended December 31, 2022, and 2021. The results for the three and six months ended December 31, 2022 and 2021, are not necessarily indicative of the results expected for the year or any other periods. These interim financial statements should be read in conjunction with the Legacy Presto’s financial statements and related notes for the fiscal year ended June 30, 2022 included as Exhibit 99.1 of the Current Report on Form 8-K as filed with the SEC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16, 2022, where we include additional information on our critical accounting estimates, policies, and the methods and assumptions used in our estimates. The unaudited condensed consolidated balance sheet as of June 30, 2022, has been derived from the Company’s audited financial statements.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Revision of Prior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September 30, 2022, platform revenue was overstated by $422 and platform cost of revenue was overstated by $422 as the Company recognized revenue generated from Customer D (refer to Concentration of Risks, Significant Customers and Investments section below) using the AI Platform on a gross basis in its condensed consolidated statement of operations. For the three and six months ended December 31, 2022, the Company determined revenue recognized from Customer D should be recognized on a net basis as the Company is the agent in this relationship between its hardware and software vendor and the customer (refer to Note 2) and accordingly, has reclassified the amounts recorded during the three months ended September 30, 2022 to correct this immaterial error in presentation. Further, certain costs incurred of $119 related to a vendor servicing the Company’s contract with Customer D were inappropriately recognized in research and development expense for the three months ended September 30,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Company has reclassified the amounts recorded in research and development expense to platform cost of sales to correct this immaterial error in presentation.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 and Uncertainties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on the restaurant industry.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Impact of COVID-19</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and is subject to risks and uncertainties because of the outbreak of COVID-19,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the pandemic, certain of these restrictions have been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PS Std;serif" w:hAnsi="Times New Roman PS Std;serif"/>
          <w:b/>
          <w:i w:val="false"/>
          <w:caps w:val="false"/>
          <w:smallCaps w:val="false"/>
          <w:sz w:val="20"/>
        </w:rPr>
        <w:t>PPP</w:t>
      </w:r>
      <w:r>
        <w:rPr>
          <w:rFonts w:ascii="Times New Roman PS Std;serif" w:hAnsi="Times New Roman PS Std;serif"/>
          <w:b w:val="false"/>
          <w:i w:val="false"/>
          <w:caps w:val="false"/>
          <w:smallCaps w:val="false"/>
          <w:sz w:val="20"/>
        </w:rPr>
        <w:t>”), to assist with the economic hardships caused by the pandemic. In March 2021, the Company received a second loan of approximately $2,000 under the PPP. In August 2021, the Company was granted forgiveness of the first loan of approximately $2,599. In July 2022, the Company was granted forgiveness of the second loan of approximately $2,000. Refer to Note 7 for further details.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three and six months ended December 31,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losses on infrequent customer repairs of $28 and $463 for the three and six months ended December 31, 2021, respectively, for this issue. The Company has an outstanding claim to recover the costs from its third-party subcontractor who manufactures the hardware, for which the Company received a favorable arbitrator ruling in June 2022. Refer to Note 8 for further details.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severity of the continued impact of the COVID-19 pandemic or similar pandemics in the future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the Company’s principal sources of liquidity were cash and cash equivalents of $38,211 and $3,017, respectively, which were held for working capital purposes.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$27,765 and $13,607 for the six months ended December 31, 2022 and 2021, respectively. As of December 31, 2022 and June 30, 2022, respectively, the Company had an accumulated deficit of $183,023 and $200,783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$49,840 from the completion of the Merger and raised net cash proceeds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$13,730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condensed consolidated financial statements have been prepared on a going concern basis, which contemplates the realization of assets and satisfaction of liabilities in the normal course of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 Significant Customers and Investments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three largest restaurant logos (including, as applicable, the franchisees of such restaurants aggregated as a single customer for reporting purposes) accounted for more than 10% of revenues:</w:t>
      </w:r>
    </w:p>
    <w:tbl>
      <w:tblPr>
        <w:tblW w:w="6064" w:type="dxa"/>
        <w:jc w:val="left"/>
        <w:tblInd w:w="0" w:type="dxa"/>
        <w:tblCellMar>
          <w:top w:w="0" w:type="dxa"/>
          <w:left w:w="0" w:type="dxa"/>
          <w:bottom w:w="0" w:type="dxa"/>
          <w:right w:w="0" w:type="dxa"/>
        </w:tblCellMar>
      </w:tblPr>
      <w:tblGrid>
        <w:gridCol w:w="1531"/>
        <w:gridCol w:w="146"/>
        <w:gridCol w:w="547"/>
        <w:gridCol w:w="452"/>
        <w:gridCol w:w="230"/>
        <w:gridCol w:w="547"/>
        <w:gridCol w:w="457"/>
        <w:gridCol w:w="146"/>
        <w:gridCol w:w="477"/>
        <w:gridCol w:w="395"/>
        <w:gridCol w:w="201"/>
        <w:gridCol w:w="477"/>
        <w:gridCol w:w="458"/>
      </w:tblGrid>
      <w:tr>
        <w:trPr/>
        <w:tc>
          <w:tcPr>
            <w:tcW w:w="15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33"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shd w:fill="auto" w:val="clear"/>
            <w:vAlign w:val="bottom"/>
          </w:tcPr>
          <w:p>
            <w:pPr>
              <w:pStyle w:val="TableContents"/>
              <w:spacing w:before="0" w:after="283"/>
              <w:rPr/>
            </w:pPr>
            <w:r>
              <w:rPr/>
              <w:t> </w:t>
            </w:r>
          </w:p>
        </w:tc>
        <w:tc>
          <w:tcPr>
            <w:tcW w:w="2008"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15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9"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30" w:type="dxa"/>
            <w:tcBorders/>
            <w:shd w:fill="auto" w:val="clear"/>
            <w:vAlign w:val="bottom"/>
          </w:tcPr>
          <w:p>
            <w:pPr>
              <w:pStyle w:val="TableContents"/>
              <w:spacing w:before="0" w:after="283"/>
              <w:rPr/>
            </w:pPr>
            <w:r>
              <w:rPr/>
              <w:t> </w:t>
            </w:r>
          </w:p>
        </w:tc>
        <w:tc>
          <w:tcPr>
            <w:tcW w:w="100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01"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45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4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39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4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5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9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5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5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9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47"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452"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shd w:fill="auto" w:val="clear"/>
            <w:vAlign w:val="bottom"/>
          </w:tcPr>
          <w:p>
            <w:pPr>
              <w:pStyle w:val="TableContents"/>
              <w:spacing w:before="0" w:after="283"/>
              <w:rPr/>
            </w:pPr>
            <w:r>
              <w:rPr/>
              <w:t> </w:t>
            </w:r>
          </w:p>
        </w:tc>
        <w:tc>
          <w:tcPr>
            <w:tcW w:w="547"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5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77"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395"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shd w:fill="auto" w:val="clear"/>
            <w:vAlign w:val="bottom"/>
          </w:tcPr>
          <w:p>
            <w:pPr>
              <w:pStyle w:val="TableContents"/>
              <w:spacing w:before="0" w:after="283"/>
              <w:rPr/>
            </w:pPr>
            <w:r>
              <w:rPr/>
              <w:t> </w:t>
            </w:r>
          </w:p>
        </w:tc>
        <w:tc>
          <w:tcPr>
            <w:tcW w:w="477"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458"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decrease in revenue is attributable to the customer relationship cancellation with certain franchisees within Customer 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restaurant logos accounted for more than 10% of accounts receivable:</w:t>
      </w:r>
    </w:p>
    <w:tbl>
      <w:tblPr>
        <w:tblW w:w="4315" w:type="dxa"/>
        <w:jc w:val="left"/>
        <w:tblInd w:w="0" w:type="dxa"/>
        <w:tblCellMar>
          <w:top w:w="0" w:type="dxa"/>
          <w:left w:w="0" w:type="dxa"/>
          <w:bottom w:w="0" w:type="dxa"/>
          <w:right w:w="0" w:type="dxa"/>
        </w:tblCellMar>
      </w:tblPr>
      <w:tblGrid>
        <w:gridCol w:w="1531"/>
        <w:gridCol w:w="146"/>
        <w:gridCol w:w="829"/>
        <w:gridCol w:w="687"/>
        <w:gridCol w:w="146"/>
        <w:gridCol w:w="498"/>
        <w:gridCol w:w="478"/>
      </w:tblGrid>
      <w:tr>
        <w:trPr/>
        <w:tc>
          <w:tcPr>
            <w:tcW w:w="15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6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6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7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rPr/>
            </w:pPr>
            <w:r>
              <w:rPr/>
              <w:t>—</w:t>
            </w:r>
          </w:p>
        </w:tc>
        <w:tc>
          <w:tcPr>
            <w:tcW w:w="4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6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29"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68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98"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478"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Customers with a dash accounted for less than 10% of accounts receivable at period end.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exposed to vendor concentration risk as it supplies tablets from one vendor and currently sources its hardware and software used in the AI Platform from one vendor. The Company’s operating results could be adversely affected should any of the following occur: the vendor used to supply tablets increases their prices or either vendor incurs disruptions in its supply of goods or services.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defined as components of an enterprise for which separate financial information is available that is evaluated regularly by the chief operating decision maker (“</w:t>
      </w:r>
      <w:r>
        <w:rPr>
          <w:rFonts w:ascii="Times New Roman PS Std;serif" w:hAnsi="Times New Roman PS Std;serif"/>
          <w:b/>
          <w:i w:val="false"/>
          <w:caps w:val="false"/>
          <w:smallCaps w:val="false"/>
          <w:sz w:val="20"/>
        </w:rPr>
        <w:t>CODM</w:t>
      </w:r>
      <w:r>
        <w:rPr>
          <w:rFonts w:ascii="Times New Roman PS Std;serif" w:hAnsi="Times New Roman PS Std;serif"/>
          <w:b w:val="false"/>
          <w:i w:val="false"/>
          <w:caps w:val="false"/>
          <w:smallCaps w:val="false"/>
          <w:sz w:val="20"/>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 The Company had interest income of $299 and $309 for the three and six months ended December 31, 2022. The Company had no interest income during the three and six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operations in the United States and Canada. The Company earns primarily all of its revenue in the United States and all of its long-lived assets are held in the United States.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 in non-affiliate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real estate facilities under a non-cancelable operating lease with remaining lease terms of 6 months to 3 years. The Company determines if an arrangement contains a lease at inception based on whether there is an identified property or equipment and whether the Company controls the use of the identified asset throughout the period of use.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adopted ASU No. 2016-02,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Topic 842</w:t>
      </w:r>
      <w:r>
        <w:rPr>
          <w:rFonts w:ascii="Times New Roman PS Std;serif" w:hAnsi="Times New Roman PS Std;serif"/>
          <w:b w:val="false"/>
          <w:i w:val="false"/>
          <w:caps w:val="false"/>
          <w:smallCaps w:val="false"/>
          <w:sz w:val="20"/>
        </w:rPr>
        <w:t>) on July 1, 2022, using the modified retrospective approach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operating expenses, or other costs. Variable lease payments are recognized in the period in which the obligation for those payments are incurred. In addition, the Company does not recognize ROU assets or lease liabilities for leases with a term of 12 months or less of all asset classes; lease expense from these leases are recognized on a straight-line basis over the lease term.</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and 2021, the Company derived its revenues from two revenue streams: (1) sales and leases of the Presto Touch and AI Platform products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and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platform revenue stream is generated from fees charged to customers for access to the Company’s Presto Touch, which is recognized ratably. Part of the total contract value is due upon execution of the contract, and the remainder is due when the customer goes live. The contracts with customers are generally for a term ranging from 12 to 48 months. Amounts invoiced in excess of revenue recognized are recorded as deferred revenue. Revenue generated from the AI Platform (previously Voice and Vision) was not material for the three and six months ended December 31, 2022 and 2021. Such revenue generated from the AI Platform is inclusive of contra-revenue related to the fair value of the warrant treated as a reduction to the transaction price of an AI Platform customer of $409 and $615 for the three and six months ended December 31, 2022, respectively. For further details of the terms of the warrant, refer to Note 10.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maintains arrangements with certain customers whereby the Company leases the Presto Touch to its customer. Revenue associated with the lease is recognized on a straight-line basis as platform revenue over the lease term in the condensed consolidated statements of operations and comprehensive loss.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revenue recognition through the following steps: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contract, or contracts, with a customer — the Company enters into a master sales agreement (“</w:t>
      </w:r>
      <w:r>
        <w:rPr>
          <w:rFonts w:ascii="Times New Roman PS Std;serif" w:hAnsi="Times New Roman PS Std;serif"/>
          <w:b/>
          <w:i w:val="false"/>
          <w:caps w:val="false"/>
          <w:smallCaps w:val="false"/>
          <w:sz w:val="20"/>
        </w:rPr>
        <w:t>MSA</w:t>
      </w:r>
      <w:r>
        <w:rPr>
          <w:rFonts w:ascii="Times New Roman PS Std;serif" w:hAnsi="Times New Roman PS Std;serif"/>
          <w:b w:val="false"/>
          <w:i w:val="false"/>
          <w:caps w:val="false"/>
          <w:smallCaps w:val="false"/>
          <w:sz w:val="20"/>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pStyle w:val="TextBody"/>
        <w:keepNext w:val="false"/>
        <w:pageBreakBefore w:val="false"/>
        <w:widowControl/>
        <w:pBdr/>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identified the following performance obligations: for the MSAs and license agreements, 1) sales or leases of hardware, software-as-a-service (“</w:t>
      </w:r>
      <w:r>
        <w:rPr>
          <w:rFonts w:ascii="Times New Roman PS Std;serif" w:hAnsi="Times New Roman PS Std;serif"/>
          <w:b/>
          <w:i w:val="false"/>
          <w:caps w:val="false"/>
          <w:smallCaps w:val="false"/>
          <w:sz w:val="20"/>
        </w:rPr>
        <w:t>Saas</w:t>
      </w:r>
      <w:r>
        <w:rPr>
          <w:rFonts w:ascii="Times New Roman PS Std;serif" w:hAnsi="Times New Roman PS Std;serif"/>
          <w:b w:val="false"/>
          <w:i w:val="false"/>
          <w:caps w:val="false"/>
          <w:smallCaps w:val="false"/>
          <w:sz w:val="20"/>
        </w:rPr>
        <w:t>”) and maintenance as one combined performance obligation (“</w:t>
      </w:r>
      <w:r>
        <w:rPr>
          <w:rFonts w:ascii="Times New Roman PS Std;serif" w:hAnsi="Times New Roman PS Std;serif"/>
          <w:b/>
          <w:i w:val="false"/>
          <w:caps w:val="false"/>
          <w:smallCaps w:val="false"/>
          <w:sz w:val="20"/>
        </w:rPr>
        <w:t>Presto Touch</w:t>
      </w:r>
      <w:r>
        <w:rPr>
          <w:rFonts w:ascii="Times New Roman PS Std;serif" w:hAnsi="Times New Roman PS Std;serif"/>
          <w:b w:val="false"/>
          <w:i w:val="false"/>
          <w:caps w:val="false"/>
          <w:smallCaps w:val="false"/>
          <w:sz w:val="20"/>
        </w:rPr>
        <w:t>”) and for gaming agreements, 2) premium content, or gaming. Professional services were insignificant during the three and six months ended December 31, 2022 and 2021.</w:t>
      </w:r>
    </w:p>
    <w:p>
      <w:pPr>
        <w:pStyle w:val="TextBody"/>
        <w:keepNext w:val="false"/>
        <w:pageBreakBefore w:val="false"/>
        <w:widowControl/>
        <w:pBdr/>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Touch is considered a single performance obligation because each element of the Presto Touch is interdependent and cannot function independently. The software and hardware for the Presto Touch represent one combined output and the customer cannot benefit from the use of one element without the other.</w:t>
      </w:r>
    </w:p>
    <w:p>
      <w:pPr>
        <w:pStyle w:val="TextBody"/>
        <w:keepNext w:val="false"/>
        <w:pageBreakBefore w:val="false"/>
        <w:widowControl/>
        <w:pBdr/>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Determination of the transaction price — the Company’s MSAs stipulate the terms and conditions, and separate license agreements dictate the transaction price, and typically outlines as a price per store location or price per number of Presto Touches used.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computes net income (loss) per share, or earnings per share (“EPS”), following ASC Topic 260, </w:t>
      </w:r>
      <w:r>
        <w:rPr>
          <w:rFonts w:ascii="Times New Roman PS Std;serif" w:hAnsi="Times New Roman PS Std;serif"/>
          <w:b w:val="false"/>
          <w:i/>
          <w:caps w:val="false"/>
          <w:smallCaps w:val="false"/>
          <w:sz w:val="20"/>
        </w:rPr>
        <w:t>Earnings per Share</w:t>
      </w:r>
      <w:r>
        <w:rPr>
          <w:rFonts w:ascii="Times New Roman PS Std;serif" w:hAnsi="Times New Roman PS Std;serif"/>
          <w:b w:val="false"/>
          <w:i w:val="false"/>
          <w:caps w:val="false"/>
          <w:smallCaps w:val="false"/>
          <w:sz w:val="20"/>
        </w:rPr>
        <w:t>. Basic EPS is measured as the income or loss available to common stockholders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Standards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 new standard resulted in recognition of an operating lease ROU asset and operating lease liability of $510 and $516,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2019, the FASB issued ASU No. 2019-12, </w:t>
      </w:r>
      <w:r>
        <w:rPr>
          <w:rFonts w:ascii="Times New Roman PS Std;serif" w:hAnsi="Times New Roman PS Std;serif"/>
          <w:b w:val="false"/>
          <w:i/>
          <w:caps w:val="false"/>
          <w:smallCaps w:val="false"/>
          <w:sz w:val="20"/>
        </w:rPr>
        <w:t>Income Taxes (Topic 740): Simplifying the Accounting for Income Taxes</w:t>
      </w:r>
      <w:r>
        <w:rPr>
          <w:rFonts w:ascii="Times New Roman PS Std;serif" w:hAnsi="Times New Roman PS Std;serif"/>
          <w:b w:val="false"/>
          <w:i w:val="false"/>
          <w:caps w:val="false"/>
          <w:smallCaps w:val="false"/>
          <w:sz w:val="20"/>
        </w:rPr>
        <w:t>, which simplifies the accounting for income taxes by eliminating some 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October 2021, the FASB issued ASU 2021-08, </w:t>
      </w:r>
      <w:r>
        <w:rPr>
          <w:rFonts w:ascii="Times New Roman PS Std;serif" w:hAnsi="Times New Roman PS Std;serif"/>
          <w:b w:val="false"/>
          <w:i/>
          <w:caps w:val="false"/>
          <w:smallCaps w:val="false"/>
          <w:sz w:val="20"/>
        </w:rPr>
        <w:t xml:space="preserve">Business Combinations (Topic 805): Accounting for Contract Assets and Contract Liabilities from Contracts with Customers, </w:t>
      </w:r>
      <w:r>
        <w:rPr>
          <w:rFonts w:ascii="Times New Roman PS Std;serif" w:hAnsi="Times New Roman PS Std;serif"/>
          <w:b w:val="false"/>
          <w:i w:val="false"/>
          <w:caps w:val="false"/>
          <w:smallCaps w:val="false"/>
          <w:sz w:val="20"/>
        </w:rPr>
        <w:t>which requires an acquirer to recognize and measure contract assets and contract 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Standards Not Yet Adopted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w:t>
      </w:r>
      <w:r>
        <w:rPr>
          <w:rFonts w:ascii="Times New Roman PS Std;serif" w:hAnsi="Times New Roman PS Std;serif"/>
          <w:b w:val="false"/>
          <w:i/>
          <w:caps w:val="false"/>
          <w:smallCaps w:val="false"/>
          <w:sz w:val="20"/>
        </w:rPr>
        <w:t>Financial Instruments Topic 326: Credit Losses Measurement of Credit Losses on Financial Instruments (Topic 326)</w:t>
      </w:r>
      <w:r>
        <w:rPr>
          <w:rFonts w:ascii="Times New Roman PS Std;serif" w:hAnsi="Times New Roman PS Std;serif"/>
          <w:b w:val="false"/>
          <w:i w:val="false"/>
          <w:caps w:val="false"/>
          <w:smallCaps w:val="false"/>
          <w:sz w:val="20"/>
        </w:rPr>
        <w:t xml:space="preserve">,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August 2020, the FASB issued ASU 2020 06, </w:t>
      </w:r>
      <w:r>
        <w:rPr>
          <w:rFonts w:ascii="Times New Roman PS Std;serif" w:hAnsi="Times New Roman PS Std;serif"/>
          <w:b w:val="false"/>
          <w:i/>
          <w:caps w:val="false"/>
          <w:smallCaps w:val="false"/>
          <w:sz w:val="20"/>
        </w:rPr>
        <w:t>Debt — Debt with Conversion and Other Options (Subtopic 470-20) and Derivatives and Hedging — Contracts in Entity’s Own Equity</w:t>
      </w:r>
      <w:r>
        <w:rPr>
          <w:rFonts w:ascii="Times New Roman PS Std;serif" w:hAnsi="Times New Roman PS Std;serif"/>
          <w:b w:val="false"/>
          <w:i w:val="false"/>
          <w:caps w:val="false"/>
          <w:smallCaps w:val="false"/>
          <w:sz w:val="20"/>
        </w:rPr>
        <w:t>, which simplifies the 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2020 with an update in January 2021, the FASB issued ASU 2020 04</w:t>
      </w:r>
      <w:r>
        <w:rPr>
          <w:rFonts w:ascii="Times New Roman PS Std;serif" w:hAnsi="Times New Roman PS Std;serif"/>
          <w:b w:val="false"/>
          <w:i/>
          <w:caps w:val="false"/>
          <w:smallCaps w:val="false"/>
          <w:sz w:val="20"/>
        </w:rPr>
        <w:t>, Reference Rate Reform (Topic 848): Facilitation of the Effects of Reference Rate Reform on Financial Reporting</w:t>
      </w:r>
      <w:r>
        <w:rPr>
          <w:rFonts w:ascii="Times New Roman PS Std;serif" w:hAnsi="Times New Roman PS Std;serif"/>
          <w:b w:val="false"/>
          <w:i w:val="false"/>
          <w:caps w:val="false"/>
          <w:smallCaps w:val="false"/>
          <w:sz w:val="20"/>
        </w:rPr>
        <w:t xml:space="preserve">, and ASU 2021 01, </w:t>
      </w:r>
      <w:r>
        <w:rPr>
          <w:rFonts w:ascii="Times New Roman PS Std;serif" w:hAnsi="Times New Roman PS Std;serif"/>
          <w:b w:val="false"/>
          <w:i/>
          <w:caps w:val="false"/>
          <w:smallCaps w:val="false"/>
          <w:sz w:val="20"/>
        </w:rPr>
        <w:t>Reference Rate Reform (Topic 848)</w:t>
      </w:r>
      <w:r>
        <w:rPr>
          <w:rFonts w:ascii="Times New Roman PS Std;serif" w:hAnsi="Times New Roman PS Std;serif"/>
          <w:b w:val="false"/>
          <w:i w:val="false"/>
          <w:caps w:val="false"/>
          <w:smallCaps w:val="false"/>
          <w:sz w:val="20"/>
        </w:rPr>
        <w:t>, which provides optional expedients and exceptions for applying current U.S. GAAP to contracts, hedging relationships, and other transactions affected by the discontinuation of the London Interbank Offered Rate (“</w:t>
      </w:r>
      <w:r>
        <w:rPr>
          <w:rFonts w:ascii="Times New Roman PS Std;serif" w:hAnsi="Times New Roman PS Std;serif"/>
          <w:b/>
          <w:i w:val="false"/>
          <w:caps w:val="false"/>
          <w:smallCaps w:val="false"/>
          <w:sz w:val="20"/>
        </w:rPr>
        <w:t>LIBOR</w:t>
      </w:r>
      <w:r>
        <w:rPr>
          <w:rFonts w:ascii="Times New Roman PS Std;serif" w:hAnsi="Times New Roman PS Std;serif"/>
          <w:b w:val="false"/>
          <w:i w:val="false"/>
          <w:caps w:val="false"/>
          <w:smallCaps w:val="false"/>
          <w:sz w:val="20"/>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Revenue</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Balances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$704 and $516 as of December 31, 2022 and June 30, 2022,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activity in deferred revenue:</w:t>
      </w:r>
    </w:p>
    <w:tbl>
      <w:tblPr>
        <w:tblW w:w="5547" w:type="dxa"/>
        <w:jc w:val="left"/>
        <w:tblInd w:w="0" w:type="dxa"/>
        <w:tblCellMar>
          <w:top w:w="0" w:type="dxa"/>
          <w:left w:w="0" w:type="dxa"/>
          <w:bottom w:w="0" w:type="dxa"/>
          <w:right w:w="0" w:type="dxa"/>
        </w:tblCellMar>
      </w:tblPr>
      <w:tblGrid>
        <w:gridCol w:w="3406"/>
        <w:gridCol w:w="146"/>
        <w:gridCol w:w="370"/>
        <w:gridCol w:w="1255"/>
        <w:gridCol w:w="370"/>
      </w:tblGrid>
      <w:tr>
        <w:trPr/>
        <w:tc>
          <w:tcPr>
            <w:tcW w:w="34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99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Revenue</w:t>
            </w:r>
          </w:p>
        </w:tc>
      </w:tr>
      <w:tr>
        <w:trPr/>
        <w:tc>
          <w:tcPr>
            <w:tcW w:w="34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June 30, 2021</w:t>
            </w:r>
          </w:p>
        </w:tc>
        <w:tc>
          <w:tcPr>
            <w:tcW w:w="146"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25,623</w:t>
            </w:r>
          </w:p>
        </w:tc>
        <w:tc>
          <w:tcPr>
            <w:tcW w:w="3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4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3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4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(8,057</w:t>
            </w:r>
          </w:p>
        </w:tc>
        <w:tc>
          <w:tcPr>
            <w:tcW w:w="37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2021</w:t>
            </w:r>
          </w:p>
        </w:tc>
        <w:tc>
          <w:tcPr>
            <w:tcW w:w="146" w:type="dxa"/>
            <w:tcBorders/>
            <w:shd w:fill="auto" w:val="clear"/>
            <w:vAlign w:val="bottom"/>
          </w:tcPr>
          <w:p>
            <w:pPr>
              <w:pStyle w:val="TableContents"/>
              <w:spacing w:before="0" w:after="283"/>
              <w:rPr/>
            </w:pPr>
            <w:r>
              <w:rPr/>
              <w:t> </w:t>
            </w:r>
          </w:p>
        </w:tc>
        <w:tc>
          <w:tcPr>
            <w:tcW w:w="37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18,319</w:t>
            </w:r>
          </w:p>
        </w:tc>
        <w:tc>
          <w:tcPr>
            <w:tcW w:w="3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Revenue </w:t>
      </w:r>
      <w:r>
        <w:rPr>
          <w:rFonts w:ascii="Times New Roman PS Std;serif" w:hAnsi="Times New Roman PS Std;serif"/>
          <w:b w:val="false"/>
          <w:i w:val="false"/>
          <w:caps w:val="false"/>
          <w:smallCaps w:val="false"/>
          <w:sz w:val="20"/>
        </w:rPr>
        <w:t>(cont.)</w:t>
      </w:r>
    </w:p>
    <w:tbl>
      <w:tblPr>
        <w:tblW w:w="5547" w:type="dxa"/>
        <w:jc w:val="left"/>
        <w:tblInd w:w="0" w:type="dxa"/>
        <w:tblCellMar>
          <w:top w:w="0" w:type="dxa"/>
          <w:left w:w="0" w:type="dxa"/>
          <w:bottom w:w="0" w:type="dxa"/>
          <w:right w:w="0" w:type="dxa"/>
        </w:tblCellMar>
      </w:tblPr>
      <w:tblGrid>
        <w:gridCol w:w="3406"/>
        <w:gridCol w:w="146"/>
        <w:gridCol w:w="370"/>
        <w:gridCol w:w="1255"/>
        <w:gridCol w:w="370"/>
      </w:tblGrid>
      <w:tr>
        <w:trPr/>
        <w:tc>
          <w:tcPr>
            <w:tcW w:w="34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99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Revenue</w:t>
            </w:r>
          </w:p>
        </w:tc>
      </w:tr>
      <w:tr>
        <w:trPr/>
        <w:tc>
          <w:tcPr>
            <w:tcW w:w="34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June 30, 2022</w:t>
            </w:r>
          </w:p>
        </w:tc>
        <w:tc>
          <w:tcPr>
            <w:tcW w:w="146"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10,769</w:t>
            </w:r>
          </w:p>
        </w:tc>
        <w:tc>
          <w:tcPr>
            <w:tcW w:w="3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4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1,348</w:t>
            </w:r>
          </w:p>
        </w:tc>
        <w:tc>
          <w:tcPr>
            <w:tcW w:w="3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4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(7,975</w:t>
            </w:r>
          </w:p>
        </w:tc>
        <w:tc>
          <w:tcPr>
            <w:tcW w:w="37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2022</w:t>
            </w:r>
          </w:p>
        </w:tc>
        <w:tc>
          <w:tcPr>
            <w:tcW w:w="146" w:type="dxa"/>
            <w:tcBorders/>
            <w:shd w:fill="auto" w:val="clear"/>
            <w:vAlign w:val="bottom"/>
          </w:tcPr>
          <w:p>
            <w:pPr>
              <w:pStyle w:val="TableContents"/>
              <w:spacing w:before="0" w:after="283"/>
              <w:rPr/>
            </w:pPr>
            <w:r>
              <w:rPr/>
              <w:t> </w:t>
            </w:r>
          </w:p>
        </w:tc>
        <w:tc>
          <w:tcPr>
            <w:tcW w:w="37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4,142</w:t>
            </w:r>
          </w:p>
        </w:tc>
        <w:tc>
          <w:tcPr>
            <w:tcW w:w="3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approximately $4,450 of revenue is expected to be recognized from remaining performance obligations for customer contracts. The Company expects to recognize revenue on approximately $3,841 of these remaining performance obligations over the next 12 months with the balance recognized thereafter.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December 31, 2022 and June 30, 2022, the Company had incurred $0 and $170 of accrued interest expense,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29, 2021, the Company entered into a settlement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$171 interest expense was recognized against the prepaid interest balance, $3,200 was recognized as a reduction to accounts payable for the payment of the outstanding marketing development amount in October 2021. Revenue relating to the installation and replacement services provided as a part of the contract modification was $99 and $351 for the three and six months ended December 31, 2022, respectively, and $322 and $354 was recognized as revenue relating to the installation and replacement services provided as part of the contract modification for the three and six months ended December 31, 2021. The Company will continue to offset revenue recognized based on the original $5,000 marketing development fund.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will be recorded as contra-revenue. Contra-revenue recognized related to the warrant was $409 and $615 for the three and six months ended December 31, 2022, respectively. There was no contra-revenue recognized during the three or six months ended December 31,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 Platform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share paid to the Company’s hardware and software vendor under the Company’s AI Platform revenue share agreement ranged from 64% – 68% of the gross billings to the customer for the three and six months ended December 31,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commissions paid to restaurants under the Company’s gaming revenue share agreements ranged between 83% – 90% and 83% – 92% of premium content revenue by customer logo for the three and six months ended December 31, 2022, respectively, while the commissions paid to restaurants under the Company’s gaming revenue share agreements ranged between 81% – 90% and 79% – 96% of premium content revenue by customer logo for the three and six months ended December 31, 2021, respectively.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single country other than the United States represented 10% or more of the Company’s revenue during three and six months ended December 31, 2022 and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December 31, 2022, $435 and $835 of revenue was from leasing arrangements, respectively, while for the three and six months ended December 31, 2021, $619 and $1,252 of revenue was from leasing arrangements,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Fair Value Measurements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all financial instruments measured at fair value:</w:t>
      </w:r>
    </w:p>
    <w:tbl>
      <w:tblPr>
        <w:tblW w:w="7671" w:type="dxa"/>
        <w:jc w:val="left"/>
        <w:tblInd w:w="0" w:type="dxa"/>
        <w:tblCellMar>
          <w:top w:w="0" w:type="dxa"/>
          <w:left w:w="0" w:type="dxa"/>
          <w:bottom w:w="0" w:type="dxa"/>
          <w:right w:w="0" w:type="dxa"/>
        </w:tblCellMar>
      </w:tblPr>
      <w:tblGrid>
        <w:gridCol w:w="3361"/>
        <w:gridCol w:w="146"/>
        <w:gridCol w:w="226"/>
        <w:gridCol w:w="766"/>
        <w:gridCol w:w="146"/>
        <w:gridCol w:w="326"/>
        <w:gridCol w:w="499"/>
        <w:gridCol w:w="146"/>
        <w:gridCol w:w="226"/>
        <w:gridCol w:w="646"/>
        <w:gridCol w:w="146"/>
        <w:gridCol w:w="226"/>
        <w:gridCol w:w="811"/>
      </w:tblGrid>
      <w:tr>
        <w:trPr/>
        <w:tc>
          <w:tcPr>
            <w:tcW w:w="33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164" w:type="dxa"/>
            <w:gridSpan w:val="11"/>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33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3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spacing w:before="0" w:after="283"/>
              <w:rPr/>
            </w:pPr>
            <w:r>
              <w:rPr/>
              <w:t> </w:t>
            </w:r>
          </w:p>
        </w:tc>
      </w:tr>
      <w:tr>
        <w:trPr/>
        <w:tc>
          <w:tcPr>
            <w:tcW w:w="336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auto" w:val="clear"/>
            <w:vAlign w:val="bottom"/>
          </w:tcPr>
          <w:p>
            <w:pPr>
              <w:pStyle w:val="TableContents"/>
              <w:spacing w:before="0" w:after="283"/>
              <w:rPr/>
            </w:pPr>
            <w:r>
              <w:rPr/>
              <w:t> </w:t>
            </w:r>
          </w:p>
        </w:tc>
      </w:tr>
      <w:tr>
        <w:trPr/>
        <w:tc>
          <w:tcPr>
            <w:tcW w:w="336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r>
      <w:tr>
        <w:trPr/>
        <w:tc>
          <w:tcPr>
            <w:tcW w:w="336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financial assets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c>
          <w:tcPr>
            <w:tcW w:w="146"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r>
      <w:tr>
        <w:trPr/>
        <w:tc>
          <w:tcPr>
            <w:tcW w:w="336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spacing w:before="0" w:after="283"/>
              <w:rPr/>
            </w:pPr>
            <w:r>
              <w:rPr/>
              <w:t> </w:t>
            </w:r>
          </w:p>
        </w:tc>
      </w:tr>
      <w:tr>
        <w:trPr/>
        <w:tc>
          <w:tcPr>
            <w:tcW w:w="33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auto" w:val="clear"/>
            <w:vAlign w:val="bottom"/>
          </w:tcPr>
          <w:p>
            <w:pPr>
              <w:pStyle w:val="TableContents"/>
              <w:spacing w:before="0" w:after="283"/>
              <w:rPr/>
            </w:pPr>
            <w:r>
              <w:rPr/>
              <w:t> </w:t>
            </w:r>
          </w:p>
        </w:tc>
      </w:tr>
      <w:tr>
        <w:trPr/>
        <w:tc>
          <w:tcPr>
            <w:tcW w:w="336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founder shares liability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r>
      <w:tr>
        <w:trPr/>
        <w:tc>
          <w:tcPr>
            <w:tcW w:w="336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r>
      <w:tr>
        <w:trPr/>
        <w:tc>
          <w:tcPr>
            <w:tcW w:w="336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financial liabilities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CCEEFF" w:val="clear"/>
            <w:tcMar>
              <w:bottom w:w="28" w:type="dxa"/>
            </w:tcM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w:t>
            </w:r>
          </w:p>
        </w:tc>
      </w:tr>
    </w:tbl>
    <w:tbl>
      <w:tblPr>
        <w:tblW w:w="9694" w:type="dxa"/>
        <w:jc w:val="left"/>
        <w:tblInd w:w="0" w:type="dxa"/>
        <w:tblCellMar>
          <w:top w:w="0" w:type="dxa"/>
          <w:left w:w="0" w:type="dxa"/>
          <w:bottom w:w="0" w:type="dxa"/>
          <w:right w:w="0" w:type="dxa"/>
        </w:tblCellMar>
      </w:tblPr>
      <w:tblGrid>
        <w:gridCol w:w="5431"/>
        <w:gridCol w:w="146"/>
        <w:gridCol w:w="326"/>
        <w:gridCol w:w="499"/>
        <w:gridCol w:w="146"/>
        <w:gridCol w:w="326"/>
        <w:gridCol w:w="499"/>
        <w:gridCol w:w="146"/>
        <w:gridCol w:w="226"/>
        <w:gridCol w:w="766"/>
        <w:gridCol w:w="146"/>
        <w:gridCol w:w="226"/>
        <w:gridCol w:w="811"/>
      </w:tblGrid>
      <w:tr>
        <w:trPr/>
        <w:tc>
          <w:tcPr>
            <w:tcW w:w="54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117" w:type="dxa"/>
            <w:gridSpan w:val="11"/>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54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spacing w:before="0" w:after="283"/>
              <w:rPr/>
            </w:pPr>
            <w:r>
              <w:rPr/>
              <w:t> </w:t>
            </w:r>
          </w:p>
        </w:tc>
      </w:tr>
      <w:tr>
        <w:trPr/>
        <w:tc>
          <w:tcPr>
            <w:tcW w:w="543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r>
      <w:tr>
        <w:trPr/>
        <w:tc>
          <w:tcPr>
            <w:tcW w:w="543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financial liabilities</w:t>
            </w:r>
          </w:p>
        </w:tc>
        <w:tc>
          <w:tcPr>
            <w:tcW w:w="146"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Assumptions Related to Unvested Founder Share Liability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unvested founder shares liability was determined by the Company using a Monte Carlo valuation model, which requires significant estimates including the expected volatility of our common stock based on the historical volatility of comparable publicly traded companies and the risk-free rate.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 of the unvested founder share liability using the following weighted average assumptions:</w:t>
      </w:r>
    </w:p>
    <w:tbl>
      <w:tblPr>
        <w:tblW w:w="5828" w:type="dxa"/>
        <w:jc w:val="left"/>
        <w:tblInd w:w="0" w:type="dxa"/>
        <w:tblCellMar>
          <w:top w:w="0" w:type="dxa"/>
          <w:left w:w="0" w:type="dxa"/>
          <w:bottom w:w="0" w:type="dxa"/>
          <w:right w:w="0" w:type="dxa"/>
        </w:tblCellMar>
      </w:tblPr>
      <w:tblGrid>
        <w:gridCol w:w="2536"/>
        <w:gridCol w:w="146"/>
        <w:gridCol w:w="1331"/>
        <w:gridCol w:w="724"/>
        <w:gridCol w:w="146"/>
        <w:gridCol w:w="579"/>
        <w:gridCol w:w="366"/>
      </w:tblGrid>
      <w:tr>
        <w:trPr/>
        <w:tc>
          <w:tcPr>
            <w:tcW w:w="25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0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 2022</w:t>
            </w:r>
          </w:p>
        </w:tc>
        <w:tc>
          <w:tcPr>
            <w:tcW w:w="146" w:type="dxa"/>
            <w:tcBorders/>
            <w:shd w:fill="auto" w:val="clear"/>
            <w:vAlign w:val="bottom"/>
          </w:tcPr>
          <w:p>
            <w:pPr>
              <w:pStyle w:val="TableContents"/>
              <w:spacing w:before="0" w:after="283"/>
              <w:rPr/>
            </w:pPr>
            <w:r>
              <w:rPr/>
              <w:t> </w:t>
            </w:r>
          </w:p>
        </w:tc>
        <w:tc>
          <w:tcPr>
            <w:tcW w:w="94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Merger </w:t>
              <w:br/>
              <w:t>Date</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13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w:t>
            </w:r>
          </w:p>
        </w:tc>
        <w:tc>
          <w:tcPr>
            <w:tcW w:w="72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3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13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72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spacing w:before="0" w:after="283"/>
              <w:rPr/>
            </w:pPr>
            <w:r>
              <w:rPr/>
              <w:t> </w:t>
            </w:r>
          </w:p>
        </w:tc>
        <w:tc>
          <w:tcPr>
            <w:tcW w:w="13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72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Assumptions and Other Information Related to Convertible Promissory Notes and Embedded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 of the convertible promissory notes, embedded warrants and accrued interest using the following weighted average assumptions:</w:t>
      </w:r>
    </w:p>
    <w:tbl>
      <w:tblPr>
        <w:tblW w:w="8954" w:type="dxa"/>
        <w:jc w:val="left"/>
        <w:tblInd w:w="0" w:type="dxa"/>
        <w:tblCellMar>
          <w:top w:w="0" w:type="dxa"/>
          <w:left w:w="0" w:type="dxa"/>
          <w:bottom w:w="0" w:type="dxa"/>
          <w:right w:w="0" w:type="dxa"/>
        </w:tblCellMar>
      </w:tblPr>
      <w:tblGrid>
        <w:gridCol w:w="2551"/>
        <w:gridCol w:w="146"/>
        <w:gridCol w:w="816"/>
        <w:gridCol w:w="445"/>
        <w:gridCol w:w="146"/>
        <w:gridCol w:w="816"/>
        <w:gridCol w:w="445"/>
        <w:gridCol w:w="146"/>
        <w:gridCol w:w="776"/>
        <w:gridCol w:w="424"/>
        <w:gridCol w:w="146"/>
        <w:gridCol w:w="616"/>
        <w:gridCol w:w="434"/>
        <w:gridCol w:w="146"/>
        <w:gridCol w:w="901"/>
      </w:tblGrid>
      <w:tr>
        <w:trPr/>
        <w:tc>
          <w:tcPr>
            <w:tcW w:w="255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257" w:type="dxa"/>
            <w:gridSpan w:val="1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25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Next </w:t>
              <w:br/>
              <w:t>Financing –</w:t>
              <w:br/>
              <w:t>Private</w:t>
            </w:r>
          </w:p>
        </w:tc>
        <w:tc>
          <w:tcPr>
            <w:tcW w:w="146" w:type="dxa"/>
            <w:tcBorders/>
            <w:shd w:fill="auto" w:val="clear"/>
            <w:vAlign w:val="bottom"/>
          </w:tcPr>
          <w:p>
            <w:pPr>
              <w:pStyle w:val="TableContents"/>
              <w:spacing w:before="0" w:after="283"/>
              <w:rPr/>
            </w:pPr>
            <w:r>
              <w:rPr/>
              <w:t> </w:t>
            </w:r>
          </w:p>
        </w:tc>
        <w:tc>
          <w:tcPr>
            <w:tcW w:w="12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Next </w:t>
              <w:br/>
              <w:t>Financing –</w:t>
              <w:br/>
              <w:t>Public</w:t>
            </w:r>
          </w:p>
        </w:tc>
        <w:tc>
          <w:tcPr>
            <w:tcW w:w="146" w:type="dxa"/>
            <w:tcBorders/>
            <w:shd w:fill="auto" w:val="clear"/>
            <w:vAlign w:val="bottom"/>
          </w:tcPr>
          <w:p>
            <w:pPr>
              <w:pStyle w:val="TableContents"/>
              <w:spacing w:before="0" w:after="283"/>
              <w:rPr/>
            </w:pPr>
            <w:r>
              <w:rPr/>
              <w:t> </w:t>
            </w:r>
          </w:p>
        </w:tc>
        <w:tc>
          <w:tcPr>
            <w:tcW w:w="120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Control</w:t>
            </w:r>
          </w:p>
        </w:tc>
        <w:tc>
          <w:tcPr>
            <w:tcW w:w="146"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Maturity </w:t>
              <w:br/>
              <w:t>Date</w:t>
            </w:r>
          </w:p>
        </w:tc>
        <w:tc>
          <w:tcPr>
            <w:tcW w:w="14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Default</w:t>
            </w:r>
          </w:p>
        </w:tc>
      </w:tr>
      <w:tr>
        <w:trPr/>
        <w:tc>
          <w:tcPr>
            <w:tcW w:w="25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conversion</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2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3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w:t>
            </w:r>
          </w:p>
        </w:tc>
      </w:tr>
      <w:tr>
        <w:trPr/>
        <w:tc>
          <w:tcPr>
            <w:tcW w:w="25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2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w:t>
            </w:r>
          </w:p>
        </w:tc>
      </w:tr>
      <w:tr>
        <w:trPr/>
        <w:tc>
          <w:tcPr>
            <w:tcW w:w="25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2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3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the difference between the carrying amount and the fair value of Level 3 convertible promissory notes and embedded warrants for which the fair value option was elected:</w:t>
      </w:r>
    </w:p>
    <w:tbl>
      <w:tblPr>
        <w:tblW w:w="9261" w:type="dxa"/>
        <w:jc w:val="left"/>
        <w:tblInd w:w="0" w:type="dxa"/>
        <w:tblCellMar>
          <w:top w:w="0" w:type="dxa"/>
          <w:left w:w="0" w:type="dxa"/>
          <w:bottom w:w="0" w:type="dxa"/>
          <w:right w:w="0" w:type="dxa"/>
        </w:tblCellMar>
      </w:tblPr>
      <w:tblGrid>
        <w:gridCol w:w="5431"/>
        <w:gridCol w:w="146"/>
        <w:gridCol w:w="239"/>
        <w:gridCol w:w="811"/>
        <w:gridCol w:w="146"/>
        <w:gridCol w:w="297"/>
        <w:gridCol w:w="1008"/>
        <w:gridCol w:w="146"/>
        <w:gridCol w:w="226"/>
        <w:gridCol w:w="811"/>
      </w:tblGrid>
      <w:tr>
        <w:trPr/>
        <w:tc>
          <w:tcPr>
            <w:tcW w:w="54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684" w:type="dxa"/>
            <w:gridSpan w:val="8"/>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54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Amount</w:t>
            </w:r>
          </w:p>
        </w:tc>
        <w:tc>
          <w:tcPr>
            <w:tcW w:w="146"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Charged to </w:t>
              <w:br/>
              <w:t>Earnings</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3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shd w:fill="auto" w:val="clear"/>
            <w:vAlign w:val="bottom"/>
          </w:tcPr>
          <w:p>
            <w:pPr>
              <w:pStyle w:val="TableContents"/>
              <w:spacing w:before="0" w:after="283"/>
              <w:rPr/>
            </w:pPr>
            <w:r>
              <w:rPr/>
              <w:t> </w:t>
            </w:r>
          </w:p>
        </w:tc>
        <w:tc>
          <w:tcPr>
            <w:tcW w:w="29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outstanding convertible promissory notes and embedded warrants as of December 31, 2022.</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Assumptions Related to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tbl>
      <w:tblPr>
        <w:tblW w:w="5547" w:type="dxa"/>
        <w:jc w:val="left"/>
        <w:tblInd w:w="0" w:type="dxa"/>
        <w:tblCellMar>
          <w:top w:w="0" w:type="dxa"/>
          <w:left w:w="0" w:type="dxa"/>
          <w:bottom w:w="0" w:type="dxa"/>
          <w:right w:w="0" w:type="dxa"/>
        </w:tblCellMar>
      </w:tblPr>
      <w:tblGrid>
        <w:gridCol w:w="2536"/>
        <w:gridCol w:w="146"/>
        <w:gridCol w:w="295"/>
        <w:gridCol w:w="845"/>
        <w:gridCol w:w="376"/>
        <w:gridCol w:w="146"/>
        <w:gridCol w:w="226"/>
        <w:gridCol w:w="646"/>
        <w:gridCol w:w="331"/>
      </w:tblGrid>
      <w:tr>
        <w:trPr/>
        <w:tc>
          <w:tcPr>
            <w:tcW w:w="25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0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37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c>
          <w:tcPr>
            <w:tcW w:w="3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61.74</w:t>
            </w:r>
          </w:p>
        </w:tc>
        <w:tc>
          <w:tcPr>
            <w:tcW w:w="37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65.72</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5" w:type="dxa"/>
            <w:tcBorders/>
            <w:shd w:fill="auto" w:val="clear"/>
            <w:vAlign w:val="bottom"/>
          </w:tcPr>
          <w:p>
            <w:pPr>
              <w:pStyle w:val="TableContents"/>
              <w:spacing w:before="0" w:after="283"/>
              <w:rPr/>
            </w:pPr>
            <w:r>
              <w:rPr/>
              <w:t>—</w:t>
            </w:r>
          </w:p>
        </w:tc>
        <w:tc>
          <w:tcPr>
            <w:tcW w:w="3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3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3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5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5"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46"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Level 3 Rollforward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changes in the fair value of the Company’s Level 3 liabilities:</w:t>
      </w:r>
    </w:p>
    <w:tbl>
      <w:tblPr>
        <w:tblW w:w="8210" w:type="dxa"/>
        <w:jc w:val="left"/>
        <w:tblInd w:w="0" w:type="dxa"/>
        <w:tblCellMar>
          <w:top w:w="0" w:type="dxa"/>
          <w:left w:w="0" w:type="dxa"/>
          <w:bottom w:w="0" w:type="dxa"/>
          <w:right w:w="0" w:type="dxa"/>
        </w:tblCellMar>
      </w:tblPr>
      <w:tblGrid>
        <w:gridCol w:w="4141"/>
        <w:gridCol w:w="146"/>
        <w:gridCol w:w="307"/>
        <w:gridCol w:w="1043"/>
        <w:gridCol w:w="146"/>
        <w:gridCol w:w="284"/>
        <w:gridCol w:w="812"/>
        <w:gridCol w:w="146"/>
        <w:gridCol w:w="433"/>
        <w:gridCol w:w="752"/>
      </w:tblGrid>
      <w:tr>
        <w:trPr/>
        <w:tc>
          <w:tcPr>
            <w:tcW w:w="41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 xml:space="preserve">Promissory </w:t>
              <w:br/>
              <w:t xml:space="preserve">Notes and </w:t>
              <w:br/>
              <w:t xml:space="preserve">Embedded </w:t>
              <w:br/>
              <w:t>Warrants</w:t>
            </w:r>
          </w:p>
        </w:tc>
        <w:tc>
          <w:tcPr>
            <w:tcW w:w="146" w:type="dxa"/>
            <w:tcBorders/>
            <w:shd w:fill="auto" w:val="clear"/>
            <w:vAlign w:val="bottom"/>
          </w:tcPr>
          <w:p>
            <w:pPr>
              <w:pStyle w:val="TableContents"/>
              <w:spacing w:before="0" w:after="283"/>
              <w:rPr/>
            </w:pPr>
            <w:r>
              <w:rPr/>
              <w:t> </w:t>
            </w:r>
          </w:p>
        </w:tc>
        <w:tc>
          <w:tcPr>
            <w:tcW w:w="109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 xml:space="preserve">Warrant </w:t>
              <w:br/>
              <w:t>Liabilities</w:t>
            </w:r>
          </w:p>
        </w:tc>
        <w:tc>
          <w:tcPr>
            <w:tcW w:w="146" w:type="dxa"/>
            <w:tcBorders/>
            <w:shd w:fill="auto" w:val="clear"/>
            <w:vAlign w:val="bottom"/>
          </w:tcPr>
          <w:p>
            <w:pPr>
              <w:pStyle w:val="TableContents"/>
              <w:spacing w:before="0" w:after="283"/>
              <w:rPr/>
            </w:pPr>
            <w:r>
              <w:rPr/>
              <w:t> </w:t>
            </w:r>
          </w:p>
        </w:tc>
        <w:tc>
          <w:tcPr>
            <w:tcW w:w="118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 xml:space="preserve">Unvested </w:t>
              <w:br/>
              <w:t xml:space="preserve">Founder </w:t>
              <w:br/>
              <w:t xml:space="preserve">Shares </w:t>
              <w:br/>
              <w:t>Liability</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2021</w:t>
            </w:r>
          </w:p>
        </w:tc>
        <w:tc>
          <w:tcPr>
            <w:tcW w:w="146"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c>
          <w:tcPr>
            <w:tcW w:w="146"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2" w:type="dxa"/>
            <w:tcBorders/>
            <w:shd w:fill="CCEEFF" w:val="clear"/>
            <w:vAlign w:val="bottom"/>
          </w:tcPr>
          <w:p>
            <w:pPr>
              <w:pStyle w:val="TableContents"/>
              <w:spacing w:before="0" w:after="283"/>
              <w:rPr/>
            </w:pPr>
            <w:r>
              <w:rPr/>
              <w:t>—</w:t>
            </w:r>
          </w:p>
        </w:tc>
      </w:tr>
      <w:tr>
        <w:trPr/>
        <w:tc>
          <w:tcPr>
            <w:tcW w:w="4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promissory notes</w:t>
            </w:r>
          </w:p>
        </w:tc>
        <w:tc>
          <w:tcPr>
            <w:tcW w:w="146"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4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2" w:type="dxa"/>
            <w:tcBorders/>
            <w:shd w:fill="auto" w:val="clear"/>
            <w:vAlign w:val="bottom"/>
          </w:tcPr>
          <w:p>
            <w:pPr>
              <w:pStyle w:val="TableContents"/>
              <w:spacing w:before="0" w:after="283"/>
              <w:rPr/>
            </w:pPr>
            <w:r>
              <w:rPr/>
              <w:t>—</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4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26,909</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w:t>
            </w:r>
          </w:p>
        </w:tc>
        <w:tc>
          <w:tcPr>
            <w:tcW w:w="146"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2" w:type="dxa"/>
            <w:tcBorders/>
            <w:shd w:fill="CCEEFF" w:val="clear"/>
            <w:vAlign w:val="bottom"/>
          </w:tcPr>
          <w:p>
            <w:pPr>
              <w:pStyle w:val="TableContents"/>
              <w:spacing w:before="0" w:after="283"/>
              <w:rPr/>
            </w:pPr>
            <w:r>
              <w:rPr/>
              <w:t>—</w:t>
            </w:r>
          </w:p>
        </w:tc>
      </w:tr>
      <w:tr>
        <w:trPr/>
        <w:tc>
          <w:tcPr>
            <w:tcW w:w="4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2021</w:t>
            </w:r>
          </w:p>
        </w:tc>
        <w:tc>
          <w:tcPr>
            <w:tcW w:w="146" w:type="dxa"/>
            <w:tcBorders/>
            <w:shd w:fill="auto" w:val="clear"/>
            <w:vAlign w:val="bottom"/>
          </w:tcPr>
          <w:p>
            <w:pPr>
              <w:pStyle w:val="TableContents"/>
              <w:spacing w:before="0" w:after="283"/>
              <w:rPr/>
            </w:pPr>
            <w:r>
              <w:rPr/>
              <w:t> </w:t>
            </w:r>
          </w:p>
        </w:tc>
        <w:tc>
          <w:tcPr>
            <w:tcW w:w="30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89,990</w:t>
            </w:r>
          </w:p>
        </w:tc>
        <w:tc>
          <w:tcPr>
            <w:tcW w:w="146" w:type="dxa"/>
            <w:tcBorders/>
            <w:shd w:fill="auto" w:val="clear"/>
            <w:vAlign w:val="bottom"/>
          </w:tcPr>
          <w:p>
            <w:pPr>
              <w:pStyle w:val="TableContents"/>
              <w:spacing w:before="0" w:after="283"/>
              <w:rPr/>
            </w:pPr>
            <w:r>
              <w:rPr/>
              <w:t> </w:t>
            </w:r>
          </w:p>
        </w:tc>
        <w:tc>
          <w:tcPr>
            <w:tcW w:w="28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4,202</w:t>
            </w:r>
          </w:p>
        </w:tc>
        <w:tc>
          <w:tcPr>
            <w:tcW w:w="146" w:type="dxa"/>
            <w:tcBorders/>
            <w:shd w:fill="auto" w:val="clear"/>
            <w:vAlign w:val="bottom"/>
          </w:tcPr>
          <w:p>
            <w:pPr>
              <w:pStyle w:val="TableContents"/>
              <w:spacing w:before="0" w:after="283"/>
              <w:rPr/>
            </w:pPr>
            <w:r>
              <w:rPr/>
              <w:t> </w:t>
            </w:r>
          </w:p>
        </w:tc>
        <w:tc>
          <w:tcPr>
            <w:tcW w:w="43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2" w:type="dxa"/>
            <w:tcBorders>
              <w:bottom w:val="double" w:sz="2" w:space="0" w:color="000000"/>
            </w:tcBorders>
            <w:shd w:fill="auto" w:val="clear"/>
            <w:tcMar>
              <w:bottom w:w="28" w:type="dxa"/>
            </w:tcMar>
            <w:vAlign w:val="bottom"/>
          </w:tcPr>
          <w:p>
            <w:pPr>
              <w:pStyle w:val="TableContents"/>
              <w:spacing w:before="0" w:after="283"/>
              <w:rPr/>
            </w:pPr>
            <w:r>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tbl>
      <w:tblPr>
        <w:tblW w:w="10205" w:type="dxa"/>
        <w:jc w:val="left"/>
        <w:tblInd w:w="0" w:type="dxa"/>
        <w:tblCellMar>
          <w:top w:w="0" w:type="dxa"/>
          <w:left w:w="0" w:type="dxa"/>
          <w:bottom w:w="0" w:type="dxa"/>
          <w:right w:w="0" w:type="dxa"/>
        </w:tblCellMar>
      </w:tblPr>
      <w:tblGrid>
        <w:gridCol w:w="6010"/>
        <w:gridCol w:w="146"/>
        <w:gridCol w:w="239"/>
        <w:gridCol w:w="894"/>
        <w:gridCol w:w="194"/>
        <w:gridCol w:w="146"/>
        <w:gridCol w:w="226"/>
        <w:gridCol w:w="841"/>
        <w:gridCol w:w="181"/>
        <w:gridCol w:w="146"/>
        <w:gridCol w:w="227"/>
        <w:gridCol w:w="725"/>
        <w:gridCol w:w="230"/>
      </w:tblGrid>
      <w:tr>
        <w:trPr/>
        <w:tc>
          <w:tcPr>
            <w:tcW w:w="601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32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 xml:space="preserve">Promissory </w:t>
              <w:br/>
              <w:t xml:space="preserve">Notes and </w:t>
              <w:br/>
              <w:t xml:space="preserve">Embedded </w:t>
              <w:br/>
              <w:t>Warrants</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 xml:space="preserve">Warrant </w:t>
              <w:br/>
              <w:t>Liabilities</w:t>
            </w:r>
          </w:p>
        </w:tc>
        <w:tc>
          <w:tcPr>
            <w:tcW w:w="146" w:type="dxa"/>
            <w:tcBorders/>
            <w:shd w:fill="auto" w:val="clear"/>
            <w:vAlign w:val="bottom"/>
          </w:tcPr>
          <w:p>
            <w:pPr>
              <w:pStyle w:val="TableContents"/>
              <w:spacing w:before="0" w:after="283"/>
              <w:rPr/>
            </w:pPr>
            <w:r>
              <w:rPr/>
              <w:t> </w:t>
            </w:r>
          </w:p>
        </w:tc>
        <w:tc>
          <w:tcPr>
            <w:tcW w:w="1182"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 xml:space="preserve">Unvested </w:t>
              <w:br/>
              <w:t xml:space="preserve">Founder </w:t>
              <w:br/>
              <w:t xml:space="preserve">Shares </w:t>
              <w:br/>
              <w:t>Liability</w:t>
            </w:r>
          </w:p>
        </w:tc>
      </w:tr>
      <w:tr>
        <w:trPr/>
        <w:tc>
          <w:tcPr>
            <w:tcW w:w="601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2022</w:t>
            </w:r>
          </w:p>
        </w:tc>
        <w:tc>
          <w:tcPr>
            <w:tcW w:w="14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5"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10"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liability classified warrants to equity</w:t>
            </w:r>
          </w:p>
        </w:tc>
        <w:tc>
          <w:tcPr>
            <w:tcW w:w="14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5" w:type="dxa"/>
            <w:tcBorders/>
            <w:shd w:fill="auto" w:val="clear"/>
            <w:vAlign w:val="bottom"/>
          </w:tcPr>
          <w:p>
            <w:pPr>
              <w:pStyle w:val="TableContents"/>
              <w:spacing w:before="0" w:after="283"/>
              <w:rPr/>
            </w:pPr>
            <w:r>
              <w:rPr/>
              <w:t>—</w:t>
            </w:r>
          </w:p>
        </w:tc>
        <w:tc>
          <w:tcPr>
            <w:tcW w:w="23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1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5"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10"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warrants and unvested founder shares liabilities assumed upon Merger</w:t>
            </w:r>
          </w:p>
        </w:tc>
        <w:tc>
          <w:tcPr>
            <w:tcW w:w="14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w:t>
            </w:r>
          </w:p>
        </w:tc>
        <w:tc>
          <w:tcPr>
            <w:tcW w:w="23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1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(48,271</w:t>
            </w:r>
          </w:p>
        </w:tc>
        <w:tc>
          <w:tcPr>
            <w:tcW w:w="19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w:t>
            </w:r>
          </w:p>
        </w:tc>
        <w:tc>
          <w:tcPr>
            <w:tcW w:w="23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10"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warrant liabilities and convertible promissory notes</w:t>
            </w:r>
          </w:p>
        </w:tc>
        <w:tc>
          <w:tcPr>
            <w:tcW w:w="14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(41,392</w:t>
            </w:r>
          </w:p>
        </w:tc>
        <w:tc>
          <w:tcPr>
            <w:tcW w:w="19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5" w:type="dxa"/>
            <w:tcBorders/>
            <w:shd w:fill="auto" w:val="clear"/>
            <w:vAlign w:val="bottom"/>
          </w:tcPr>
          <w:p>
            <w:pPr>
              <w:pStyle w:val="TableContents"/>
              <w:spacing w:before="0" w:after="283"/>
              <w:rPr/>
            </w:pPr>
            <w:r>
              <w:rPr/>
              <w:t>—</w:t>
            </w:r>
          </w:p>
        </w:tc>
        <w:tc>
          <w:tcPr>
            <w:tcW w:w="23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1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2022</w:t>
            </w:r>
          </w:p>
        </w:tc>
        <w:tc>
          <w:tcPr>
            <w:tcW w:w="146" w:type="dxa"/>
            <w:tcBorders/>
            <w:shd w:fill="CCEEFF" w:val="clear"/>
            <w:vAlign w:val="bottom"/>
          </w:tcPr>
          <w:p>
            <w:pPr>
              <w:pStyle w:val="TableContents"/>
              <w:spacing w:before="0" w:after="283"/>
              <w:rPr/>
            </w:pPr>
            <w:r>
              <w:rPr/>
              <w:t> </w:t>
            </w:r>
          </w:p>
        </w:tc>
        <w:tc>
          <w:tcPr>
            <w:tcW w:w="23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CCEEFF" w:val="clear"/>
            <w:tcMar>
              <w:bottom w:w="28" w:type="dxa"/>
            </w:tcM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23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Company’s investments without readily determinable fair values, the investment is adjusted if any impairments or observable price changes are identified, which is considered fair value.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Consolidated Balance Sheet Components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consisted of the following:</w:t>
      </w:r>
    </w:p>
    <w:tbl>
      <w:tblPr>
        <w:tblW w:w="4673" w:type="dxa"/>
        <w:jc w:val="left"/>
        <w:tblInd w:w="0" w:type="dxa"/>
        <w:tblCellMar>
          <w:top w:w="0" w:type="dxa"/>
          <w:left w:w="0" w:type="dxa"/>
          <w:bottom w:w="0" w:type="dxa"/>
          <w:right w:w="0" w:type="dxa"/>
        </w:tblCellMar>
      </w:tblPr>
      <w:tblGrid>
        <w:gridCol w:w="1771"/>
        <w:gridCol w:w="146"/>
        <w:gridCol w:w="514"/>
        <w:gridCol w:w="1061"/>
        <w:gridCol w:w="146"/>
        <w:gridCol w:w="317"/>
        <w:gridCol w:w="718"/>
      </w:tblGrid>
      <w:tr>
        <w:trPr/>
        <w:tc>
          <w:tcPr>
            <w:tcW w:w="177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7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2022</w:t>
            </w:r>
          </w:p>
        </w:tc>
        <w:tc>
          <w:tcPr>
            <w:tcW w:w="146" w:type="dxa"/>
            <w:tcBorders/>
            <w:shd w:fill="auto" w:val="clear"/>
            <w:vAlign w:val="bottom"/>
          </w:tcPr>
          <w:p>
            <w:pPr>
              <w:pStyle w:val="TableContents"/>
              <w:spacing w:before="0" w:after="283"/>
              <w:rPr/>
            </w:pPr>
            <w:r>
              <w:rPr/>
              <w:t> </w:t>
            </w:r>
          </w:p>
        </w:tc>
        <w:tc>
          <w:tcPr>
            <w:tcW w:w="10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2022</w:t>
            </w:r>
          </w:p>
        </w:tc>
      </w:tr>
      <w:tr>
        <w:trPr/>
        <w:tc>
          <w:tcPr>
            <w:tcW w:w="17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w:t>
            </w:r>
          </w:p>
        </w:tc>
        <w:tc>
          <w:tcPr>
            <w:tcW w:w="14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r>
      <w:tr>
        <w:trPr/>
        <w:tc>
          <w:tcPr>
            <w:tcW w:w="177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inventories</w:t>
            </w:r>
          </w:p>
        </w:tc>
        <w:tc>
          <w:tcPr>
            <w:tcW w:w="146" w:type="dxa"/>
            <w:tcBorders/>
            <w:shd w:fill="auto" w:val="clear"/>
            <w:vAlign w:val="bottom"/>
          </w:tcPr>
          <w:p>
            <w:pPr>
              <w:pStyle w:val="TableContents"/>
              <w:spacing w:before="0" w:after="283"/>
              <w:rPr/>
            </w:pPr>
            <w:r>
              <w:rPr/>
              <w:t> </w:t>
            </w:r>
          </w:p>
        </w:tc>
        <w:tc>
          <w:tcPr>
            <w:tcW w:w="51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w:t>
            </w:r>
          </w:p>
        </w:tc>
        <w:tc>
          <w:tcPr>
            <w:tcW w:w="146" w:type="dxa"/>
            <w:tcBorders/>
            <w:shd w:fill="auto" w:val="clear"/>
            <w:vAlign w:val="bottom"/>
          </w:tcPr>
          <w:p>
            <w:pPr>
              <w:pStyle w:val="TableContents"/>
              <w:spacing w:before="0" w:after="283"/>
              <w:rPr/>
            </w:pPr>
            <w:r>
              <w:rPr/>
              <w:t> </w:t>
            </w:r>
          </w:p>
        </w:tc>
        <w:tc>
          <w:tcPr>
            <w:tcW w:w="31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Investments in Non-Affiliates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the Company entered into a simple agreement for future equity (SAFE) with a non-affiliated entity, with the Company making a $2,000 investment in such entity. The non-affiliated entity is a closely held early 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Consolidated Balance Sheet Components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period ended December 31, 2022, no impairments or observable price changes were identified or recorded. The Company considers the cost of the investment to be the maximum exposure to loss as a result of its involvement with the non-affiliated entity.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6192" w:type="dxa"/>
        <w:jc w:val="left"/>
        <w:tblInd w:w="0" w:type="dxa"/>
        <w:tblCellMar>
          <w:top w:w="0" w:type="dxa"/>
          <w:left w:w="0" w:type="dxa"/>
          <w:bottom w:w="0" w:type="dxa"/>
          <w:right w:w="0" w:type="dxa"/>
        </w:tblCellMar>
      </w:tblPr>
      <w:tblGrid>
        <w:gridCol w:w="3211"/>
        <w:gridCol w:w="146"/>
        <w:gridCol w:w="303"/>
        <w:gridCol w:w="969"/>
        <w:gridCol w:w="244"/>
        <w:gridCol w:w="146"/>
        <w:gridCol w:w="226"/>
        <w:gridCol w:w="721"/>
        <w:gridCol w:w="226"/>
      </w:tblGrid>
      <w:tr>
        <w:trPr/>
        <w:tc>
          <w:tcPr>
            <w:tcW w:w="32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Tablets</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5,726</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2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6,334</w:t>
            </w:r>
          </w:p>
        </w:tc>
        <w:tc>
          <w:tcPr>
            <w:tcW w:w="2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w:t>
            </w:r>
          </w:p>
        </w:tc>
        <w:tc>
          <w:tcPr>
            <w:tcW w:w="24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auto" w:val="clear"/>
            <w:vAlign w:val="bottom"/>
          </w:tcPr>
          <w:p>
            <w:pPr>
              <w:pStyle w:val="TableContents"/>
              <w:spacing w:before="0" w:after="283"/>
              <w:rPr/>
            </w:pPr>
            <w:r>
              <w:rPr/>
              <w:t> </w:t>
            </w:r>
          </w:p>
        </w:tc>
        <w:tc>
          <w:tcPr>
            <w:tcW w:w="30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w:t>
            </w:r>
          </w:p>
        </w:tc>
        <w:tc>
          <w:tcPr>
            <w:tcW w:w="2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was $324 and $642 for the three and six months ended December 31, 2022, respectively, and $498 and $1,004 for the three and six months ended December 31, 2021, respectively.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Intangible Assets,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 consisted of the following:</w:t>
      </w:r>
    </w:p>
    <w:tbl>
      <w:tblPr>
        <w:tblW w:w="6147" w:type="dxa"/>
        <w:jc w:val="left"/>
        <w:tblInd w:w="0" w:type="dxa"/>
        <w:tblCellMar>
          <w:top w:w="0" w:type="dxa"/>
          <w:left w:w="0" w:type="dxa"/>
          <w:bottom w:w="0" w:type="dxa"/>
          <w:right w:w="0" w:type="dxa"/>
        </w:tblCellMar>
      </w:tblPr>
      <w:tblGrid>
        <w:gridCol w:w="3241"/>
        <w:gridCol w:w="146"/>
        <w:gridCol w:w="325"/>
        <w:gridCol w:w="930"/>
        <w:gridCol w:w="261"/>
        <w:gridCol w:w="146"/>
        <w:gridCol w:w="226"/>
        <w:gridCol w:w="646"/>
        <w:gridCol w:w="226"/>
      </w:tblGrid>
      <w:tr>
        <w:trPr/>
        <w:tc>
          <w:tcPr>
            <w:tcW w:w="32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9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5,993</w:t>
            </w:r>
          </w:p>
        </w:tc>
        <w:tc>
          <w:tcPr>
            <w:tcW w:w="2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w:t>
            </w:r>
          </w:p>
        </w:tc>
        <w:tc>
          <w:tcPr>
            <w:tcW w:w="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gross</w:t>
            </w:r>
          </w:p>
        </w:tc>
        <w:tc>
          <w:tcPr>
            <w:tcW w:w="146"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7,444</w:t>
            </w:r>
          </w:p>
        </w:tc>
        <w:tc>
          <w:tcPr>
            <w:tcW w:w="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2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auto" w:val="clear"/>
            <w:vAlign w:val="bottom"/>
          </w:tcPr>
          <w:p>
            <w:pPr>
              <w:pStyle w:val="TableContents"/>
              <w:spacing w:before="0" w:after="283"/>
              <w:rPr/>
            </w:pPr>
            <w:r>
              <w:rPr/>
              <w:t> </w:t>
            </w:r>
          </w:p>
        </w:tc>
        <w:tc>
          <w:tcPr>
            <w:tcW w:w="32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6,942</w:t>
            </w:r>
          </w:p>
        </w:tc>
        <w:tc>
          <w:tcPr>
            <w:tcW w:w="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have weighted-average amortization periods as follows:</w:t>
      </w:r>
    </w:p>
    <w:tbl>
      <w:tblPr>
        <w:tblW w:w="3178" w:type="dxa"/>
        <w:jc w:val="left"/>
        <w:tblInd w:w="0" w:type="dxa"/>
        <w:tblCellMar>
          <w:top w:w="0" w:type="dxa"/>
          <w:left w:w="0" w:type="dxa"/>
          <w:bottom w:w="0" w:type="dxa"/>
          <w:right w:w="0" w:type="dxa"/>
        </w:tblCellMar>
      </w:tblPr>
      <w:tblGrid>
        <w:gridCol w:w="2311"/>
        <w:gridCol w:w="146"/>
        <w:gridCol w:w="721"/>
      </w:tblGrid>
      <w:tr>
        <w:trPr/>
        <w:tc>
          <w:tcPr>
            <w:tcW w:w="23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w:t>
            </w:r>
          </w:p>
        </w:tc>
      </w:tr>
      <w:tr>
        <w:trPr/>
        <w:tc>
          <w:tcPr>
            <w:tcW w:w="23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Consolidated Balance Sheet Components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of intangible assets was $88 and $203 for the three and six months ended December 31, 2022, respectively, and was $20 and $50 for the three and six months ended December 31, 2021, respectively. Within capitalized software as of December 31, 2022 and June 30, 2022, $5,673 and $2,786 are in-process capitalized software costs and accordingly, the amortization of such costs are excluded from the table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amortization expense for intangible assets was estimated as follows:</w:t>
      </w:r>
    </w:p>
    <w:tbl>
      <w:tblPr>
        <w:tblW w:w="3044" w:type="dxa"/>
        <w:jc w:val="left"/>
        <w:tblInd w:w="0" w:type="dxa"/>
        <w:tblCellMar>
          <w:top w:w="0" w:type="dxa"/>
          <w:left w:w="0" w:type="dxa"/>
          <w:bottom w:w="0" w:type="dxa"/>
          <w:right w:w="0" w:type="dxa"/>
        </w:tblCellMar>
      </w:tblPr>
      <w:tblGrid>
        <w:gridCol w:w="1981"/>
        <w:gridCol w:w="146"/>
        <w:gridCol w:w="226"/>
        <w:gridCol w:w="691"/>
      </w:tblGrid>
      <w:tr>
        <w:trPr/>
        <w:tc>
          <w:tcPr>
            <w:tcW w:w="19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Remainder of 2023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19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r>
        <w:trPr/>
        <w:tc>
          <w:tcPr>
            <w:tcW w:w="19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r>
        <w:trPr/>
        <w:tc>
          <w:tcPr>
            <w:tcW w:w="19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r>
      <w:tr>
        <w:trPr/>
        <w:tc>
          <w:tcPr>
            <w:tcW w:w="19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19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19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Liabilities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 consisted of the following:</w:t>
      </w:r>
    </w:p>
    <w:tbl>
      <w:tblPr>
        <w:tblW w:w="6475" w:type="dxa"/>
        <w:jc w:val="left"/>
        <w:tblInd w:w="0" w:type="dxa"/>
        <w:tblCellMar>
          <w:top w:w="0" w:type="dxa"/>
          <w:left w:w="0" w:type="dxa"/>
          <w:bottom w:w="0" w:type="dxa"/>
          <w:right w:w="0" w:type="dxa"/>
        </w:tblCellMar>
      </w:tblPr>
      <w:tblGrid>
        <w:gridCol w:w="3691"/>
        <w:gridCol w:w="146"/>
        <w:gridCol w:w="392"/>
        <w:gridCol w:w="1124"/>
        <w:gridCol w:w="146"/>
        <w:gridCol w:w="240"/>
        <w:gridCol w:w="736"/>
      </w:tblGrid>
      <w:tr>
        <w:trPr/>
        <w:tc>
          <w:tcPr>
            <w:tcW w:w="36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w:t>
            </w:r>
          </w:p>
        </w:tc>
      </w:tr>
      <w:tr>
        <w:trPr/>
        <w:tc>
          <w:tcPr>
            <w:tcW w:w="3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vacation</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r>
      <w:tr>
        <w:trPr/>
        <w:tc>
          <w:tcPr>
            <w:tcW w:w="3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payroll</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w:t>
            </w:r>
          </w:p>
        </w:tc>
      </w:tr>
      <w:tr>
        <w:trPr/>
        <w:tc>
          <w:tcPr>
            <w:tcW w:w="3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liability, current</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3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r>
      <w:tr>
        <w:trPr/>
        <w:tc>
          <w:tcPr>
            <w:tcW w:w="3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repair cost (Refer to Note 8)</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w:t>
            </w:r>
          </w:p>
        </w:tc>
      </w:tr>
      <w:tr>
        <w:trPr/>
        <w:tc>
          <w:tcPr>
            <w:tcW w:w="3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sales tax</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3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other</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w:t>
            </w:r>
          </w:p>
        </w:tc>
      </w:tr>
      <w:tr>
        <w:trPr/>
        <w:tc>
          <w:tcPr>
            <w:tcW w:w="369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liabilities</w:t>
            </w:r>
          </w:p>
        </w:tc>
        <w:tc>
          <w:tcPr>
            <w:tcW w:w="146" w:type="dxa"/>
            <w:tcBorders/>
            <w:shd w:fill="CCEEFF" w:val="clear"/>
            <w:vAlign w:val="bottom"/>
          </w:tcPr>
          <w:p>
            <w:pPr>
              <w:pStyle w:val="TableContents"/>
              <w:spacing w:before="0" w:after="283"/>
              <w:rPr/>
            </w:pPr>
            <w:r>
              <w:rPr/>
              <w:t> </w:t>
            </w:r>
          </w:p>
        </w:tc>
        <w:tc>
          <w:tcPr>
            <w:tcW w:w="39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4,356</w:t>
            </w:r>
          </w:p>
        </w:tc>
        <w:tc>
          <w:tcPr>
            <w:tcW w:w="146" w:type="dxa"/>
            <w:tcBorders/>
            <w:shd w:fill="CCEEFF" w:val="clear"/>
            <w:vAlign w:val="bottom"/>
          </w:tcPr>
          <w:p>
            <w:pPr>
              <w:pStyle w:val="TableContents"/>
              <w:spacing w:before="0" w:after="283"/>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Long-term Liabilities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 consisted of the following:</w:t>
      </w:r>
    </w:p>
    <w:tbl>
      <w:tblPr>
        <w:tblW w:w="7435" w:type="dxa"/>
        <w:jc w:val="left"/>
        <w:tblInd w:w="0" w:type="dxa"/>
        <w:tblCellMar>
          <w:top w:w="0" w:type="dxa"/>
          <w:left w:w="0" w:type="dxa"/>
          <w:bottom w:w="0" w:type="dxa"/>
          <w:right w:w="0" w:type="dxa"/>
        </w:tblCellMar>
      </w:tblPr>
      <w:tblGrid>
        <w:gridCol w:w="4651"/>
        <w:gridCol w:w="146"/>
        <w:gridCol w:w="495"/>
        <w:gridCol w:w="1021"/>
        <w:gridCol w:w="146"/>
        <w:gridCol w:w="357"/>
        <w:gridCol w:w="619"/>
      </w:tblGrid>
      <w:tr>
        <w:trPr/>
        <w:tc>
          <w:tcPr>
            <w:tcW w:w="465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46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founder shares liability</w:t>
            </w:r>
          </w:p>
        </w:tc>
        <w:tc>
          <w:tcPr>
            <w:tcW w:w="146"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146"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9" w:type="dxa"/>
            <w:tcBorders/>
            <w:shd w:fill="CCEEFF" w:val="clear"/>
            <w:vAlign w:val="bottom"/>
          </w:tcPr>
          <w:p>
            <w:pPr>
              <w:pStyle w:val="TableContents"/>
              <w:spacing w:before="0" w:after="283"/>
              <w:rPr/>
            </w:pPr>
            <w:r>
              <w:rPr/>
              <w:t>—</w:t>
            </w:r>
          </w:p>
        </w:tc>
      </w:tr>
      <w:tr>
        <w:trPr/>
        <w:tc>
          <w:tcPr>
            <w:tcW w:w="46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liability, net of current portion</w:t>
            </w:r>
          </w:p>
        </w:tc>
        <w:tc>
          <w:tcPr>
            <w:tcW w:w="146"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146"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19" w:type="dxa"/>
            <w:tcBorders/>
            <w:shd w:fill="auto" w:val="clear"/>
            <w:vAlign w:val="bottom"/>
          </w:tcPr>
          <w:p>
            <w:pPr>
              <w:pStyle w:val="TableContents"/>
              <w:spacing w:before="0" w:after="283"/>
              <w:rPr/>
            </w:pPr>
            <w:r>
              <w:rPr/>
              <w:t>—</w:t>
            </w:r>
          </w:p>
        </w:tc>
      </w:tr>
      <w:tr>
        <w:trPr/>
        <w:tc>
          <w:tcPr>
            <w:tcW w:w="465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long-term liabilities</w:t>
            </w:r>
          </w:p>
        </w:tc>
        <w:tc>
          <w:tcPr>
            <w:tcW w:w="146" w:type="dxa"/>
            <w:tcBorders/>
            <w:shd w:fill="CCEEFF" w:val="clear"/>
            <w:vAlign w:val="bottom"/>
          </w:tcPr>
          <w:p>
            <w:pPr>
              <w:pStyle w:val="TableContents"/>
              <w:spacing w:before="0" w:after="283"/>
              <w:rPr/>
            </w:pPr>
            <w:r>
              <w:rPr/>
              <w:t> </w:t>
            </w:r>
          </w:p>
        </w:tc>
        <w:tc>
          <w:tcPr>
            <w:tcW w:w="49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spacing w:before="0" w:after="283"/>
              <w:rPr/>
            </w:pPr>
            <w:r>
              <w:rPr/>
              <w:t> </w:t>
            </w:r>
          </w:p>
        </w:tc>
        <w:tc>
          <w:tcPr>
            <w:tcW w:w="3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9" w:type="dxa"/>
            <w:tcBorders>
              <w:bottom w:val="double" w:sz="2" w:space="0" w:color="000000"/>
            </w:tcBorders>
            <w:shd w:fill="CCEEFF" w:val="clear"/>
            <w:tcMar>
              <w:bottom w:w="28" w:type="dxa"/>
            </w:tcMar>
            <w:vAlign w:val="bottom"/>
          </w:tcPr>
          <w:p>
            <w:pPr>
              <w:pStyle w:val="TableContents"/>
              <w:spacing w:before="0" w:after="283"/>
              <w:rPr/>
            </w:pPr>
            <w:r>
              <w:rPr/>
              <w:t>—</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Leases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the Company recorded a right of use asset of $656 within other long-term assets on the condensed consolidated balance sheet. As of December 31, 2022, the Company also recorded operating lease liabilities of $665, of which $345 and $320 were included in accrued liabilities and other long-term liabilities, respectively, on the condensed consolidated balance sheet. The Company adopted ASC 842 on July 1, 2022, and accordingly, no amounts were recorded for right of use assets or operating lease liabilities as of June 30, 2022. Refer to Note 1 for further details.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December 31, 2022, the Company recorded operating lease costs of $119 and $215, respectively. The operating lease costs for the three and six months ended December 31, 2022 included variable operating lease costs of $35 and $50,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information related to the Company’s operating lease was as follows for the six months ended December 31, 2022:</w:t>
      </w:r>
    </w:p>
    <w:tbl>
      <w:tblPr>
        <w:tblW w:w="7740" w:type="dxa"/>
        <w:jc w:val="left"/>
        <w:tblInd w:w="0" w:type="dxa"/>
        <w:tblCellMar>
          <w:top w:w="0" w:type="dxa"/>
          <w:left w:w="0" w:type="dxa"/>
          <w:bottom w:w="0" w:type="dxa"/>
          <w:right w:w="0" w:type="dxa"/>
        </w:tblCellMar>
      </w:tblPr>
      <w:tblGrid>
        <w:gridCol w:w="6031"/>
        <w:gridCol w:w="146"/>
        <w:gridCol w:w="226"/>
        <w:gridCol w:w="1006"/>
        <w:gridCol w:w="331"/>
      </w:tblGrid>
      <w:tr>
        <w:trPr/>
        <w:tc>
          <w:tcPr>
            <w:tcW w:w="60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used for operating lease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3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liability arising from obtaining ROU asset(1)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 years</w:t>
            </w:r>
          </w:p>
        </w:tc>
        <w:tc>
          <w:tcPr>
            <w:tcW w:w="3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 includes $516 related to the adoption of ASC 842 for existing operating leases on July 1, 2022, and $308 related to the Company entering into a new non-cancelable operating lease agreement during the six months ending December 31,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under the Company’s non-cancelable operating leases with an initial lease term in excess of one year subsequent to December 31, 2022 are as follows:</w:t>
      </w:r>
    </w:p>
    <w:tbl>
      <w:tblPr>
        <w:tblW w:w="7063" w:type="dxa"/>
        <w:jc w:val="left"/>
        <w:tblInd w:w="0" w:type="dxa"/>
        <w:tblCellMar>
          <w:top w:w="0" w:type="dxa"/>
          <w:left w:w="0" w:type="dxa"/>
          <w:bottom w:w="0" w:type="dxa"/>
          <w:right w:w="0" w:type="dxa"/>
        </w:tblCellMar>
      </w:tblPr>
      <w:tblGrid>
        <w:gridCol w:w="5356"/>
        <w:gridCol w:w="146"/>
        <w:gridCol w:w="355"/>
        <w:gridCol w:w="850"/>
        <w:gridCol w:w="356"/>
      </w:tblGrid>
      <w:tr>
        <w:trPr/>
        <w:tc>
          <w:tcPr>
            <w:tcW w:w="535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5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Remainder of 2023</w:t>
            </w:r>
          </w:p>
        </w:tc>
        <w:tc>
          <w:tcPr>
            <w:tcW w:w="146"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3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w:t>
            </w:r>
          </w:p>
        </w:tc>
        <w:tc>
          <w:tcPr>
            <w:tcW w:w="3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3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lease payments</w:t>
            </w:r>
          </w:p>
        </w:tc>
        <w:tc>
          <w:tcPr>
            <w:tcW w:w="146"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w:t>
            </w:r>
          </w:p>
        </w:tc>
        <w:tc>
          <w:tcPr>
            <w:tcW w:w="3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5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net future minimum lease payments</w:t>
            </w:r>
          </w:p>
        </w:tc>
        <w:tc>
          <w:tcPr>
            <w:tcW w:w="146" w:type="dxa"/>
            <w:tcBorders/>
            <w:shd w:fill="auto" w:val="clear"/>
            <w:vAlign w:val="bottom"/>
          </w:tcPr>
          <w:p>
            <w:pPr>
              <w:pStyle w:val="TableContents"/>
              <w:spacing w:before="0" w:after="283"/>
              <w:rPr/>
            </w:pPr>
            <w:r>
              <w:rPr/>
              <w:t> </w:t>
            </w:r>
          </w:p>
        </w:tc>
        <w:tc>
          <w:tcPr>
            <w:tcW w:w="35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w:t>
            </w:r>
          </w:p>
        </w:tc>
        <w:tc>
          <w:tcPr>
            <w:tcW w:w="3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previous lease accounting standard ASC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the aggregate future minimum lease payments under the Company’s non-cancelable operating lease, as of June 30, 2022, was as follows:</w:t>
      </w:r>
    </w:p>
    <w:tbl>
      <w:tblPr>
        <w:tblW w:w="1738" w:type="dxa"/>
        <w:jc w:val="left"/>
        <w:tblInd w:w="0" w:type="dxa"/>
        <w:tblCellMar>
          <w:top w:w="0" w:type="dxa"/>
          <w:left w:w="0" w:type="dxa"/>
          <w:bottom w:w="0" w:type="dxa"/>
          <w:right w:w="0" w:type="dxa"/>
        </w:tblCellMar>
      </w:tblPr>
      <w:tblGrid>
        <w:gridCol w:w="616"/>
        <w:gridCol w:w="146"/>
        <w:gridCol w:w="299"/>
        <w:gridCol w:w="677"/>
      </w:tblGrid>
      <w:tr>
        <w:trPr/>
        <w:tc>
          <w:tcPr>
            <w:tcW w:w="61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June 30,</w:t>
              <w:br/>
              <w:t>2022</w:t>
            </w:r>
          </w:p>
        </w:tc>
      </w:tr>
      <w:tr>
        <w:trPr/>
        <w:tc>
          <w:tcPr>
            <w:tcW w:w="6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r>
      <w:tr>
        <w:trPr/>
        <w:tc>
          <w:tcPr>
            <w:tcW w:w="6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7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r>
      <w:tr>
        <w:trPr/>
        <w:tc>
          <w:tcPr>
            <w:tcW w:w="6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6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9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expense for the three and six months ended December 31, 2021 was $92 and $200,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Financing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financing obligations, net of discounts, consist of the following:</w:t>
      </w:r>
    </w:p>
    <w:tbl>
      <w:tblPr>
        <w:tblW w:w="6852" w:type="dxa"/>
        <w:jc w:val="left"/>
        <w:tblInd w:w="0" w:type="dxa"/>
        <w:tblCellMar>
          <w:top w:w="0" w:type="dxa"/>
          <w:left w:w="0" w:type="dxa"/>
          <w:bottom w:w="0" w:type="dxa"/>
          <w:right w:w="0" w:type="dxa"/>
        </w:tblCellMar>
      </w:tblPr>
      <w:tblGrid>
        <w:gridCol w:w="3871"/>
        <w:gridCol w:w="146"/>
        <w:gridCol w:w="303"/>
        <w:gridCol w:w="969"/>
        <w:gridCol w:w="244"/>
        <w:gridCol w:w="146"/>
        <w:gridCol w:w="226"/>
        <w:gridCol w:w="721"/>
        <w:gridCol w:w="226"/>
      </w:tblGrid>
      <w:tr>
        <w:trPr/>
        <w:tc>
          <w:tcPr>
            <w:tcW w:w="387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8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financing facility</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4,628</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8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financing facility</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2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8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financing obligations, current</w:t>
            </w:r>
          </w:p>
        </w:tc>
        <w:tc>
          <w:tcPr>
            <w:tcW w:w="14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 noncurrent</w:t>
            </w:r>
          </w:p>
        </w:tc>
        <w:tc>
          <w:tcPr>
            <w:tcW w:w="146" w:type="dxa"/>
            <w:tcBorders/>
            <w:shd w:fill="CCEEFF" w:val="clear"/>
            <w:vAlign w:val="bottom"/>
          </w:tcPr>
          <w:p>
            <w:pPr>
              <w:pStyle w:val="TableContents"/>
              <w:spacing w:before="0" w:after="283"/>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spacing w:before="0" w:after="283"/>
              <w:rPr/>
            </w:pPr>
            <w:r>
              <w:rPr/>
              <w:t>—</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F-27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Financing Obligations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Receivable Financing Facility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may continue rolling forward the receivable financing facility.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Equipment Financing Facility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2022 and during the six months ended December 31, 2022, due to the Company’s liquidity position and other commitments, the Company postponed certain payments on certain arrangements with third party financiers, which resulted in the Company defaulting on said arrangements. The Company remedied the matter via repayment agreements with its third-party financiers, as discussed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4, 2022, the Company executed an amendment with one of its third-party financiers to defer the non-payments, which increased the monthly payments due for the remaining term of the arrangement.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21, 2022, the Company entered into an agreement to early terminate one of its third-party financiers’ arrangement. The Company repaid such arrangement by making a cash disbursement of $410, which extinguished all obligations and resulted in $337 being recorded as a loss on extinguishment of debt and financial obligations on the condensed consolidated statement of operations and comprehensive income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amendment executed on November 4, 2022 and early termination executed on November 21, 2022, the default on payments due as described above has been waived and the Company is in compliance as of December 31, 2022. We have classified all of our obligations under these arrangements as short-term within financing obligations, current as of December 31, 2022 and June 30,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Debt Arrangements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outstanding debt, net of debt discounts, consists of the following:</w:t>
      </w:r>
    </w:p>
    <w:tbl>
      <w:tblPr>
        <w:tblW w:w="6222" w:type="dxa"/>
        <w:jc w:val="left"/>
        <w:tblInd w:w="0" w:type="dxa"/>
        <w:tblCellMar>
          <w:top w:w="0" w:type="dxa"/>
          <w:left w:w="0" w:type="dxa"/>
          <w:bottom w:w="0" w:type="dxa"/>
          <w:right w:w="0" w:type="dxa"/>
        </w:tblCellMar>
      </w:tblPr>
      <w:tblGrid>
        <w:gridCol w:w="3001"/>
        <w:gridCol w:w="146"/>
        <w:gridCol w:w="345"/>
        <w:gridCol w:w="1171"/>
        <w:gridCol w:w="146"/>
        <w:gridCol w:w="226"/>
        <w:gridCol w:w="961"/>
        <w:gridCol w:w="226"/>
      </w:tblGrid>
      <w:tr>
        <w:trPr/>
        <w:tc>
          <w:tcPr>
            <w:tcW w:w="300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4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w:t>
            </w:r>
          </w:p>
        </w:tc>
        <w:tc>
          <w:tcPr>
            <w:tcW w:w="14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w:t>
            </w:r>
          </w:p>
        </w:tc>
        <w:tc>
          <w:tcPr>
            <w:tcW w:w="14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w:t>
            </w:r>
          </w:p>
        </w:tc>
        <w:tc>
          <w:tcPr>
            <w:tcW w:w="14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debt, current</w:t>
            </w:r>
          </w:p>
        </w:tc>
        <w:tc>
          <w:tcPr>
            <w:tcW w:w="14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(115,106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0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noncurrent</w:t>
            </w:r>
          </w:p>
        </w:tc>
        <w:tc>
          <w:tcPr>
            <w:tcW w:w="146" w:type="dxa"/>
            <w:tcBorders/>
            <w:shd w:fill="auto" w:val="clear"/>
            <w:vAlign w:val="bottom"/>
          </w:tcPr>
          <w:p>
            <w:pPr>
              <w:pStyle w:val="TableContents"/>
              <w:spacing w:before="0" w:after="283"/>
              <w:rPr/>
            </w:pPr>
            <w:r>
              <w:rPr/>
              <w:t> </w:t>
            </w:r>
          </w:p>
        </w:tc>
        <w:tc>
          <w:tcPr>
            <w:tcW w:w="34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Promissory Notes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$89,663 of convertible notes outstanding to various investors, all of which were accounted for under the fair value option. In conjunction with the Merger all convertible promissory notes converted into shares of common stock. Further on the date of the Merger,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$41,392, resulting in a gain on remeasurement of $48,271 which was recorded within change in fair value of warrants and convertible promissory notes on the condensed consolidated statement of operations and comprehensive income (loss) for the six months ended December 31, 2022. As a consequence of the conversion, $41,392 was reclassified into additional paid-in capital. Accordingly, for the three months ended December 31, 2022, there we no remeasurement effects related to the convertible promissory notes, as such notes were longer outstanding during such three month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the Company issued $500 of convertible promissory notes. During the three and six months ended December 31, 2021, the Company recorded losses on remeasurement of $16,196 and $29,770, respectively, on all outstanding convertible promissory notes, which were recorded within change in fair value of warrants and convertible promissory notes on the condensed consolidated statement of operations and comprehensive income (loss).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 Loans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Horizon Term Loan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2021, the Company entered into a loan agreement (the “Horizon Loan”) with Horizon Technology Finance Corporation,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the Company repaid the Horizon Loan making a cash disbursement of $17,012, of which $15,000 was repayment of principal and $649 was payment of interest expense and accrued interest. Further on the date of the Merger, $1,737 was recorded as a loss on extinguishment of debt and financial obligations on the condensed consolidated statement of operations and comprehensive income (loss) for the six months ended December 31,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Lago Term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10 for further details.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2022, the Company amended the Lago Loan which provided the Company with $5,250. Further, as part of the amendment to the Lago Loan, the Company issued an additional 169,310 warrants to purchase common stock with the additional tranche. The Company determined that the amendment with the lender should be accounted for as an extinguishment and recorded as a loss on extinguishment of debt and financial obligations of $6,022 on its condensed consolidated statement of operations and comprehensive income (loss) for the six months ended December 31,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the Company repaid all outstanding loans by making a cash disbursement of $22,351, of which $17,850 was repayment of principal and $130 was payment of payable in kind interest. Further $4,371 of cash was paid related to prepayment and other penalties.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$55,000 (the “Term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December 31, 2022, the Company was in compliance with all applicable covenants.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conjunction with the Credit Agreement, the Company issued 1,500,000 warrants to purchase common stock to the Lenders. Such warrants were determined to be equity classified and the Company recorded the value associated with such warrants of $2,076 within additional paid in capital, with an offsetting debt discount being recorded. Refer to Note 10 for further details on the aforementioned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$2,779 in condensed consolidated balance sheet with an offsetting increase to additional paid-in capital for the contribution.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incurred other debt issuance costs associated with professional services and fees paid to the lender of $1,006 in conjunction with the signing of the Credit Agreement which were recorded as a debt discount.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the Company recorded PIK interest expense amounts of $2,085 and $2,314, respectively, which has been reflected as an increase to the outstanding debt balance. Further, during the three and six months ended December 31, 2022 the Company recorded interest expense associated with the amortization of debt discounts of $523 and $579, respectively. Accordingly, as at December 31, 2022, the term loans, noncurrent balance of $52,022 reflects $55,000 of principal and $2,314 of PIK interest accrual, reduced by $5,292 of unamortized debt issuance costs. The Company had no outstanding amounts related to the Credit Agreement as of June 30,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Paycheck Protection Program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2020, we obtained a Paycheck Protection Program (“PPP”) loan for $2,599 through the U.S. Small Business Administration. In March 2021, a second PPP loan was obtained in the amount of $2,000, for a total of $4,599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six months ended December 31, 2021, the Company received forgiveness of the first PPP loan of $2,599 and recognized income on forgiveness within other income, net. During the six months ended December 31, 2022, the Company received forgiveness of the second PPP loan of $2,000 and recognized income on forgiveness within other income, net.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principal payments on debt for the Company’s fiscal years were as follows:</w:t>
      </w:r>
    </w:p>
    <w:tbl>
      <w:tblPr>
        <w:tblW w:w="7032" w:type="dxa"/>
        <w:jc w:val="left"/>
        <w:tblInd w:w="0" w:type="dxa"/>
        <w:tblCellMar>
          <w:top w:w="0" w:type="dxa"/>
          <w:left w:w="0" w:type="dxa"/>
          <w:bottom w:w="0" w:type="dxa"/>
          <w:right w:w="0" w:type="dxa"/>
        </w:tblCellMar>
      </w:tblPr>
      <w:tblGrid>
        <w:gridCol w:w="4231"/>
        <w:gridCol w:w="146"/>
        <w:gridCol w:w="578"/>
        <w:gridCol w:w="2077"/>
      </w:tblGrid>
      <w:tr>
        <w:trPr/>
        <w:tc>
          <w:tcPr>
            <w:tcW w:w="42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42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 (remaining)</w:t>
            </w:r>
          </w:p>
        </w:tc>
        <w:tc>
          <w:tcPr>
            <w:tcW w:w="146"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7" w:type="dxa"/>
            <w:tcBorders/>
            <w:shd w:fill="CCEEFF" w:val="clear"/>
            <w:vAlign w:val="bottom"/>
          </w:tcPr>
          <w:p>
            <w:pPr>
              <w:pStyle w:val="TableContents"/>
              <w:spacing w:before="0" w:after="283"/>
              <w:rPr/>
            </w:pPr>
            <w:r>
              <w:rPr/>
              <w:t>—</w:t>
            </w:r>
          </w:p>
        </w:tc>
      </w:tr>
      <w:tr>
        <w:trPr/>
        <w:tc>
          <w:tcPr>
            <w:tcW w:w="42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2077" w:type="dxa"/>
            <w:tcBorders/>
            <w:shd w:fill="auto" w:val="clear"/>
            <w:vAlign w:val="bottom"/>
          </w:tcPr>
          <w:p>
            <w:pPr>
              <w:pStyle w:val="TableContents"/>
              <w:spacing w:before="0" w:after="283"/>
              <w:rPr/>
            </w:pPr>
            <w:r>
              <w:rPr/>
              <w:t>—</w:t>
            </w:r>
          </w:p>
        </w:tc>
      </w:tr>
      <w:tr>
        <w:trPr/>
        <w:tc>
          <w:tcPr>
            <w:tcW w:w="42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20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w:t>
            </w:r>
          </w:p>
        </w:tc>
      </w:tr>
      <w:tr>
        <w:trPr/>
        <w:tc>
          <w:tcPr>
            <w:tcW w:w="42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payments on debt obligations</w:t>
            </w:r>
          </w:p>
        </w:tc>
        <w:tc>
          <w:tcPr>
            <w:tcW w:w="146" w:type="dxa"/>
            <w:tcBorders/>
            <w:shd w:fill="auto" w:val="clear"/>
            <w:vAlign w:val="bottom"/>
          </w:tcPr>
          <w:p>
            <w:pPr>
              <w:pStyle w:val="TableContents"/>
              <w:spacing w:before="0" w:after="283"/>
              <w:rPr/>
            </w:pPr>
            <w:r>
              <w:rPr/>
              <w:t> </w:t>
            </w:r>
          </w:p>
        </w:tc>
        <w:tc>
          <w:tcPr>
            <w:tcW w:w="57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Commitments and Contingencies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Warranties, Indemnification, and Contingencies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and six months ended December 31, 2022, the Company has incurred costs to refurbish customer tablets of $241 and $899, respectively, while in the three and six months ended December 31, 2021, the Company incurred costs to refurbish customer tablets of $1,357 and $1,974, respectively, recorded in cost of platform revenue in the Company’s condensed consolidated statement of operations and comprehensive income (loss). In connection with the service level agreements, the Company has recorded $194 and $724 in accrued liabilities in the condensed consolidated balance sheets for expected repair costs for customer tablets currently in the Company’s return merchandise authorization process as of December 31, 2022 and June 30, 2022,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Infrequent Product Repairs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the Company continued to experience higher than normal hardware returns for repair or replacement using a Return Merchandise Authorization (“</w:t>
      </w:r>
      <w:r>
        <w:rPr>
          <w:rFonts w:ascii="Times New Roman PS Std;serif" w:hAnsi="Times New Roman PS Std;serif"/>
          <w:b/>
          <w:i w:val="false"/>
          <w:caps w:val="false"/>
          <w:smallCaps w:val="false"/>
          <w:sz w:val="20"/>
        </w:rPr>
        <w:t>RMA</w:t>
      </w:r>
      <w:r>
        <w:rPr>
          <w:rFonts w:ascii="Times New Roman PS Std;serif" w:hAnsi="Times New Roman PS Std;serif"/>
          <w:b w:val="false"/>
          <w:i w:val="false"/>
          <w:caps w:val="false"/>
          <w:smallCaps w:val="false"/>
          <w:sz w:val="20"/>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$28 and $463 of repair and replacement expenses related to this issue during the three and six months ended December 31, 2021, respectively. The Company provided repair and replacement of its hardware devices to all of its customers as a one-time only offer due to COVID-19. The Company has also made a claim to recover the costs from its third-party subcontractor who manufactures the hardware. The Company incurred no repair and replacement expenses related to this issue in the three and six months ended December 31,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Stockholders’ Deficit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15, 2022, the Company (then Legacy Presto), received an equity investment of $1,000 from an investor in exchange for 133,333 shares in the Company. Further, such investor held a significant portion of outstanding convertible notes on the date the investment was made. The Company recorded the proceeds received as an increase to additional paid-in capital.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$1,646 recorded within other financing and financial instrument (costs) income, net on the condensed consolidated statement of operations and comprehensive income (loss), with an offsetting increase to additional paid-in capital. The Company also agreed to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 certain expenses of Silver Rock in the amount of $531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 other financing cost of $766 within other financing and financial instrument (costs) income, net on the condensed consolidated statement of operations and comprehensive income (loss) with an offsetting increase to additional paid-in capital for the contribution.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the following shares of common stock reserved for future issuance:</w:t>
      </w:r>
    </w:p>
    <w:tbl>
      <w:tblPr>
        <w:tblW w:w="6913" w:type="dxa"/>
        <w:jc w:val="left"/>
        <w:tblInd w:w="0" w:type="dxa"/>
        <w:tblCellMar>
          <w:top w:w="0" w:type="dxa"/>
          <w:left w:w="0" w:type="dxa"/>
          <w:bottom w:w="0" w:type="dxa"/>
          <w:right w:w="0" w:type="dxa"/>
        </w:tblCellMar>
      </w:tblPr>
      <w:tblGrid>
        <w:gridCol w:w="4111"/>
        <w:gridCol w:w="146"/>
        <w:gridCol w:w="2656"/>
      </w:tblGrid>
      <w:tr>
        <w:trPr/>
        <w:tc>
          <w:tcPr>
            <w:tcW w:w="41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41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common stock</w:t>
            </w:r>
          </w:p>
        </w:tc>
        <w:tc>
          <w:tcPr>
            <w:tcW w:w="146" w:type="dxa"/>
            <w:tcBorders/>
            <w:shd w:fill="CCEEFF" w:val="clear"/>
            <w:vAlign w:val="bottom"/>
          </w:tcPr>
          <w:p>
            <w:pPr>
              <w:pStyle w:val="TableContents"/>
              <w:spacing w:before="0" w:after="283"/>
              <w:rPr/>
            </w:pPr>
            <w:r>
              <w:rPr/>
              <w:t> </w:t>
            </w:r>
          </w:p>
        </w:tc>
        <w:tc>
          <w:tcPr>
            <w:tcW w:w="26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18,415,453</w:t>
            </w:r>
          </w:p>
        </w:tc>
      </w:tr>
      <w:tr>
        <w:trPr/>
        <w:tc>
          <w:tcPr>
            <w:tcW w:w="41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options and RSUs</w:t>
            </w:r>
          </w:p>
        </w:tc>
        <w:tc>
          <w:tcPr>
            <w:tcW w:w="146" w:type="dxa"/>
            <w:tcBorders/>
            <w:shd w:fill="auto" w:val="clear"/>
            <w:vAlign w:val="bottom"/>
          </w:tcPr>
          <w:p>
            <w:pPr>
              <w:pStyle w:val="TableContents"/>
              <w:spacing w:before="0" w:after="283"/>
              <w:rPr/>
            </w:pPr>
            <w:r>
              <w:rPr/>
              <w:t> </w:t>
            </w:r>
          </w:p>
        </w:tc>
        <w:tc>
          <w:tcPr>
            <w:tcW w:w="26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12,756,522</w:t>
            </w:r>
          </w:p>
        </w:tc>
      </w:tr>
      <w:tr>
        <w:trPr/>
        <w:tc>
          <w:tcPr>
            <w:tcW w:w="41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awards available for future grants</w:t>
            </w:r>
          </w:p>
        </w:tc>
        <w:tc>
          <w:tcPr>
            <w:tcW w:w="146" w:type="dxa"/>
            <w:tcBorders/>
            <w:shd w:fill="CCEEFF" w:val="clear"/>
            <w:vAlign w:val="bottom"/>
          </w:tcPr>
          <w:p>
            <w:pPr>
              <w:pStyle w:val="TableContents"/>
              <w:spacing w:before="0" w:after="283"/>
              <w:rPr/>
            </w:pPr>
            <w:r>
              <w:rPr/>
              <w:t> </w:t>
            </w:r>
          </w:p>
        </w:tc>
        <w:tc>
          <w:tcPr>
            <w:tcW w:w="26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4,617,400</w:t>
            </w:r>
          </w:p>
        </w:tc>
      </w:tr>
      <w:tr>
        <w:trPr/>
        <w:tc>
          <w:tcPr>
            <w:tcW w:w="41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shares</w:t>
            </w:r>
          </w:p>
        </w:tc>
        <w:tc>
          <w:tcPr>
            <w:tcW w:w="146" w:type="dxa"/>
            <w:tcBorders/>
            <w:shd w:fill="auto" w:val="clear"/>
            <w:vAlign w:val="bottom"/>
          </w:tcPr>
          <w:p>
            <w:pPr>
              <w:pStyle w:val="TableContents"/>
              <w:spacing w:before="0" w:after="283"/>
              <w:rPr/>
            </w:pPr>
            <w:r>
              <w:rPr/>
              <w:t> </w:t>
            </w:r>
          </w:p>
        </w:tc>
        <w:tc>
          <w:tcPr>
            <w:tcW w:w="26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r>
      <w:tr>
        <w:trPr/>
        <w:tc>
          <w:tcPr>
            <w:tcW w:w="41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65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50,789,375</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from June 30, 2022, through the date of the Merger, the Company had various warrant transactions: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169,309 warrants to purchase common stock in conjunction with an amendment to the warrant agreement with Lago Loan, such amendment occurring in August of 2022.</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September 2022, the holder of 141,970 warrants net exercised such warrants with the Company issuing 136,681 common shares to the holder.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at the Merger date of 1,500,000 warrants to the Lenders to the Credit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the Merger, the Company assumed 8,625,000 public warrants and 6,125,000 private warrants.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the consummation of the Merger and the repayment of the Horizon loan, 294,725 of previously liability classified warrants were reclassified to equity in the amount of $830.</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represent the warrants on common stock outstanding:</w:t>
      </w:r>
    </w:p>
    <w:tbl>
      <w:tblPr>
        <w:tblW w:w="9867" w:type="dxa"/>
        <w:jc w:val="left"/>
        <w:tblInd w:w="0" w:type="dxa"/>
        <w:tblCellMar>
          <w:top w:w="0" w:type="dxa"/>
          <w:left w:w="0" w:type="dxa"/>
          <w:bottom w:w="0" w:type="dxa"/>
          <w:right w:w="0" w:type="dxa"/>
        </w:tblCellMar>
      </w:tblPr>
      <w:tblGrid>
        <w:gridCol w:w="1066"/>
        <w:gridCol w:w="146"/>
        <w:gridCol w:w="1711"/>
        <w:gridCol w:w="146"/>
        <w:gridCol w:w="392"/>
        <w:gridCol w:w="1123"/>
        <w:gridCol w:w="146"/>
        <w:gridCol w:w="1951"/>
        <w:gridCol w:w="146"/>
        <w:gridCol w:w="436"/>
        <w:gridCol w:w="146"/>
        <w:gridCol w:w="811"/>
        <w:gridCol w:w="146"/>
        <w:gridCol w:w="1501"/>
      </w:tblGrid>
      <w:tr>
        <w:trPr/>
        <w:tc>
          <w:tcPr>
            <w:tcW w:w="106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8655" w:type="dxa"/>
            <w:gridSpan w:val="1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10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shd w:fill="auto" w:val="clear"/>
            <w:vAlign w:val="bottom"/>
          </w:tcPr>
          <w:p>
            <w:pPr>
              <w:pStyle w:val="TableContents"/>
              <w:spacing w:before="0" w:after="283"/>
              <w:rPr/>
            </w:pPr>
            <w:r>
              <w:rPr/>
              <w:t> </w:t>
            </w:r>
          </w:p>
        </w:tc>
        <w:tc>
          <w:tcPr>
            <w:tcW w:w="151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 Price</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2028</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404,961</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178,395</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57,952</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86,532</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402,679</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182,158</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b/>
                <w:i w:val="false"/>
                <w:caps w:val="false"/>
                <w:smallCaps w:val="false"/>
              </w:rPr>
            </w:pPr>
            <w:r>
              <w:rPr>
                <w:b/>
                <w:i w:val="false"/>
                <w:caps w:val="false"/>
                <w:smallCaps w:val="false"/>
              </w:rPr>
              <w:t>[A]</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27,577</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294,725</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2032</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374,912</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2027</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2027</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8,625,000</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7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2027</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6,125,000</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17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2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95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18,415,453</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r>
    </w:tbl>
    <w:tbl>
      <w:tblPr>
        <w:tblW w:w="9507" w:type="dxa"/>
        <w:jc w:val="left"/>
        <w:tblInd w:w="0" w:type="dxa"/>
        <w:tblCellMar>
          <w:top w:w="0" w:type="dxa"/>
          <w:left w:w="0" w:type="dxa"/>
          <w:bottom w:w="0" w:type="dxa"/>
          <w:right w:w="0" w:type="dxa"/>
        </w:tblCellMar>
      </w:tblPr>
      <w:tblGrid>
        <w:gridCol w:w="1006"/>
        <w:gridCol w:w="146"/>
        <w:gridCol w:w="1411"/>
        <w:gridCol w:w="146"/>
        <w:gridCol w:w="455"/>
        <w:gridCol w:w="1060"/>
        <w:gridCol w:w="146"/>
        <w:gridCol w:w="1951"/>
        <w:gridCol w:w="146"/>
        <w:gridCol w:w="436"/>
        <w:gridCol w:w="146"/>
        <w:gridCol w:w="811"/>
        <w:gridCol w:w="146"/>
        <w:gridCol w:w="1501"/>
      </w:tblGrid>
      <w:tr>
        <w:trPr/>
        <w:tc>
          <w:tcPr>
            <w:tcW w:w="10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8355" w:type="dxa"/>
            <w:gridSpan w:val="1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10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shd w:fill="auto" w:val="clear"/>
            <w:vAlign w:val="bottom"/>
          </w:tcPr>
          <w:p>
            <w:pPr>
              <w:pStyle w:val="TableContents"/>
              <w:spacing w:before="0" w:after="283"/>
              <w:rPr/>
            </w:pPr>
            <w:r>
              <w:rPr/>
              <w:t> </w:t>
            </w:r>
          </w:p>
        </w:tc>
        <w:tc>
          <w:tcPr>
            <w:tcW w:w="151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 Price</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2027</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141,970</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2,575,190</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b/>
                <w:i w:val="false"/>
                <w:caps w:val="false"/>
                <w:smallCaps w:val="false"/>
              </w:rPr>
            </w:pPr>
            <w:r>
              <w:rPr>
                <w:b/>
                <w:i w:val="false"/>
                <w:caps w:val="false"/>
                <w:smallCaps w:val="false"/>
              </w:rPr>
              <w:t>[D]</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2028</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404,961</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178,395</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57,952</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86,532</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402,679</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182,158</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b/>
                <w:i w:val="false"/>
                <w:caps w:val="false"/>
                <w:smallCaps w:val="false"/>
              </w:rPr>
            </w:pPr>
            <w:r>
              <w:rPr>
                <w:b/>
                <w:i w:val="false"/>
                <w:caps w:val="false"/>
                <w:smallCaps w:val="false"/>
              </w:rPr>
              <w:t>[A]</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27,577</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2031</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w:t>
            </w:r>
          </w:p>
        </w:tc>
        <w:tc>
          <w:tcPr>
            <w:tcW w:w="146" w:type="dxa"/>
            <w:tcBorders/>
            <w:shd w:fill="auto" w:val="clear"/>
            <w:vAlign w:val="bottom"/>
          </w:tcPr>
          <w:p>
            <w:pPr>
              <w:pStyle w:val="TableContents"/>
              <w:spacing w:before="0" w:after="283"/>
              <w:rPr/>
            </w:pPr>
            <w:r>
              <w:rPr/>
              <w:t> </w:t>
            </w:r>
          </w:p>
        </w:tc>
        <w:tc>
          <w:tcPr>
            <w:tcW w:w="19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294,725</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2032</w:t>
            </w:r>
          </w:p>
        </w:tc>
        <w:tc>
          <w:tcPr>
            <w:tcW w:w="14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spacing w:before="0" w:after="283"/>
              <w:rPr/>
            </w:pPr>
            <w:r>
              <w:rPr/>
              <w:t> </w:t>
            </w:r>
          </w:p>
        </w:tc>
        <w:tc>
          <w:tcPr>
            <w:tcW w:w="19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205,602</w:t>
            </w:r>
          </w:p>
        </w:tc>
        <w:tc>
          <w:tcPr>
            <w:tcW w:w="146"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5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4,713,303</w:t>
            </w:r>
          </w:p>
        </w:tc>
        <w:tc>
          <w:tcPr>
            <w:tcW w:w="14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 Warrants will expire at the earliest of a consummation of an acquisition or one year after the effective date of a registration statement for an initial public offering.</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intrinsic value of $1,925 over the exercise price of $6.53 per share as of December 31, 2022 and June 30, 2022. Warrant will also expire at the earliest of 10 years from the issuance date of March 5, 2021 or a consummation of an acquisition in which the sole consideration is cash or marketable securities.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 Warrants expire 5 years from the effective date of a registration statement for an initial public offering should one occur.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 — 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 — Warrants were issued in October 2021 and are exercisable contingent on rollouts of the Company’s products and services to the warrant holder. Number of shares represents the maximum number of shares to be issued to the warrant holder of 404,961, of which 265,376 and 321,943 remained contingent as of December 31, 2022 and June 30, 2022, respectively. Expense related to the cost these warrants being recognized as a reduction to revenue in the Company’s condensed consolidated statements of operations and comprehensive income (loss).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 — Warrants will expire at the earliest of 10 years from the issuance date of March 11, 2016, a consummation of an acquisition or one year after the effective date of a registration statement for an initial public offering.</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Stock-Based Compensation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 Plans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the Company utilized the 2018 equity incentive plan (“</w:t>
      </w:r>
      <w:r>
        <w:rPr>
          <w:rFonts w:ascii="Times New Roman PS Std;serif" w:hAnsi="Times New Roman PS Std;serif"/>
          <w:b/>
          <w:i w:val="false"/>
          <w:caps w:val="false"/>
          <w:smallCaps w:val="false"/>
          <w:sz w:val="20"/>
        </w:rPr>
        <w:t>2018 Plan</w:t>
      </w:r>
      <w:r>
        <w:rPr>
          <w:rFonts w:ascii="Times New Roman PS Std;serif" w:hAnsi="Times New Roman PS Std;serif"/>
          <w:b w:val="false"/>
          <w:i w:val="false"/>
          <w:caps w:val="false"/>
          <w:smallCaps w:val="false"/>
          <w:sz w:val="20"/>
        </w:rPr>
        <w:t>”) which replaced the 2008 Stock Incentive Plan (“</w:t>
      </w:r>
      <w:r>
        <w:rPr>
          <w:rFonts w:ascii="Times New Roman PS Std;serif" w:hAnsi="Times New Roman PS Std;serif"/>
          <w:b/>
          <w:i w:val="false"/>
          <w:caps w:val="false"/>
          <w:smallCaps w:val="false"/>
          <w:sz w:val="20"/>
        </w:rPr>
        <w:t>2008 Plan</w:t>
      </w:r>
      <w:r>
        <w:rPr>
          <w:rFonts w:ascii="Times New Roman PS Std;serif" w:hAnsi="Times New Roman PS Std;serif"/>
          <w:b w:val="false"/>
          <w:i w:val="false"/>
          <w:caps w:val="false"/>
          <w:smallCaps w:val="false"/>
          <w:sz w:val="20"/>
        </w:rPr>
        <w:t>”). Effective with the Merger, the Board of Directors adopted the 2022 Incentive Award Plan (the “2022 Plan”). As of December 31, 2022, the number of shares of common stock reserved for future issuance under the 2022 Plan was 4,617,400. 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Company granted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during the six months ended December 31, 2022 related to these RSUs as achievement of the performance-based vesting condition was not deemed probable of occurring. As of December 31, 2022, $9,190 of stock-based compensation related to these RSUs remains unrecognized, which is expected to time-vest over a remaining weighted-average period of 4.5 years, subject to the performance-based vesting condition being satisfied or deemed probable at which point the Company will recognize a cumulative adjustment for the service condition satisfied at such point.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2022, the Company granted 1,200,000 of RSUs to a director of the Company with a grant date fair value of $4.56 per RSU. The RSUs vest in the following tranches, subject to the continuous service through each applicable vesting date: 33.33% of the RSUs vested on September 30, 2022, 56.67% of the RSUs has, and shall continue to, vest in equal monthly installments on the last day of each month during the subsequent 23-month period, and the remaining 10% shall vest upon the third anniversary of the vesting commencement date. The Company recorded compensation expense during the three and six months ended December 31, 2022 related to the RSUs of $411 and $2,235, respectively. As of December 31, 2022, $3,238 of stock-based compensation related to the RSU remains unrecognized, which is expected to be recognized over a remaining weighted-average period of 2.7 years. The RSUs time-based vesting would accelerate upon an acquisition of the Company. A deSPAC does not meet the definition of an acquisition as defined in the 2018 Plan.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Stock-Based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$49 and $76 for the three and six months ended December 31, 2022, respectively. Compensation costs attributable to such awards were insignificant during the three and six months ended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of the equity incentive plan activity is shown collectively for the 2022 Plan, the 2018 Plan and the 2008 Plan:</w:t>
      </w:r>
    </w:p>
    <w:tbl>
      <w:tblPr>
        <w:tblW w:w="10205" w:type="dxa"/>
        <w:jc w:val="left"/>
        <w:tblInd w:w="0" w:type="dxa"/>
        <w:tblCellMar>
          <w:top w:w="0" w:type="dxa"/>
          <w:left w:w="0" w:type="dxa"/>
          <w:bottom w:w="0" w:type="dxa"/>
          <w:right w:w="0" w:type="dxa"/>
        </w:tblCellMar>
      </w:tblPr>
      <w:tblGrid>
        <w:gridCol w:w="3700"/>
        <w:gridCol w:w="146"/>
        <w:gridCol w:w="1336"/>
        <w:gridCol w:w="181"/>
        <w:gridCol w:w="146"/>
        <w:gridCol w:w="543"/>
        <w:gridCol w:w="1323"/>
        <w:gridCol w:w="146"/>
        <w:gridCol w:w="1306"/>
        <w:gridCol w:w="146"/>
        <w:gridCol w:w="268"/>
        <w:gridCol w:w="964"/>
      </w:tblGrid>
      <w:tr>
        <w:trPr/>
        <w:tc>
          <w:tcPr>
            <w:tcW w:w="370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Options</w:t>
              <w:br/>
              <w:t>Outstanding</w:t>
            </w:r>
          </w:p>
        </w:tc>
        <w:tc>
          <w:tcPr>
            <w:tcW w:w="146" w:type="dxa"/>
            <w:tcBorders/>
            <w:shd w:fill="auto" w:val="clear"/>
            <w:vAlign w:val="bottom"/>
          </w:tcPr>
          <w:p>
            <w:pPr>
              <w:pStyle w:val="TableContents"/>
              <w:spacing w:before="0" w:after="283"/>
              <w:rPr/>
            </w:pPr>
            <w:r>
              <w:rPr/>
              <w:t> </w:t>
            </w:r>
          </w:p>
        </w:tc>
        <w:tc>
          <w:tcPr>
            <w:tcW w:w="186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 Exercise Price</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Remaining</w:t>
              <w:br/>
              <w:t>Contractual</w:t>
              <w:br/>
              <w:t>Life (years)</w:t>
            </w:r>
          </w:p>
        </w:tc>
        <w:tc>
          <w:tcPr>
            <w:tcW w:w="146" w:type="dxa"/>
            <w:tcBorders/>
            <w:shd w:fill="auto" w:val="clear"/>
            <w:vAlign w:val="bottom"/>
          </w:tcPr>
          <w:p>
            <w:pPr>
              <w:pStyle w:val="TableContents"/>
              <w:spacing w:before="0" w:after="283"/>
              <w:rPr/>
            </w:pPr>
            <w:r>
              <w:rPr/>
              <w:t> </w:t>
            </w:r>
          </w:p>
        </w:tc>
        <w:tc>
          <w:tcPr>
            <w:tcW w:w="12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Aggregate</w:t>
              <w:br/>
              <w:t>Intrinsic</w:t>
              <w:br/>
              <w:t>Value</w:t>
            </w:r>
          </w:p>
        </w:tc>
      </w:tr>
      <w:tr>
        <w:trPr/>
        <w:tc>
          <w:tcPr>
            <w:tcW w:w="370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June 30, 2022</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13,845,291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0.59</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6.66</w:t>
            </w:r>
          </w:p>
        </w:tc>
        <w:tc>
          <w:tcPr>
            <w:tcW w:w="14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4" w:type="dxa"/>
            <w:tcBorders/>
            <w:shd w:fill="CCEEFF" w:val="clear"/>
            <w:vAlign w:val="bottom"/>
          </w:tcPr>
          <w:p>
            <w:pPr>
              <w:pStyle w:val="TableContents"/>
              <w:spacing w:before="0" w:after="0"/>
              <w:rPr/>
            </w:pPr>
            <w:r>
              <w:rPr/>
              <w:t> </w:t>
            </w:r>
          </w:p>
        </w:tc>
      </w:tr>
      <w:tr>
        <w:trPr/>
        <w:tc>
          <w:tcPr>
            <w:tcW w:w="3700"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Retrospective application of recapitalization</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(2,631,676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0"/>
              <w:rPr/>
            </w:pPr>
            <w:r>
              <w:rPr/>
              <w:t> </w:t>
            </w:r>
          </w:p>
        </w:tc>
        <w:tc>
          <w:tcPr>
            <w:tcW w:w="14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4" w:type="dxa"/>
            <w:tcBorders/>
            <w:shd w:fill="auto" w:val="clear"/>
            <w:vAlign w:val="bottom"/>
          </w:tcPr>
          <w:p>
            <w:pPr>
              <w:pStyle w:val="TableContents"/>
              <w:spacing w:before="0" w:after="0"/>
              <w:rPr/>
            </w:pPr>
            <w:r>
              <w:rPr/>
              <w:t> </w:t>
            </w:r>
          </w:p>
        </w:tc>
      </w:tr>
      <w:tr>
        <w:trPr/>
        <w:tc>
          <w:tcPr>
            <w:tcW w:w="370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Balance – beginning of period</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11,213,615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0.73</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6.66</w:t>
            </w:r>
          </w:p>
        </w:tc>
        <w:tc>
          <w:tcPr>
            <w:tcW w:w="14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4" w:type="dxa"/>
            <w:tcBorders/>
            <w:shd w:fill="CCEEFF" w:val="clear"/>
            <w:vAlign w:val="bottom"/>
          </w:tcPr>
          <w:p>
            <w:pPr>
              <w:pStyle w:val="TableContents"/>
              <w:spacing w:before="0" w:after="283"/>
              <w:rPr/>
            </w:pPr>
            <w:r>
              <w:rPr/>
              <w:t> </w:t>
            </w:r>
          </w:p>
        </w:tc>
      </w:tr>
      <w:tr>
        <w:trPr/>
        <w:tc>
          <w:tcPr>
            <w:tcW w:w="370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(146,823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0.39</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0"/>
              <w:rPr/>
            </w:pPr>
            <w:r>
              <w:rPr/>
              <w:t> </w:t>
            </w:r>
          </w:p>
        </w:tc>
        <w:tc>
          <w:tcPr>
            <w:tcW w:w="14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4" w:type="dxa"/>
            <w:tcBorders/>
            <w:shd w:fill="auto" w:val="clear"/>
            <w:vAlign w:val="bottom"/>
          </w:tcPr>
          <w:p>
            <w:pPr>
              <w:pStyle w:val="TableContents"/>
              <w:spacing w:before="0" w:after="0"/>
              <w:rPr/>
            </w:pPr>
            <w:r>
              <w:rPr/>
              <w:t> </w:t>
            </w:r>
          </w:p>
        </w:tc>
      </w:tr>
      <w:tr>
        <w:trPr/>
        <w:tc>
          <w:tcPr>
            <w:tcW w:w="370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and expired</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0"/>
              <w:rPr/>
            </w:pPr>
            <w:r>
              <w:rPr/>
              <w:t> </w:t>
            </w:r>
          </w:p>
        </w:tc>
        <w:tc>
          <w:tcPr>
            <w:tcW w:w="14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4" w:type="dxa"/>
            <w:tcBorders/>
            <w:shd w:fill="CCEEFF" w:val="clear"/>
            <w:vAlign w:val="bottom"/>
          </w:tcPr>
          <w:p>
            <w:pPr>
              <w:pStyle w:val="TableContents"/>
              <w:spacing w:before="0" w:after="0"/>
              <w:rPr/>
            </w:pPr>
            <w:r>
              <w:rPr/>
              <w:t> </w:t>
            </w:r>
          </w:p>
        </w:tc>
      </w:tr>
      <w:tr>
        <w:trPr/>
        <w:tc>
          <w:tcPr>
            <w:tcW w:w="3700"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December 31, 2022</w:t>
            </w:r>
          </w:p>
        </w:tc>
        <w:tc>
          <w:tcPr>
            <w:tcW w:w="146" w:type="dxa"/>
            <w:tcBorders/>
            <w:shd w:fill="auto" w:val="clear"/>
            <w:vAlign w:val="bottom"/>
          </w:tcPr>
          <w:p>
            <w:pPr>
              <w:pStyle w:val="TableContents"/>
              <w:spacing w:before="0" w:after="283"/>
              <w:rPr/>
            </w:pPr>
            <w:r>
              <w:rPr/>
              <w:t> </w:t>
            </w:r>
          </w:p>
        </w:tc>
        <w:tc>
          <w:tcPr>
            <w:tcW w:w="133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10,953,424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0.73</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6.11</w:t>
            </w:r>
          </w:p>
        </w:tc>
        <w:tc>
          <w:tcPr>
            <w:tcW w:w="14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4" w:type="dxa"/>
            <w:tcBorders/>
            <w:shd w:fill="auto" w:val="clear"/>
            <w:vAlign w:val="bottom"/>
          </w:tcPr>
          <w:p>
            <w:pPr>
              <w:pStyle w:val="TableContents"/>
              <w:spacing w:before="0" w:after="0"/>
              <w:rPr/>
            </w:pPr>
            <w:r>
              <w:rPr/>
              <w:t> </w:t>
            </w:r>
          </w:p>
        </w:tc>
      </w:tr>
      <w:tr>
        <w:trPr/>
        <w:tc>
          <w:tcPr>
            <w:tcW w:w="370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and expected to vest at December 31, 2022</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10,953,424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0.73</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w:t>
            </w:r>
          </w:p>
        </w:tc>
        <w:tc>
          <w:tcPr>
            <w:tcW w:w="14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17,741</w:t>
            </w:r>
          </w:p>
        </w:tc>
      </w:tr>
      <w:tr>
        <w:trPr/>
        <w:tc>
          <w:tcPr>
            <w:tcW w:w="3700"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December 31, 2022</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8,745,509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0.46</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14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16,141</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equity incentive plan RSU activity for the 2022 Plan and the 2018 Plan:</w:t>
      </w:r>
    </w:p>
    <w:tbl>
      <w:tblPr>
        <w:tblW w:w="8768" w:type="dxa"/>
        <w:jc w:val="left"/>
        <w:tblInd w:w="0" w:type="dxa"/>
        <w:tblCellMar>
          <w:top w:w="0" w:type="dxa"/>
          <w:left w:w="0" w:type="dxa"/>
          <w:bottom w:w="0" w:type="dxa"/>
          <w:right w:w="0" w:type="dxa"/>
        </w:tblCellMar>
      </w:tblPr>
      <w:tblGrid>
        <w:gridCol w:w="4936"/>
        <w:gridCol w:w="146"/>
        <w:gridCol w:w="1916"/>
        <w:gridCol w:w="289"/>
        <w:gridCol w:w="146"/>
        <w:gridCol w:w="368"/>
        <w:gridCol w:w="967"/>
      </w:tblGrid>
      <w:tr>
        <w:trPr/>
        <w:tc>
          <w:tcPr>
            <w:tcW w:w="49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0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Awards Outstanding</w:t>
            </w:r>
          </w:p>
        </w:tc>
        <w:tc>
          <w:tcPr>
            <w:tcW w:w="146" w:type="dxa"/>
            <w:tcBorders/>
            <w:shd w:fill="auto" w:val="clear"/>
            <w:vAlign w:val="bottom"/>
          </w:tcPr>
          <w:p>
            <w:pPr>
              <w:pStyle w:val="TableContents"/>
              <w:spacing w:before="0" w:after="283"/>
              <w:rPr/>
            </w:pPr>
            <w:r>
              <w:rPr/>
              <w:t> </w:t>
            </w:r>
          </w:p>
        </w:tc>
        <w:tc>
          <w:tcPr>
            <w:tcW w:w="13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 xml:space="preserve">Grant Date </w:t>
              <w:br/>
              <w:t>Fair Value</w:t>
            </w:r>
          </w:p>
        </w:tc>
      </w:tr>
      <w:tr>
        <w:trPr/>
        <w:tc>
          <w:tcPr>
            <w:tcW w:w="49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June 30, 2022</w:t>
            </w:r>
          </w:p>
        </w:tc>
        <w:tc>
          <w:tcPr>
            <w:tcW w:w="146" w:type="dxa"/>
            <w:tcBorders/>
            <w:shd w:fill="CCEEFF" w:val="clear"/>
            <w:vAlign w:val="bottom"/>
          </w:tcPr>
          <w:p>
            <w:pPr>
              <w:pStyle w:val="TableContents"/>
              <w:spacing w:before="0" w:after="283"/>
              <w:rPr/>
            </w:pPr>
            <w:r>
              <w:rPr/>
              <w:t> </w:t>
            </w:r>
          </w:p>
        </w:tc>
        <w:tc>
          <w:tcPr>
            <w:tcW w:w="19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432,666</w:t>
            </w:r>
          </w:p>
        </w:tc>
        <w:tc>
          <w:tcPr>
            <w:tcW w:w="28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6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6.46</w:t>
            </w:r>
          </w:p>
        </w:tc>
      </w:tr>
      <w:tr>
        <w:trPr/>
        <w:tc>
          <w:tcPr>
            <w:tcW w:w="49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Retrospective application of recapitalization</w:t>
            </w:r>
          </w:p>
        </w:tc>
        <w:tc>
          <w:tcPr>
            <w:tcW w:w="146"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(82,240</w:t>
            </w:r>
          </w:p>
        </w:tc>
        <w:tc>
          <w:tcPr>
            <w:tcW w:w="28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r>
      <w:tr>
        <w:trPr/>
        <w:tc>
          <w:tcPr>
            <w:tcW w:w="49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unvested balance – beginning of period</w:t>
            </w:r>
          </w:p>
        </w:tc>
        <w:tc>
          <w:tcPr>
            <w:tcW w:w="146" w:type="dxa"/>
            <w:tcBorders/>
            <w:shd w:fill="CCEEFF" w:val="clear"/>
            <w:vAlign w:val="bottom"/>
          </w:tcPr>
          <w:p>
            <w:pPr>
              <w:pStyle w:val="TableContents"/>
              <w:spacing w:before="0" w:after="283"/>
              <w:rPr/>
            </w:pPr>
            <w:r>
              <w:rPr/>
              <w:t> </w:t>
            </w:r>
          </w:p>
        </w:tc>
        <w:tc>
          <w:tcPr>
            <w:tcW w:w="19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350,426</w:t>
            </w:r>
          </w:p>
        </w:tc>
        <w:tc>
          <w:tcPr>
            <w:tcW w:w="28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7.98</w:t>
            </w:r>
          </w:p>
        </w:tc>
      </w:tr>
      <w:tr>
        <w:trPr/>
        <w:tc>
          <w:tcPr>
            <w:tcW w:w="493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2,036,629</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r>
      <w:tr>
        <w:trPr/>
        <w:tc>
          <w:tcPr>
            <w:tcW w:w="493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spacing w:before="0" w:after="283"/>
              <w:rPr/>
            </w:pPr>
            <w:r>
              <w:rPr/>
              <w:t> </w:t>
            </w:r>
          </w:p>
        </w:tc>
        <w:tc>
          <w:tcPr>
            <w:tcW w:w="19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(488,660</w:t>
            </w:r>
          </w:p>
        </w:tc>
        <w:tc>
          <w:tcPr>
            <w:tcW w:w="28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r>
      <w:tr>
        <w:trPr/>
        <w:tc>
          <w:tcPr>
            <w:tcW w:w="493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(95,297</w:t>
            </w:r>
          </w:p>
        </w:tc>
        <w:tc>
          <w:tcPr>
            <w:tcW w:w="28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w:t>
            </w:r>
          </w:p>
        </w:tc>
      </w:tr>
      <w:tr>
        <w:trPr/>
        <w:tc>
          <w:tcPr>
            <w:tcW w:w="49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December 31, 2022</w:t>
            </w:r>
          </w:p>
        </w:tc>
        <w:tc>
          <w:tcPr>
            <w:tcW w:w="146" w:type="dxa"/>
            <w:tcBorders/>
            <w:shd w:fill="CCEEFF" w:val="clear"/>
            <w:vAlign w:val="bottom"/>
          </w:tcPr>
          <w:p>
            <w:pPr>
              <w:pStyle w:val="TableContents"/>
              <w:spacing w:before="0" w:after="283"/>
              <w:rPr/>
            </w:pPr>
            <w:r>
              <w:rPr/>
              <w:t> </w:t>
            </w:r>
          </w:p>
        </w:tc>
        <w:tc>
          <w:tcPr>
            <w:tcW w:w="191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1,803,098</w:t>
            </w:r>
          </w:p>
        </w:tc>
        <w:tc>
          <w:tcPr>
            <w:tcW w:w="28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7.02</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F-37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Stock-Based Compensation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 Expense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excluding stock-based compensation in capitalized software, related to employees and non-employees, by function is as follows:</w:t>
      </w:r>
    </w:p>
    <w:tbl>
      <w:tblPr>
        <w:tblW w:w="7326" w:type="dxa"/>
        <w:jc w:val="left"/>
        <w:tblInd w:w="0" w:type="dxa"/>
        <w:tblCellMar>
          <w:top w:w="0" w:type="dxa"/>
          <w:left w:w="0" w:type="dxa"/>
          <w:bottom w:w="0" w:type="dxa"/>
          <w:right w:w="0" w:type="dxa"/>
        </w:tblCellMar>
      </w:tblPr>
      <w:tblGrid>
        <w:gridCol w:w="2791"/>
        <w:gridCol w:w="146"/>
        <w:gridCol w:w="330"/>
        <w:gridCol w:w="680"/>
        <w:gridCol w:w="213"/>
        <w:gridCol w:w="330"/>
        <w:gridCol w:w="682"/>
        <w:gridCol w:w="146"/>
        <w:gridCol w:w="258"/>
        <w:gridCol w:w="740"/>
        <w:gridCol w:w="167"/>
        <w:gridCol w:w="258"/>
        <w:gridCol w:w="585"/>
      </w:tblGrid>
      <w:tr>
        <w:trPr/>
        <w:tc>
          <w:tcPr>
            <w:tcW w:w="27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3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shd w:fill="auto" w:val="clear"/>
            <w:vAlign w:val="bottom"/>
          </w:tcPr>
          <w:p>
            <w:pPr>
              <w:pStyle w:val="TableContents"/>
              <w:spacing w:before="0" w:after="283"/>
              <w:rPr/>
            </w:pPr>
            <w:r>
              <w:rPr/>
              <w:t> </w:t>
            </w:r>
          </w:p>
        </w:tc>
        <w:tc>
          <w:tcPr>
            <w:tcW w:w="2008"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27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3" w:type="dxa"/>
            <w:tcBorders/>
            <w:shd w:fill="auto" w:val="clear"/>
            <w:vAlign w:val="bottom"/>
          </w:tcPr>
          <w:p>
            <w:pPr>
              <w:pStyle w:val="TableContents"/>
              <w:spacing w:before="0" w:after="283"/>
              <w:rPr/>
            </w:pPr>
            <w:r>
              <w:rPr/>
              <w:t> </w:t>
            </w:r>
          </w:p>
        </w:tc>
        <w:tc>
          <w:tcPr>
            <w:tcW w:w="101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8"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7" w:type="dxa"/>
            <w:tcBorders/>
            <w:shd w:fill="auto" w:val="clear"/>
            <w:vAlign w:val="bottom"/>
          </w:tcPr>
          <w:p>
            <w:pPr>
              <w:pStyle w:val="TableContents"/>
              <w:spacing w:before="0" w:after="283"/>
              <w:rPr/>
            </w:pPr>
            <w:r>
              <w:rPr/>
              <w:t> </w:t>
            </w:r>
          </w:p>
        </w:tc>
        <w:tc>
          <w:tcPr>
            <w:tcW w:w="84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7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1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146"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16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r>
      <w:tr>
        <w:trPr/>
        <w:tc>
          <w:tcPr>
            <w:tcW w:w="27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8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21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8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146"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16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8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r>
      <w:tr>
        <w:trPr/>
        <w:tc>
          <w:tcPr>
            <w:tcW w:w="27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8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w:t>
            </w:r>
          </w:p>
        </w:tc>
        <w:tc>
          <w:tcPr>
            <w:tcW w:w="21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8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46"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2,541</w:t>
            </w:r>
          </w:p>
        </w:tc>
        <w:tc>
          <w:tcPr>
            <w:tcW w:w="16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8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w:t>
            </w:r>
          </w:p>
        </w:tc>
      </w:tr>
      <w:tr>
        <w:trPr/>
        <w:tc>
          <w:tcPr>
            <w:tcW w:w="27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3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213" w:type="dxa"/>
            <w:tcBorders/>
            <w:shd w:fill="auto" w:val="clear"/>
            <w:vAlign w:val="bottom"/>
          </w:tcPr>
          <w:p>
            <w:pPr>
              <w:pStyle w:val="TableContents"/>
              <w:spacing w:before="0" w:after="283"/>
              <w:rPr/>
            </w:pPr>
            <w:r>
              <w:rPr/>
              <w:t> </w:t>
            </w:r>
          </w:p>
        </w:tc>
        <w:tc>
          <w:tcPr>
            <w:tcW w:w="33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w:t>
            </w:r>
          </w:p>
        </w:tc>
        <w:tc>
          <w:tcPr>
            <w:tcW w:w="146" w:type="dxa"/>
            <w:tcBorders/>
            <w:shd w:fill="auto" w:val="clear"/>
            <w:vAlign w:val="bottom"/>
          </w:tcPr>
          <w:p>
            <w:pPr>
              <w:pStyle w:val="TableContents"/>
              <w:spacing w:before="0" w:after="283"/>
              <w:rPr/>
            </w:pPr>
            <w:r>
              <w:rPr/>
              <w:t> </w:t>
            </w:r>
          </w:p>
        </w:tc>
        <w:tc>
          <w:tcPr>
            <w:tcW w:w="25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3,002</w:t>
            </w:r>
          </w:p>
        </w:tc>
        <w:tc>
          <w:tcPr>
            <w:tcW w:w="167" w:type="dxa"/>
            <w:tcBorders/>
            <w:shd w:fill="auto" w:val="clear"/>
            <w:vAlign w:val="bottom"/>
          </w:tcPr>
          <w:p>
            <w:pPr>
              <w:pStyle w:val="TableContents"/>
              <w:spacing w:before="0" w:after="283"/>
              <w:rPr/>
            </w:pPr>
            <w:r>
              <w:rPr/>
              <w:t> </w:t>
            </w:r>
          </w:p>
        </w:tc>
        <w:tc>
          <w:tcPr>
            <w:tcW w:w="25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allocated to cost of goods sold was not material for the three and six months ended December 31, 2022 and 2021. As of December 31, 2022, the unrecognized stock-based compensation expense related to outstanding unvested stock options was $3,580, which is expected to be recognized over a weighted-average period of 2.6 years.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the Company recorded $1,696 and $1,874, respectively, of stock-based compensation expense associated with earnout shares granted to holders of common stock held by current employees and directors and holders of options and RSUs. No amounts were recorded during the three and six months ended December 31, 2021 associated with earnout shares. Refer to Note 1 for further discussion of compensation recorded related to earnout shares granted to holders of common stock, options and RSUs.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Stock Purchase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with the closing of the Merger, the Company adopted and employee stock purchase plan (“ESPP”). 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activity under the plan during the three and six months ended December 31,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Stock-based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of CyborgOps (refer to Note 1),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three and six months ended December 31, 2022, the Company recognized $264 and $528 of stock-based compensation expense related to these equity awards, respectively. As of December 31, 2022, unrecognized stock-based compensation expense associated with these equity awards was $3,525, which is expected to be recognized over a weighted-average period of 3.37 years.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U.S. federal, state, and local corporate income taxes. The Company’s income tax expense was not material for the three and six months ended December 31, 2022 and 2021. The Company does not expect any material changes in tax position for the remainder of the fiscal year.</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Net Income (Loss) Per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net income (loss) per share attributable to common stockholders for the periods presented:</w:t>
      </w:r>
    </w:p>
    <w:tbl>
      <w:tblPr>
        <w:tblW w:w="10205" w:type="dxa"/>
        <w:jc w:val="left"/>
        <w:tblInd w:w="0" w:type="dxa"/>
        <w:tblCellMar>
          <w:top w:w="0" w:type="dxa"/>
          <w:left w:w="0" w:type="dxa"/>
          <w:bottom w:w="0" w:type="dxa"/>
          <w:right w:w="0" w:type="dxa"/>
        </w:tblCellMar>
      </w:tblPr>
      <w:tblGrid>
        <w:gridCol w:w="3385"/>
        <w:gridCol w:w="146"/>
        <w:gridCol w:w="226"/>
        <w:gridCol w:w="1186"/>
        <w:gridCol w:w="181"/>
        <w:gridCol w:w="146"/>
        <w:gridCol w:w="226"/>
        <w:gridCol w:w="1186"/>
        <w:gridCol w:w="181"/>
        <w:gridCol w:w="146"/>
        <w:gridCol w:w="226"/>
        <w:gridCol w:w="1186"/>
        <w:gridCol w:w="146"/>
        <w:gridCol w:w="226"/>
        <w:gridCol w:w="1186"/>
        <w:gridCol w:w="226"/>
      </w:tblGrid>
      <w:tr>
        <w:trPr/>
        <w:tc>
          <w:tcPr>
            <w:tcW w:w="338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33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shd w:fill="auto" w:val="clear"/>
            <w:vAlign w:val="bottom"/>
          </w:tcPr>
          <w:p>
            <w:pPr>
              <w:pStyle w:val="TableContents"/>
              <w:spacing w:before="0" w:after="283"/>
              <w:rPr/>
            </w:pPr>
            <w:r>
              <w:rPr/>
              <w:t> </w:t>
            </w:r>
          </w:p>
        </w:tc>
        <w:tc>
          <w:tcPr>
            <w:tcW w:w="319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33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41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38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385" w:type="dxa"/>
            <w:tcBorders/>
            <w:shd w:fill="auto" w:val="clear"/>
            <w:vAlign w:val="bottom"/>
          </w:tcPr>
          <w:p>
            <w:pPr>
              <w:pStyle w:val="TableContents"/>
              <w:spacing w:before="0" w:after="283"/>
              <w:rPr/>
            </w:pPr>
            <w:r>
              <w:rPr/>
              <w:t>Net income (loss) attributable to common stockholders, basic and diluted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8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38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income (loss) per share attributable to common stockholders, basic</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40,475,200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38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Weighted average dilutive effect of stock options, RSUs and warrants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10,299,972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38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50,775,172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38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basic</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8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diluted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potential weighted average shares of common stock that were excluded from the computation of diluted net loss per share attributable to common stockholders for the periods presented because including them would have been antidilutive are as follows:</w:t>
      </w:r>
    </w:p>
    <w:tbl>
      <w:tblPr>
        <w:tblW w:w="10205" w:type="dxa"/>
        <w:jc w:val="left"/>
        <w:tblInd w:w="0" w:type="dxa"/>
        <w:tblCellMar>
          <w:top w:w="0" w:type="dxa"/>
          <w:left w:w="0" w:type="dxa"/>
          <w:bottom w:w="0" w:type="dxa"/>
          <w:right w:w="0" w:type="dxa"/>
        </w:tblCellMar>
      </w:tblPr>
      <w:tblGrid>
        <w:gridCol w:w="4832"/>
        <w:gridCol w:w="146"/>
        <w:gridCol w:w="1186"/>
        <w:gridCol w:w="146"/>
        <w:gridCol w:w="1186"/>
        <w:gridCol w:w="146"/>
        <w:gridCol w:w="1186"/>
        <w:gridCol w:w="146"/>
        <w:gridCol w:w="1231"/>
      </w:tblGrid>
      <w:tr>
        <w:trPr/>
        <w:tc>
          <w:tcPr>
            <w:tcW w:w="483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5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shd w:fill="auto" w:val="clear"/>
            <w:vAlign w:val="bottom"/>
          </w:tcPr>
          <w:p>
            <w:pPr>
              <w:pStyle w:val="TableContents"/>
              <w:spacing w:before="0" w:after="283"/>
              <w:rPr/>
            </w:pPr>
            <w:r>
              <w:rPr/>
              <w:t> </w:t>
            </w:r>
          </w:p>
        </w:tc>
        <w:tc>
          <w:tcPr>
            <w:tcW w:w="256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483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and RSUs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12,904,421</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12,094,129</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198,692</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12,107,168</w:t>
            </w:r>
          </w:p>
        </w:tc>
      </w:tr>
      <w:tr>
        <w:trPr/>
        <w:tc>
          <w:tcPr>
            <w:tcW w:w="48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4,632,311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4,491,455</w:t>
            </w:r>
          </w:p>
        </w:tc>
      </w:tr>
      <w:tr>
        <w:trPr/>
        <w:tc>
          <w:tcPr>
            <w:tcW w:w="48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18,150,077</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3,564,182</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10,129,619</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3,520,164</w:t>
            </w:r>
          </w:p>
        </w:tc>
      </w:tr>
      <w:tr>
        <w:trPr/>
        <w:tc>
          <w:tcPr>
            <w:tcW w:w="48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potential shares of common stock excluded from the computation of diluted net income (loss) per share</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31,054,498</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20,290,622</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10,328,311</w:t>
            </w:r>
          </w:p>
        </w:tc>
        <w:tc>
          <w:tcPr>
            <w:tcW w:w="146" w:type="dxa"/>
            <w:tcBorders/>
            <w:shd w:fill="auto" w:val="clear"/>
            <w:vAlign w:val="bottom"/>
          </w:tcPr>
          <w:p>
            <w:pPr>
              <w:pStyle w:val="TableContents"/>
              <w:spacing w:before="0" w:after="283"/>
              <w:rPr/>
            </w:pPr>
            <w:r>
              <w:rPr/>
              <w:t> </w:t>
            </w:r>
          </w:p>
        </w:tc>
        <w:tc>
          <w:tcPr>
            <w:tcW w:w="123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20,118,787</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a weighted average of 10,129,619 shares of common stock were outstanding during the six months ended December 31, 2022 but were not included in the computation of diluted EPS because the warrants’ exercise prices were greater than the average market price of the common shares.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Net Income (Loss) Per Share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excluded a weighted average of 1,803,098 RSUs and 987,782 RSUs for the three and six months ended December 31, 2022, respectively, and the Company excluded a weighted average of 300,376 options for the three and six months ended December 31, 2021. These equity awards were excluded from the calculation of diluted EPS as they are subject to performance conditions for which the necessary conditions have not been satisfied.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excluded a weighted average of 15,000,000 and 8,315,217 earnout shares from the calculation of diluted EPS for the three and six months ended December 31, 2022 as they are subject to market conditions for which the necessary conditions have not been satisfied.</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Related Party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$9,566 of convertible promissory notes and embedded warrants with entities in which a member of the Company’s board of directors is an officer of the entity and has a financial interest in the entity (“affiliated entities”), classified as a current liability on the condensed consolidated balance sheet at that time. The convertible promissory notes and embedded warrants due to a related party were converted into shares of common stock in the Company during the six months ended December 31, 2022. As of December 31, 2022, the Company has no convertible promissory notes and embedded warrants balance due to a related party. Refer to Note 7 for further details.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2022, the Company received an equity investment of $1,000 from an investor in exchange for 133,133 shares in the Company. Refer to Note 9 for further details.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during the six months ended December 31, 2022, the Company granted 1,200,000 of RSUs to a director of the Company with a grant date fair value of $4.56 per RSU. Refer to Note 11 for further details.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Subsequent Events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8, 2023, at the meeting of the Company’s board of directors, the following resolutions were approved: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extended the post-termination exercise period from ninety days to three years for certain vested stock options held by an executive officer who is departing from the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waived the performance vesting conditions associated with RSUs granted to employees and consultants under the 2018 Plan. From the effective date of the board resolution, the affected RSUs vest solely based on the service condition associated with the RSUs.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to record increased stock-based compensation expense, beginning in the third quarter of fiscal year 2023 attributable to the modifications to the stock options and RSUs, and any associated earnout compensation effects.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3" w:name="T2007"/>
      <w:bookmarkEnd w:id="33"/>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the Board of Directors of</w:t>
        <w:br/>
        <w:t>E La Carte, Inc. (dba Presto)</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Opinion on the Financial Statements</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 Uncertainty</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for Opinion</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Moss Adams LLP</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 Francisco, California</w:t>
        <w:br/>
        <w:t>September 27, 2022 (December 16, 2022, as to the effects of the reverse capitalization described in Note 1)</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4" w:name="T2008"/>
      <w:bookmarkEnd w:id="34"/>
      <w:r>
        <w:rPr>
          <w:rFonts w:ascii="Times New Roman PS Std;serif" w:hAnsi="Times New Roman PS Std;serif"/>
          <w:b/>
          <w:i w:val="false"/>
          <w:caps w:val="false"/>
          <w:smallCaps w:val="false"/>
          <w:sz w:val="20"/>
        </w:rPr>
        <w:t>E LA CARTE, INC.</w:t>
        <w:br/>
        <w:t>(dba PRESTO)</w:t>
        <w:br/>
        <w:t>CONSOLIDATED BALANCE SHEETS</w:t>
        <w:br/>
        <w:t>(In thousands, except share and par value)</w:t>
      </w:r>
    </w:p>
    <w:tbl>
      <w:tblPr>
        <w:tblW w:w="10205" w:type="dxa"/>
        <w:jc w:val="left"/>
        <w:tblInd w:w="0" w:type="dxa"/>
        <w:tblCellMar>
          <w:top w:w="0" w:type="dxa"/>
          <w:left w:w="0" w:type="dxa"/>
          <w:bottom w:w="0" w:type="dxa"/>
          <w:right w:w="0" w:type="dxa"/>
        </w:tblCellMar>
      </w:tblPr>
      <w:tblGrid>
        <w:gridCol w:w="7132"/>
        <w:gridCol w:w="146"/>
        <w:gridCol w:w="226"/>
        <w:gridCol w:w="961"/>
        <w:gridCol w:w="181"/>
        <w:gridCol w:w="146"/>
        <w:gridCol w:w="226"/>
        <w:gridCol w:w="961"/>
        <w:gridCol w:w="226"/>
      </w:tblGrid>
      <w:tr>
        <w:trPr/>
        <w:tc>
          <w:tcPr>
            <w:tcW w:w="7132"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92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7132"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6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4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doubtful accounts of $353 and $902 as of June 30, 2022 and 2021, respectively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current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54,187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net of current portion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70,259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obligations, current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current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 current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9,854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 current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current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146,609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net of current portion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obligations, net of current portion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 net of current portion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52,727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 net of current portion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net of current portion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152,995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140,278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(Refer to Note 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deficit: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 1,500,000 shares authorized as of June 30, 2022 and June 30, 2021 after recapitalization; no shares issued and outstanding as of June 30, 2022 and June 30, 2021 after recapitalization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 180,000,000 shares authorized as of June 30, 2022 and June 30, 2021, respectively; 27,974,439 and 27,112,760 shares issued and outstanding as of June 30, 2022 and June 30, 2021, respectively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78,321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74,447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(200,783</w:t>
            </w:r>
          </w:p>
        </w:tc>
        <w:tc>
          <w:tcPr>
            <w:tcW w:w="18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(144,469</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(122,459</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(70,019</w:t>
            </w:r>
          </w:p>
        </w:tc>
        <w:tc>
          <w:tcPr>
            <w:tcW w:w="2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deficit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70,259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5" w:name="T2009"/>
      <w:bookmarkEnd w:id="35"/>
      <w:r>
        <w:rPr>
          <w:rFonts w:ascii="Times New Roman PS Std;serif" w:hAnsi="Times New Roman PS Std;serif"/>
          <w:b/>
          <w:i w:val="false"/>
          <w:caps w:val="false"/>
          <w:smallCaps w:val="false"/>
          <w:sz w:val="20"/>
        </w:rPr>
        <w:t>E LA CARTE, INC.</w:t>
        <w:br/>
        <w:t>(dba PRESTO)</w:t>
        <w:br/>
        <w:t>CONSOLIDATED STATEMENTS OF OPERATIONS AND COMPREHENSIVE LOSS</w:t>
        <w:br/>
        <w:t>(in thousands, except share and per share amounts)</w:t>
      </w:r>
    </w:p>
    <w:tbl>
      <w:tblPr>
        <w:tblW w:w="10205" w:type="dxa"/>
        <w:jc w:val="left"/>
        <w:tblInd w:w="0" w:type="dxa"/>
        <w:tblCellMar>
          <w:top w:w="0" w:type="dxa"/>
          <w:left w:w="0" w:type="dxa"/>
          <w:bottom w:w="0" w:type="dxa"/>
          <w:right w:w="0" w:type="dxa"/>
        </w:tblCellMar>
      </w:tblPr>
      <w:tblGrid>
        <w:gridCol w:w="6682"/>
        <w:gridCol w:w="146"/>
        <w:gridCol w:w="226"/>
        <w:gridCol w:w="1186"/>
        <w:gridCol w:w="181"/>
        <w:gridCol w:w="146"/>
        <w:gridCol w:w="226"/>
        <w:gridCol w:w="1186"/>
        <w:gridCol w:w="226"/>
      </w:tblGrid>
      <w:tr>
        <w:trPr/>
        <w:tc>
          <w:tcPr>
            <w:tcW w:w="668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37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 Ended June 30,</w:t>
            </w:r>
          </w:p>
        </w:tc>
      </w:tr>
      <w:tr>
        <w:trPr/>
        <w:tc>
          <w:tcPr>
            <w:tcW w:w="668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30,351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29,912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29,718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33,847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25,566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(33,214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(24,518</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(23,330</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(25,261</w:t>
            </w:r>
          </w:p>
        </w:tc>
        <w:tc>
          <w:tcPr>
            <w:tcW w:w="2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(benefit) 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(56,544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(49,779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and comprehensive loss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(56,314</w:t>
            </w:r>
          </w:p>
        </w:tc>
        <w:tc>
          <w:tcPr>
            <w:tcW w:w="18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(49,802</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2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loss per share attributable to common stockholders, basic and diluted</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27,268,887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27,065,512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6" w:name="T2010"/>
      <w:bookmarkEnd w:id="36"/>
      <w:r>
        <w:rPr>
          <w:rFonts w:ascii="Times New Roman PS Std;serif" w:hAnsi="Times New Roman PS Std;serif"/>
          <w:b/>
          <w:i w:val="false"/>
          <w:caps w:val="false"/>
          <w:smallCaps w:val="false"/>
          <w:sz w:val="20"/>
        </w:rPr>
        <w:t>E LA CARTE, INC.</w:t>
        <w:br/>
        <w:t>(dba PRESTO)</w:t>
        <w:br/>
        <w:t>CONSOLIDATED STATEMENTS OF STOCKHOLDERS’ DEFICIT</w:t>
        <w:br/>
        <w:t>(in thousands, except share data)</w:t>
      </w:r>
    </w:p>
    <w:tbl>
      <w:tblPr>
        <w:tblW w:w="10205" w:type="dxa"/>
        <w:jc w:val="left"/>
        <w:tblInd w:w="0" w:type="dxa"/>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62"/>
        <w:gridCol w:w="915"/>
        <w:gridCol w:w="264"/>
      </w:tblGrid>
      <w:tr>
        <w:trPr/>
        <w:tc>
          <w:tcPr>
            <w:tcW w:w="136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shd w:fill="auto" w:val="clear"/>
            <w:vAlign w:val="bottom"/>
          </w:tcPr>
          <w:p>
            <w:pPr>
              <w:pStyle w:val="TableContents"/>
              <w:spacing w:before="0" w:after="283"/>
              <w:rPr/>
            </w:pPr>
            <w:r>
              <w:rPr/>
              <w:t> </w:t>
            </w:r>
          </w:p>
        </w:tc>
        <w:tc>
          <w:tcPr>
            <w:tcW w:w="144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gridSpan w:val="3"/>
            <w:vMerge w:val="continue"/>
            <w:tcBorders/>
            <w:shd w:fill="auto" w:val="clear"/>
            <w:vAlign w:val="bottom"/>
          </w:tcPr>
          <w:p>
            <w:pPr>
              <w:pStyle w:val="Normal"/>
              <w:rPr/>
            </w:pPr>
            <w:r>
              <w:rPr/>
            </w:r>
          </w:p>
        </w:tc>
      </w:tr>
      <w:tr>
        <w:trPr/>
        <w:tc>
          <w:tcPr>
            <w:tcW w:w="136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2020,</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5,034,446</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73,654</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(94,667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(20,980</w:t>
            </w:r>
          </w:p>
        </w:tc>
        <w:tc>
          <w:tcPr>
            <w:tcW w:w="26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Retrospective application of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recapitalization (Note 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21,999,016</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6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27,033,462</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73,684</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(94,667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(20,980</w:t>
            </w:r>
          </w:p>
        </w:tc>
        <w:tc>
          <w:tcPr>
            <w:tcW w:w="26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79,298</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w:t>
            </w:r>
          </w:p>
        </w:tc>
        <w:tc>
          <w:tcPr>
            <w:tcW w:w="26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w:t>
            </w:r>
          </w:p>
        </w:tc>
        <w:tc>
          <w:tcPr>
            <w:tcW w:w="26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(49,802</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15"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(49,802</w:t>
            </w:r>
          </w:p>
        </w:tc>
        <w:tc>
          <w:tcPr>
            <w:tcW w:w="264"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2021</w:t>
            </w:r>
          </w:p>
        </w:tc>
        <w:tc>
          <w:tcPr>
            <w:tcW w:w="146" w:type="dxa"/>
            <w:tcBorders/>
            <w:shd w:fill="CCEEFF" w:val="clear"/>
            <w:vAlign w:val="bottom"/>
          </w:tcPr>
          <w:p>
            <w:pPr>
              <w:pStyle w:val="TableContents"/>
              <w:spacing w:before="0" w:after="283"/>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27,112,760</w:t>
            </w:r>
          </w:p>
        </w:tc>
        <w:tc>
          <w:tcPr>
            <w:tcW w:w="146" w:type="dxa"/>
            <w:tcBorders/>
            <w:shd w:fill="CCEEFF" w:val="clear"/>
            <w:vAlign w:val="bottom"/>
          </w:tcPr>
          <w:p>
            <w:pPr>
              <w:pStyle w:val="TableContents"/>
              <w:spacing w:before="0" w:after="283"/>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74,447</w:t>
            </w:r>
          </w:p>
        </w:tc>
        <w:tc>
          <w:tcPr>
            <w:tcW w:w="146" w:type="dxa"/>
            <w:tcBorders/>
            <w:shd w:fill="CCEEFF" w:val="clear"/>
            <w:vAlign w:val="bottom"/>
          </w:tcPr>
          <w:p>
            <w:pPr>
              <w:pStyle w:val="TableContents"/>
              <w:spacing w:before="0" w:after="283"/>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62" w:type="dxa"/>
            <w:tcBorders>
              <w:bottom w:val="double" w:sz="2" w:space="0" w:color="000000"/>
            </w:tcBorders>
            <w:shd w:fill="CCEEFF"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64"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tbl>
      <w:tblPr>
        <w:tblW w:w="10205" w:type="dxa"/>
        <w:jc w:val="left"/>
        <w:tblInd w:w="0" w:type="dxa"/>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40"/>
        <w:gridCol w:w="959"/>
        <w:gridCol w:w="242"/>
      </w:tblGrid>
      <w:tr>
        <w:trPr/>
        <w:tc>
          <w:tcPr>
            <w:tcW w:w="136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t>Accumulated</w:t>
              <w:br/>
              <w:t>Deficit</w:t>
            </w:r>
          </w:p>
        </w:tc>
        <w:tc>
          <w:tcPr>
            <w:tcW w:w="146" w:type="dxa"/>
            <w:vMerge w:val="restart"/>
            <w:tcBorders/>
            <w:shd w:fill="auto" w:val="clear"/>
            <w:vAlign w:val="bottom"/>
          </w:tcPr>
          <w:p>
            <w:pPr>
              <w:pStyle w:val="TableContents"/>
              <w:spacing w:before="0" w:after="283"/>
              <w:rPr/>
            </w:pPr>
            <w:r>
              <w:rPr/>
              <w:t> </w:t>
            </w:r>
          </w:p>
        </w:tc>
        <w:tc>
          <w:tcPr>
            <w:tcW w:w="144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Equity</w:t>
              <w:br/>
              <w:t>(Deficit)</w:t>
            </w:r>
          </w:p>
        </w:tc>
      </w:tr>
      <w:tr>
        <w:trPr/>
        <w:tc>
          <w:tcPr>
            <w:tcW w:w="13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gridSpan w:val="3"/>
            <w:vMerge w:val="continue"/>
            <w:tcBorders/>
            <w:shd w:fill="auto" w:val="clear"/>
            <w:vAlign w:val="bottom"/>
          </w:tcPr>
          <w:p>
            <w:pPr>
              <w:pStyle w:val="Normal"/>
              <w:rPr/>
            </w:pPr>
            <w:r>
              <w:rPr/>
            </w:r>
          </w:p>
        </w:tc>
      </w:tr>
      <w:tr>
        <w:trPr/>
        <w:tc>
          <w:tcPr>
            <w:tcW w:w="136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2021</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5,132,354</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74,417</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21,980,406</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27,112,760</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74,447</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259,915</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1,947</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1,947</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Fair value of newly issued non-voting common stock warrants (refer to Note 2)</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712</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712</w:t>
            </w:r>
          </w:p>
        </w:tc>
        <w:tc>
          <w:tcPr>
            <w:tcW w:w="2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for CyborgOps acquisition (refer to Note 15)</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601,764</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w:t>
            </w:r>
          </w:p>
        </w:tc>
        <w:tc>
          <w:tcPr>
            <w:tcW w:w="2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6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1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(56,314</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59"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(56,314</w:t>
            </w:r>
          </w:p>
        </w:tc>
        <w:tc>
          <w:tcPr>
            <w:tcW w:w="242"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2022</w:t>
            </w:r>
          </w:p>
        </w:tc>
        <w:tc>
          <w:tcPr>
            <w:tcW w:w="146" w:type="dxa"/>
            <w:tcBorders/>
            <w:shd w:fill="CCEEFF" w:val="clear"/>
            <w:vAlign w:val="bottom"/>
          </w:tcPr>
          <w:p>
            <w:pPr>
              <w:pStyle w:val="TableContents"/>
              <w:spacing w:before="0" w:after="283"/>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27,974,439</w:t>
            </w:r>
          </w:p>
        </w:tc>
        <w:tc>
          <w:tcPr>
            <w:tcW w:w="146" w:type="dxa"/>
            <w:tcBorders/>
            <w:shd w:fill="CCEEFF" w:val="clear"/>
            <w:vAlign w:val="bottom"/>
          </w:tcPr>
          <w:p>
            <w:pPr>
              <w:pStyle w:val="TableContents"/>
              <w:spacing w:before="0" w:after="283"/>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78,321</w:t>
            </w:r>
          </w:p>
        </w:tc>
        <w:tc>
          <w:tcPr>
            <w:tcW w:w="146" w:type="dxa"/>
            <w:tcBorders/>
            <w:shd w:fill="CCEEFF" w:val="clear"/>
            <w:vAlign w:val="bottom"/>
          </w:tcPr>
          <w:p>
            <w:pPr>
              <w:pStyle w:val="TableContents"/>
              <w:spacing w:before="0" w:after="283"/>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(200,783</w:t>
            </w:r>
          </w:p>
        </w:tc>
        <w:tc>
          <w:tcPr>
            <w:tcW w:w="18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(122,459</w:t>
            </w:r>
          </w:p>
        </w:tc>
        <w:tc>
          <w:tcPr>
            <w:tcW w:w="242"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7" w:name="T2011"/>
      <w:bookmarkEnd w:id="37"/>
      <w:r>
        <w:rPr>
          <w:rFonts w:ascii="Times New Roman PS Std;serif" w:hAnsi="Times New Roman PS Std;serif"/>
          <w:b/>
          <w:i w:val="false"/>
          <w:caps w:val="false"/>
          <w:smallCaps w:val="false"/>
          <w:sz w:val="20"/>
        </w:rPr>
        <w:t>E LA CARTE, INC.</w:t>
        <w:br/>
        <w:t>(dba PRESTO)</w:t>
        <w:br/>
        <w:t>CONSOLIDATED STATEMENTS OF CASH FLOWS</w:t>
        <w:br/>
        <w:t>(in thousands)</w:t>
      </w:r>
    </w:p>
    <w:tbl>
      <w:tblPr>
        <w:tblW w:w="10205" w:type="dxa"/>
        <w:jc w:val="left"/>
        <w:tblInd w:w="0" w:type="dxa"/>
        <w:tblCellMar>
          <w:top w:w="0" w:type="dxa"/>
          <w:left w:w="0" w:type="dxa"/>
          <w:bottom w:w="0" w:type="dxa"/>
          <w:right w:w="0" w:type="dxa"/>
        </w:tblCellMar>
      </w:tblPr>
      <w:tblGrid>
        <w:gridCol w:w="7372"/>
        <w:gridCol w:w="146"/>
        <w:gridCol w:w="226"/>
        <w:gridCol w:w="841"/>
        <w:gridCol w:w="181"/>
        <w:gridCol w:w="146"/>
        <w:gridCol w:w="226"/>
        <w:gridCol w:w="841"/>
        <w:gridCol w:w="226"/>
      </w:tblGrid>
      <w:tr>
        <w:trPr/>
        <w:tc>
          <w:tcPr>
            <w:tcW w:w="737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amortization and impairment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liability classified warrants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debt issuance costs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debt extinguishment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Paid-in-kind 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11,361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 financing facility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2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(47,299</w:t>
            </w:r>
          </w:p>
        </w:tc>
        <w:tc>
          <w:tcPr>
            <w:tcW w:w="18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(23,772</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relating to capitalized software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CyborgOps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18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(2,213</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w:t>
            </w:r>
          </w:p>
        </w:tc>
        <w:tc>
          <w:tcPr>
            <w:tcW w:w="2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exercise of common stock options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term loans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promissory notes and embedded warrants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of financing obligations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term loans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PPP loans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financing obligations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transaction costs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57,040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(33,892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32,722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year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F-45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CONSOLIDATED STATEMENTS OF CASH FLOWS — (Continued)</w:t>
        <w:br/>
        <w:t>(in thousands)</w:t>
      </w:r>
    </w:p>
    <w:tbl>
      <w:tblPr>
        <w:tblW w:w="10205" w:type="dxa"/>
        <w:jc w:val="left"/>
        <w:tblInd w:w="0" w:type="dxa"/>
        <w:tblCellMar>
          <w:top w:w="0" w:type="dxa"/>
          <w:left w:w="0" w:type="dxa"/>
          <w:bottom w:w="0" w:type="dxa"/>
          <w:right w:w="0" w:type="dxa"/>
        </w:tblCellMar>
      </w:tblPr>
      <w:tblGrid>
        <w:gridCol w:w="7823"/>
        <w:gridCol w:w="146"/>
        <w:gridCol w:w="226"/>
        <w:gridCol w:w="766"/>
        <w:gridCol w:w="181"/>
        <w:gridCol w:w="146"/>
        <w:gridCol w:w="226"/>
        <w:gridCol w:w="691"/>
      </w:tblGrid>
      <w:tr>
        <w:trPr/>
        <w:tc>
          <w:tcPr>
            <w:tcW w:w="782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3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78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82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91" w:type="dxa"/>
            <w:tcBorders/>
            <w:shd w:fill="CCEEFF" w:val="clear"/>
            <w:vAlign w:val="bottom"/>
          </w:tcPr>
          <w:p>
            <w:pPr>
              <w:pStyle w:val="TableContents"/>
              <w:spacing w:before="0" w:after="283"/>
              <w:rPr/>
            </w:pPr>
            <w:r>
              <w:rPr/>
              <w:t> </w:t>
            </w:r>
          </w:p>
        </w:tc>
      </w:tr>
      <w:tr>
        <w:trPr/>
        <w:tc>
          <w:tcPr>
            <w:tcW w:w="782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82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w:t>
            </w:r>
          </w:p>
        </w:tc>
      </w:tr>
      <w:tr>
        <w:trPr/>
        <w:tc>
          <w:tcPr>
            <w:tcW w:w="782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Investing and Financing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91" w:type="dxa"/>
            <w:tcBorders/>
            <w:shd w:fill="auto" w:val="clear"/>
            <w:vAlign w:val="bottom"/>
          </w:tcPr>
          <w:p>
            <w:pPr>
              <w:pStyle w:val="TableContents"/>
              <w:spacing w:before="0" w:after="283"/>
              <w:rPr/>
            </w:pPr>
            <w:r>
              <w:rPr/>
              <w:t> </w:t>
            </w:r>
          </w:p>
        </w:tc>
      </w:tr>
      <w:tr>
        <w:trPr/>
        <w:tc>
          <w:tcPr>
            <w:tcW w:w="782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Cancellation of June 2021 Note and related accrued interest, with issuance of February 2022 Note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782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947</w:t>
            </w:r>
          </w:p>
        </w:tc>
      </w:tr>
      <w:tr>
        <w:trPr/>
        <w:tc>
          <w:tcPr>
            <w:tcW w:w="782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782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in CyborgOps acquisition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782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consideration – CyborgOps acquisition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7823"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 recorded in accounts payable and accrued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bl>
    <w:p>
      <w:pPr>
        <w:pStyle w:val="TextBody"/>
        <w:keepNext w:val="false"/>
        <w:pageBreakBefore w:val="false"/>
        <w:widowControl/>
        <w:pBdr/>
        <w:spacing w:before="8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8" w:name="T2012"/>
      <w:bookmarkEnd w:id="38"/>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Summary of Business and Significant Accounting Policies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la Carte, Inc.(formerly, KHR Technologies, Inc.) was incorporated in the State of Delaware in October 2008. In 2018, E la Carte, Inc. together with its subsidiary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adopted “Presto” as its trade name or doing business as (“</w:t>
      </w:r>
      <w:r>
        <w:rPr>
          <w:rFonts w:ascii="Times New Roman PS Std;serif" w:hAnsi="Times New Roman PS Std;serif"/>
          <w:b/>
          <w:i w:val="false"/>
          <w:caps w:val="false"/>
          <w:smallCaps w:val="false"/>
          <w:sz w:val="20"/>
        </w:rPr>
        <w:t>dba</w:t>
      </w:r>
      <w:r>
        <w:rPr>
          <w:rFonts w:ascii="Times New Roman PS Std;serif" w:hAnsi="Times New Roman PS Std;serif"/>
          <w:b w:val="false"/>
          <w:i w:val="false"/>
          <w:caps w:val="false"/>
          <w:smallCaps w:val="false"/>
          <w:sz w:val="20"/>
        </w:rPr>
        <w:t>”) name. In February 2019, the Company formed Presto Technology, Inc. as a wholly owned subsidiary located in Ontario, Canada. The Company is headquartered in Redwood City, California.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Fiscal Year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fiscal year ends on June 30. References to fiscal 2022, for example, refer to the fiscal year ended June 30,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generally accepted accounting principles in the United States of America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and the rules and regulations of the Securities and Exchange Commission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Times New Roman PS Std;serif" w:hAnsi="Times New Roman PS Std;serif"/>
          <w:b/>
          <w:i w:val="false"/>
          <w:caps w:val="false"/>
          <w:smallCaps w:val="false"/>
          <w:sz w:val="20"/>
        </w:rPr>
        <w:t>FASB</w:t>
      </w:r>
      <w:r>
        <w:rPr>
          <w:rFonts w:ascii="Times New Roman PS Std;serif" w:hAnsi="Times New Roman PS Std;serif"/>
          <w:b w:val="false"/>
          <w:i w:val="false"/>
          <w:caps w:val="false"/>
          <w:smallCaps w:val="false"/>
          <w:sz w:val="20"/>
        </w:rPr>
        <w:t>”) as the source of authoritative U.S. GAAP.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Upon the consummation of the Merger, each share of the Company’s common stock then issued and outstanding was canceled and converted into the right to receive 0.8099 shares (the “Exchange Ratio”) of common stock of Ventoux. Refer to Note 18 for further details regarding the Merger.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accounted for as a reverse recapitalization in accordance with GAAP. Under this method of accounting, Ventoux was treated as the “acquired” company for financial reporting purposes. Accordingly, for accounting purposes, the Merger was treated as the equivalent of Presto issuing stock for the net assets of Ventoux, accompanied by a recapitalization.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U.S. GAAP, the Company retroactively applied the recapitalization to the Company’s equity structure, including the consolidated statements of stockholders’ deficit for the years ended June 30, 2022 and 2021, the components within total stockholders’ deficit within the Company’s consolidated balance sheets as of June 30, 2022 and 2021 and to the net loss per share and weighted average outstanding shares basic and diluted within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 of operations and comprehensive loss, the for the years ended June 30, 2022 and 2021. Further, the Company has retroactively applied the recapitalization to certain notes to the consolidated financial statements, as indicated.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 and Uncertainties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on the restaurant industry.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Impact of COVID-19</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PS Std;serif" w:hAnsi="Times New Roman PS Std;serif"/>
          <w:b/>
          <w:i w:val="false"/>
          <w:caps w:val="false"/>
          <w:smallCaps w:val="false"/>
          <w:sz w:val="20"/>
        </w:rPr>
        <w:t>PPP</w:t>
      </w:r>
      <w:r>
        <w:rPr>
          <w:rFonts w:ascii="Times New Roman PS Std;serif" w:hAnsi="Times New Roman PS Std;serif"/>
          <w:b w:val="false"/>
          <w:i w:val="false"/>
          <w:caps w:val="false"/>
          <w:smallCaps w:val="false"/>
          <w:sz w:val="20"/>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and 2021, the Company’s principal sources of liquidity were cash and cash equivalents of $3,017 and $36,909, respectively, which were held for working capital purposes.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Times New Roman PS Std;serif" w:hAnsi="Times New Roman PS Std;serif"/>
          <w:b/>
          <w:i w:val="false"/>
          <w:caps w:val="false"/>
          <w:smallCaps w:val="false"/>
          <w:sz w:val="20"/>
        </w:rPr>
        <w:t>deSPA</w:t>
      </w:r>
      <w:r>
        <w:rPr>
          <w:rFonts w:ascii="Times New Roman PS Std;serif" w:hAnsi="Times New Roman PS Std;serif"/>
          <w:b w:val="false"/>
          <w:i w:val="false"/>
          <w:caps w:val="false"/>
          <w:smallCaps w:val="false"/>
          <w:sz w:val="20"/>
        </w:rPr>
        <w:t xml:space="preserve">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that the financial statements are available to be issued. The Company’s financial statements have been prepared on a going concern basis, which contemplates the realization of assets and satisfaction of liabilities in the normal course of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 Significant Customers and Investments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revenues during the years ended June 30:</w:t>
      </w:r>
    </w:p>
    <w:tbl>
      <w:tblPr>
        <w:tblW w:w="2862" w:type="dxa"/>
        <w:jc w:val="left"/>
        <w:tblInd w:w="0" w:type="dxa"/>
        <w:tblCellMar>
          <w:top w:w="0" w:type="dxa"/>
          <w:left w:w="0" w:type="dxa"/>
          <w:bottom w:w="0" w:type="dxa"/>
          <w:right w:w="0" w:type="dxa"/>
        </w:tblCellMar>
      </w:tblPr>
      <w:tblGrid>
        <w:gridCol w:w="1261"/>
        <w:gridCol w:w="146"/>
        <w:gridCol w:w="346"/>
        <w:gridCol w:w="286"/>
        <w:gridCol w:w="146"/>
        <w:gridCol w:w="346"/>
        <w:gridCol w:w="331"/>
      </w:tblGrid>
      <w:tr>
        <w:trPr/>
        <w:tc>
          <w:tcPr>
            <w:tcW w:w="12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67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accounts receivable during the years ended June 30:</w:t>
      </w:r>
    </w:p>
    <w:tbl>
      <w:tblPr>
        <w:tblW w:w="2982" w:type="dxa"/>
        <w:jc w:val="left"/>
        <w:tblInd w:w="0" w:type="dxa"/>
        <w:tblCellMar>
          <w:top w:w="0" w:type="dxa"/>
          <w:left w:w="0" w:type="dxa"/>
          <w:bottom w:w="0" w:type="dxa"/>
          <w:right w:w="0" w:type="dxa"/>
        </w:tblCellMar>
      </w:tblPr>
      <w:tblGrid>
        <w:gridCol w:w="1381"/>
        <w:gridCol w:w="146"/>
        <w:gridCol w:w="346"/>
        <w:gridCol w:w="286"/>
        <w:gridCol w:w="146"/>
        <w:gridCol w:w="346"/>
        <w:gridCol w:w="331"/>
      </w:tblGrid>
      <w:tr>
        <w:trPr/>
        <w:tc>
          <w:tcPr>
            <w:tcW w:w="138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67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3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8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3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8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33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w:t>
            </w:r>
          </w:p>
        </w:tc>
        <w:tc>
          <w:tcPr>
            <w:tcW w:w="331"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r>
      <w:tr>
        <w:trPr/>
        <w:tc>
          <w:tcPr>
            <w:tcW w:w="138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46"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8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6"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33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Customers with a dash accounted for less than 10% of accounts receivable at period end.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Comprehensive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 is comprised of net loss and other comprehensive income (loss). The Company has no components of other comprehensive loss. Therefore, net loss equals comprehensive loss for all periods presented.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prices in active markets for identical assets as of the reporting date.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Unobservable inputs that are supported by little or no market activity and that are significant to the fair value of the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financial instruments purchased with original maturities of three months or less to be cash equivalents. As of June 30, 2022 and 2021, cash and cash equivalents consists solely of cash held in financial institutions.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 Net and Allowance for Doubtful Accounts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Intangible assets,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Times New Roman PS Std;serif" w:hAnsi="Times New Roman PS Std;serif"/>
          <w:b/>
          <w:i w:val="false"/>
          <w:caps w:val="false"/>
          <w:smallCaps w:val="false"/>
          <w:sz w:val="20"/>
        </w:rPr>
        <w:t>ASC</w:t>
      </w:r>
      <w:r>
        <w:rPr>
          <w:rFonts w:ascii="Times New Roman PS Std;serif" w:hAnsi="Times New Roman PS Std;serif"/>
          <w:b w:val="false"/>
          <w:i w:val="false"/>
          <w:caps w:val="false"/>
          <w:smallCaps w:val="false"/>
          <w:sz w:val="20"/>
        </w:rPr>
        <w:t xml:space="preserve">”) 350-40, </w:t>
      </w:r>
      <w:r>
        <w:rPr>
          <w:rFonts w:ascii="Times New Roman PS Std;serif" w:hAnsi="Times New Roman PS Std;serif"/>
          <w:b w:val="false"/>
          <w:i/>
          <w:caps w:val="false"/>
          <w:smallCaps w:val="false"/>
          <w:sz w:val="20"/>
        </w:rPr>
        <w:t>Internal-Use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Software</w:t>
      </w:r>
      <w:r>
        <w:rPr>
          <w:rFonts w:ascii="Times New Roman PS Std;serif" w:hAnsi="Times New Roman PS Std;serif"/>
          <w:b w:val="false"/>
          <w:i w:val="false"/>
          <w:caps w:val="false"/>
          <w:smallCaps w:val="false"/>
          <w:sz w:val="20"/>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its revenue in accordance with ASC 606 </w:t>
      </w:r>
      <w:r>
        <w:rPr>
          <w:rFonts w:ascii="Times New Roman PS Std;serif" w:hAnsi="Times New Roman PS Std;serif"/>
          <w:b w:val="false"/>
          <w:i/>
          <w:caps w:val="false"/>
          <w:smallCaps w:val="false"/>
          <w:sz w:val="20"/>
        </w:rPr>
        <w:t xml:space="preserve">Revenue from Contracts with Customers. </w:t>
      </w:r>
      <w:r>
        <w:rPr>
          <w:rFonts w:ascii="Times New Roman PS Std;serif" w:hAnsi="Times New Roman PS Std;serif"/>
          <w:b w:val="false"/>
          <w:i w:val="false"/>
          <w:caps w:val="false"/>
          <w:smallCaps w:val="false"/>
          <w:sz w:val="20"/>
        </w:rPr>
        <w:t>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2022 and 2021, the Company derived its revenues from two revenue streams: (1) sales and leases of the Presto Touch product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and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revenue recognition through the following steps: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Identification of the contract, or contracts, with a customer — the Company enters into a master sales agreement (“</w:t>
      </w:r>
      <w:r>
        <w:rPr>
          <w:rFonts w:ascii="Times New Roman PS Std;serif" w:hAnsi="Times New Roman PS Std;serif"/>
          <w:b/>
          <w:i w:val="false"/>
          <w:caps w:val="false"/>
          <w:smallCaps w:val="false"/>
          <w:sz w:val="20"/>
        </w:rPr>
        <w:t>MSA</w:t>
      </w:r>
      <w:r>
        <w:rPr>
          <w:rFonts w:ascii="Times New Roman PS Std;serif" w:hAnsi="Times New Roman PS Std;serif"/>
          <w:b w:val="false"/>
          <w:i w:val="false"/>
          <w:caps w:val="false"/>
          <w:smallCaps w:val="false"/>
          <w:sz w:val="20"/>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identified the following performance obligations: for the MSAs and license agreements, 1) sales or leases of hardware, software-as-a-service (“</w:t>
      </w:r>
      <w:r>
        <w:rPr>
          <w:rFonts w:ascii="Times New Roman PS Std;serif" w:hAnsi="Times New Roman PS Std;serif"/>
          <w:b/>
          <w:i w:val="false"/>
          <w:caps w:val="false"/>
          <w:smallCaps w:val="false"/>
          <w:sz w:val="20"/>
        </w:rPr>
        <w:t>Saas</w:t>
      </w:r>
      <w:r>
        <w:rPr>
          <w:rFonts w:ascii="Times New Roman PS Std;serif" w:hAnsi="Times New Roman PS Std;serif"/>
          <w:b w:val="false"/>
          <w:i w:val="false"/>
          <w:caps w:val="false"/>
          <w:smallCaps w:val="false"/>
          <w:sz w:val="20"/>
        </w:rPr>
        <w:t>”) and maintenance as one combined performance obligation (“</w:t>
      </w:r>
      <w:r>
        <w:rPr>
          <w:rFonts w:ascii="Times New Roman PS Std;serif" w:hAnsi="Times New Roman PS Std;serif"/>
          <w:b/>
          <w:i w:val="false"/>
          <w:caps w:val="false"/>
          <w:smallCaps w:val="false"/>
          <w:sz w:val="20"/>
        </w:rPr>
        <w:t>Presto Touch</w:t>
      </w:r>
      <w:r>
        <w:rPr>
          <w:rFonts w:ascii="Times New Roman PS Std;serif" w:hAnsi="Times New Roman PS Std;serif"/>
          <w:b w:val="false"/>
          <w:i w:val="false"/>
          <w:caps w:val="false"/>
          <w:smallCaps w:val="false"/>
          <w:sz w:val="20"/>
        </w:rPr>
        <w:t>”) and for gaming agreements, 2) premium content, or gaming. Professional services were insignificant during fiscal years 2022 and 2021.</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Costs Capitalized to Obtain Revenue Contracts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commissions and associated payroll taxes paid to internal sales personnel that are incremental costs resulting from obtaining a non-cancelable contract with a customer are capitalized and recognized over the estimated customer life, if material.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Incremental costs incurred to obtain a contract were immaterial during the years ended June 30, 2022, and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 and Deferred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Cost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Cost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Impairment Cost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cost of revenue consists primarily of the costs of assets that are included in property and equipment, net in the balance sheet that are amortized to cost of revenue and related impairment charges.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year ended June 30, 2022 and 2021 include $582 and $3,342, respectively, in losses on infrequent product repairs (refer to “</w:t>
      </w:r>
      <w:r>
        <w:rPr>
          <w:rFonts w:ascii="Times New Roman PS Std;serif" w:hAnsi="Times New Roman PS Std;serif"/>
          <w:b w:val="false"/>
          <w:i/>
          <w:caps w:val="false"/>
          <w:smallCaps w:val="false"/>
          <w:sz w:val="20"/>
        </w:rPr>
        <w:t>Impact of COVID-19</w:t>
      </w:r>
      <w:r>
        <w:rPr>
          <w:rFonts w:ascii="Times New Roman PS Std;serif" w:hAnsi="Times New Roman PS Std;serif"/>
          <w:b w:val="false"/>
          <w:i w:val="false"/>
          <w:caps w:val="false"/>
          <w:smallCaps w:val="false"/>
          <w:sz w:val="20"/>
        </w:rPr>
        <w:t>”). These damages were caused by customers’ use of commercial disinfectant solutions as a precautionary protocol in response to COVID-19, which caused damage to the devices and required significant repairs or replacement.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Advertising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advertising and promotional costs are expensed as incurred. Advertising costs were $36 and $10 for the years ended June 30, 2022 and 2021, respectively and are included in sales and marketing expense.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leases in accordance with ASC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Shipping and handling costs and sales tax</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Shipping and handling costs are classified as a component of cost of revenue. Fees charged to customers for shipping and handling are recorded as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tax collected from customers and remitted to taxing authorities is excluded from revenue and is included in accrued liabilities on the Company’s consolidated balance sheets.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interest and penalties related to income tax matters in income tax expense. As of June 30, 2022 and 2021, the Company has no accrued interest and penalties related to uncertain tax positions.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 Per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 Prior to the impact of the retroactive application of the recapitalization, the Company applied the two-class method to calculate basic net loss per share for the Company’s common stock and non-voting common stock. The net loss attributable to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defined as components of an enterprise for which separate financial information is available that is evaluated regularly by the chief operating decision maker (“</w:t>
      </w:r>
      <w:r>
        <w:rPr>
          <w:rFonts w:ascii="Times New Roman PS Std;serif" w:hAnsi="Times New Roman PS Std;serif"/>
          <w:b/>
          <w:i w:val="false"/>
          <w:caps w:val="false"/>
          <w:smallCaps w:val="false"/>
          <w:sz w:val="20"/>
        </w:rPr>
        <w:t>CODM</w:t>
      </w:r>
      <w:r>
        <w:rPr>
          <w:rFonts w:ascii="Times New Roman PS Std;serif" w:hAnsi="Times New Roman PS Std;serif"/>
          <w:b w:val="false"/>
          <w:i w:val="false"/>
          <w:caps w:val="false"/>
          <w:smallCaps w:val="false"/>
          <w:sz w:val="20"/>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operations in the United States and Canada. The Company earns primarily all of its revenue in the United States and all of its long-lived assets are held in the United States.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Standards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In August 2018, the FASB issued ASU No. 2018-15, </w:t>
      </w:r>
      <w:r>
        <w:rPr>
          <w:rFonts w:ascii="Times New Roman PS Std;serif" w:hAnsi="Times New Roman PS Std;serif"/>
          <w:b w:val="false"/>
          <w:i/>
          <w:caps w:val="false"/>
          <w:smallCaps w:val="false"/>
          <w:sz w:val="20"/>
        </w:rPr>
        <w:t>Intangibles — Goodwill and Other — Internal-Use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Software (Subtopic 350-40): Customer’s Accounting for Implementation Costs Incurred in a Cloud Computing Arrangement that is a Service Contract</w:t>
      </w:r>
      <w:r>
        <w:rPr>
          <w:rFonts w:ascii="Times New Roman PS Std;serif" w:hAnsi="Times New Roman PS Std;serif"/>
          <w:b w:val="false"/>
          <w:i w:val="false"/>
          <w:caps w:val="false"/>
          <w:smallCaps w:val="false"/>
          <w:sz w:val="20"/>
        </w:rPr>
        <w: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March 2020, the FASB issued ASU 2020-03, </w:t>
      </w:r>
      <w:r>
        <w:rPr>
          <w:rFonts w:ascii="Times New Roman PS Std;serif" w:hAnsi="Times New Roman PS Std;serif"/>
          <w:b w:val="false"/>
          <w:i/>
          <w:caps w:val="false"/>
          <w:smallCaps w:val="false"/>
          <w:sz w:val="20"/>
        </w:rPr>
        <w:t xml:space="preserve">Codification Improvements to Financial Instruments, </w:t>
      </w:r>
      <w:r>
        <w:rPr>
          <w:rFonts w:ascii="Times New Roman PS Std;serif" w:hAnsi="Times New Roman PS Std;serif"/>
          <w:b w:val="false"/>
          <w:i w:val="false"/>
          <w:caps w:val="false"/>
          <w:smallCaps w:val="false"/>
          <w:sz w:val="20"/>
        </w:rPr>
        <w:t>which amended the disclosure requirements for debt for which the fair value option was elected. The Company adopted the standard on July 1, 2021. The adoption of this standard did not have an impact on the consolidated financial statements other than the required disclosures.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Standards Not Yet Adopted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w:t>
      </w:r>
      <w:r>
        <w:rPr>
          <w:rFonts w:ascii="Times New Roman PS Std;serif" w:hAnsi="Times New Roman PS Std;serif"/>
          <w:b w:val="false"/>
          <w:i/>
          <w:caps w:val="false"/>
          <w:smallCaps w:val="false"/>
          <w:sz w:val="20"/>
        </w:rPr>
        <w:t>Financial Instruments Topic 326: Credit Losses Measurement of Credit Losses on Financial Instruments (Topic 326)</w:t>
      </w:r>
      <w:r>
        <w:rPr>
          <w:rFonts w:ascii="Times New Roman PS Std;serif" w:hAnsi="Times New Roman PS Std;serif"/>
          <w:b w:val="false"/>
          <w:i w:val="false"/>
          <w:caps w:val="false"/>
          <w:smallCaps w:val="false"/>
          <w:sz w:val="20"/>
        </w:rPr>
        <w:t xml:space="preserve">, which requires an entity to utilize a new impairment model known as the current expected credit loss (CECL) model to estimate its lifetime “expected credit loss” and record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2016, the FASB issued ASU No. 2016-02, </w:t>
      </w:r>
      <w:r>
        <w:rPr>
          <w:rFonts w:ascii="Times New Roman PS Std;serif" w:hAnsi="Times New Roman PS Std;serif"/>
          <w:b w:val="false"/>
          <w:i/>
          <w:caps w:val="false"/>
          <w:smallCaps w:val="false"/>
          <w:sz w:val="20"/>
        </w:rPr>
        <w:t>Topic 842: Leases (Topic 842)</w:t>
      </w:r>
      <w:r>
        <w:rPr>
          <w:rFonts w:ascii="Times New Roman PS Std;serif" w:hAnsi="Times New Roman PS Std;serif"/>
          <w:b w:val="false"/>
          <w:i w:val="false"/>
          <w:caps w:val="false"/>
          <w:smallCaps w:val="false"/>
          <w:sz w:val="20"/>
        </w:rPr>
        <w:t xml:space="preserve">, which supersedes the guidance in ASC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2019, the FASB issued ASU No. 2019-12, </w:t>
      </w:r>
      <w:r>
        <w:rPr>
          <w:rFonts w:ascii="Times New Roman PS Std;serif" w:hAnsi="Times New Roman PS Std;serif"/>
          <w:b w:val="false"/>
          <w:i/>
          <w:caps w:val="false"/>
          <w:smallCaps w:val="false"/>
          <w:sz w:val="20"/>
        </w:rPr>
        <w:t>Income Taxes (Topic 740): Simplifying the Accounting for Income Taxes</w:t>
      </w:r>
      <w:r>
        <w:rPr>
          <w:rFonts w:ascii="Times New Roman PS Std;serif" w:hAnsi="Times New Roman PS Std;serif"/>
          <w:b w:val="false"/>
          <w:i w:val="false"/>
          <w:caps w:val="false"/>
          <w:smallCaps w:val="false"/>
          <w:sz w:val="20"/>
        </w:rPr>
        <w:t>, which simplifies the accounting for income taxes by eliminating some 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August 2020, the FASB issued ASU 2020-06, </w:t>
      </w:r>
      <w:r>
        <w:rPr>
          <w:rFonts w:ascii="Times New Roman PS Std;serif" w:hAnsi="Times New Roman PS Std;serif"/>
          <w:b w:val="false"/>
          <w:i/>
          <w:caps w:val="false"/>
          <w:smallCaps w:val="false"/>
          <w:sz w:val="20"/>
        </w:rPr>
        <w:t xml:space="preserve">Debt — Debt with Conversion and Other Options (Subtopic 470-20) and Derivatives and Hedging — Contracts in Entity’s Own Equity, </w:t>
      </w:r>
      <w:r>
        <w:rPr>
          <w:rFonts w:ascii="Times New Roman PS Std;serif" w:hAnsi="Times New Roman PS Std;serif"/>
          <w:b w:val="false"/>
          <w:i w:val="false"/>
          <w:caps w:val="false"/>
          <w:smallCaps w:val="false"/>
          <w:sz w:val="20"/>
        </w:rPr>
        <w:t>which simplifies the 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March 2020 with an update in January 2021, the FASB issued ASU 2020-04, </w:t>
      </w:r>
      <w:r>
        <w:rPr>
          <w:rFonts w:ascii="Times New Roman PS Std;serif" w:hAnsi="Times New Roman PS Std;serif"/>
          <w:b w:val="false"/>
          <w:i/>
          <w:caps w:val="false"/>
          <w:smallCaps w:val="false"/>
          <w:sz w:val="20"/>
        </w:rPr>
        <w:t xml:space="preserve">Reference Rate Reform (Topic 848): Facilitation of the Effects of Reference Rate Reform on Financial Reporting, </w:t>
      </w:r>
      <w:r>
        <w:rPr>
          <w:rFonts w:ascii="Times New Roman PS Std;serif" w:hAnsi="Times New Roman PS Std;serif"/>
          <w:b w:val="false"/>
          <w:i w:val="false"/>
          <w:caps w:val="false"/>
          <w:smallCaps w:val="false"/>
          <w:sz w:val="20"/>
        </w:rPr>
        <w:t xml:space="preserve">and ASU 2021-01, </w:t>
      </w:r>
      <w:r>
        <w:rPr>
          <w:rFonts w:ascii="Times New Roman PS Std;serif" w:hAnsi="Times New Roman PS Std;serif"/>
          <w:b w:val="false"/>
          <w:i/>
          <w:caps w:val="false"/>
          <w:smallCaps w:val="false"/>
          <w:sz w:val="20"/>
        </w:rPr>
        <w:t xml:space="preserve">Reference Rate Reform (Topic 848), </w:t>
      </w:r>
      <w:r>
        <w:rPr>
          <w:rFonts w:ascii="Times New Roman PS Std;serif" w:hAnsi="Times New Roman PS Std;serif"/>
          <w:b w:val="false"/>
          <w:i w:val="false"/>
          <w:caps w:val="false"/>
          <w:smallCaps w:val="false"/>
          <w:sz w:val="20"/>
        </w:rPr>
        <w:t>which provides optional expedients and exceptions for applying current U.S. GAAP to contracts, hedging relationships, and other transactions affected by the discontinuation of the London Interbank Offered Rate (“</w:t>
      </w:r>
      <w:r>
        <w:rPr>
          <w:rFonts w:ascii="Times New Roman PS Std;serif" w:hAnsi="Times New Roman PS Std;serif"/>
          <w:b/>
          <w:i w:val="false"/>
          <w:caps w:val="false"/>
          <w:smallCaps w:val="false"/>
          <w:sz w:val="20"/>
        </w:rPr>
        <w:t>LIBOR</w:t>
      </w:r>
      <w:r>
        <w:rPr>
          <w:rFonts w:ascii="Times New Roman PS Std;serif" w:hAnsi="Times New Roman PS Std;serif"/>
          <w:b w:val="false"/>
          <w:i w:val="false"/>
          <w:caps w:val="false"/>
          <w:smallCaps w:val="false"/>
          <w:sz w:val="20"/>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October 2021, the FASB issued ASU 2021-08, </w:t>
      </w:r>
      <w:r>
        <w:rPr>
          <w:rFonts w:ascii="Times New Roman PS Std;serif" w:hAnsi="Times New Roman PS Std;serif"/>
          <w:b w:val="false"/>
          <w:i/>
          <w:caps w:val="false"/>
          <w:smallCaps w:val="false"/>
          <w:sz w:val="20"/>
        </w:rPr>
        <w:t xml:space="preserve">Business Combinations (Topic 805): Accounting for Contract Assets and Contract Liabilities from Contracts with Customers, </w:t>
      </w:r>
      <w:r>
        <w:rPr>
          <w:rFonts w:ascii="Times New Roman PS Std;serif" w:hAnsi="Times New Roman PS Std;serif"/>
          <w:b w:val="false"/>
          <w:i w:val="false"/>
          <w:caps w:val="false"/>
          <w:smallCaps w:val="false"/>
          <w:sz w:val="20"/>
        </w:rPr>
        <w:t>which requires an acquirer to recognize and measure contract assets and contract liabilities acquired in a business 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Revenue</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Balances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activity in deferred revenue:</w:t>
      </w:r>
    </w:p>
    <w:tbl>
      <w:tblPr>
        <w:tblW w:w="6645" w:type="dxa"/>
        <w:jc w:val="left"/>
        <w:tblInd w:w="0" w:type="dxa"/>
        <w:tblCellMar>
          <w:top w:w="0" w:type="dxa"/>
          <w:left w:w="0" w:type="dxa"/>
          <w:bottom w:w="0" w:type="dxa"/>
          <w:right w:w="0" w:type="dxa"/>
        </w:tblCellMar>
      </w:tblPr>
      <w:tblGrid>
        <w:gridCol w:w="5206"/>
        <w:gridCol w:w="146"/>
        <w:gridCol w:w="226"/>
        <w:gridCol w:w="841"/>
        <w:gridCol w:w="226"/>
      </w:tblGrid>
      <w:tr>
        <w:trPr/>
        <w:tc>
          <w:tcPr>
            <w:tcW w:w="52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w:t>
              <w:br/>
              <w:t>Revenue</w:t>
            </w:r>
          </w:p>
        </w:tc>
      </w:tr>
      <w:tr>
        <w:trPr/>
        <w:tc>
          <w:tcPr>
            <w:tcW w:w="5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beginning of year – June 30, 2020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38,013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(15,389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end of period – June 30,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(19,335</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end of period – June 30, 2022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2021, the Company entered into an arrangement with a customer whereby it issued a warrant to purchase 404,961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single country other than the United States represented 10% or more of the Company’s revenue during the years ended June 30, 2022 and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2022 and 2021, $2,316 and $3,540 of revenue were from leasing arrangements.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Fair Value Measurements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accounting is applied for all financial assets and liabilities that are recognized or disclosed at fair value in the financial statements on a recurring basis.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all financial instruments measured at fair value on a recurring basis as of June 30, 2022 and 2021:</w:t>
      </w:r>
    </w:p>
    <w:tbl>
      <w:tblPr>
        <w:tblW w:w="9694" w:type="dxa"/>
        <w:jc w:val="left"/>
        <w:tblInd w:w="0" w:type="dxa"/>
        <w:tblCellMar>
          <w:top w:w="0" w:type="dxa"/>
          <w:left w:w="0" w:type="dxa"/>
          <w:bottom w:w="0" w:type="dxa"/>
          <w:right w:w="0" w:type="dxa"/>
        </w:tblCellMar>
      </w:tblPr>
      <w:tblGrid>
        <w:gridCol w:w="5431"/>
        <w:gridCol w:w="146"/>
        <w:gridCol w:w="326"/>
        <w:gridCol w:w="499"/>
        <w:gridCol w:w="146"/>
        <w:gridCol w:w="326"/>
        <w:gridCol w:w="499"/>
        <w:gridCol w:w="146"/>
        <w:gridCol w:w="226"/>
        <w:gridCol w:w="766"/>
        <w:gridCol w:w="146"/>
        <w:gridCol w:w="226"/>
        <w:gridCol w:w="811"/>
      </w:tblGrid>
      <w:tr>
        <w:trPr/>
        <w:tc>
          <w:tcPr>
            <w:tcW w:w="54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117" w:type="dxa"/>
            <w:gridSpan w:val="11"/>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2022</w:t>
            </w:r>
          </w:p>
        </w:tc>
      </w:tr>
      <w:tr>
        <w:trPr/>
        <w:tc>
          <w:tcPr>
            <w:tcW w:w="54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spacing w:before="0" w:after="283"/>
              <w:rPr/>
            </w:pPr>
            <w:r>
              <w:rPr/>
              <w:t> </w:t>
            </w:r>
          </w:p>
        </w:tc>
      </w:tr>
      <w:tr>
        <w:trPr/>
        <w:tc>
          <w:tcPr>
            <w:tcW w:w="543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r>
    </w:tbl>
    <w:tbl>
      <w:tblPr>
        <w:tblW w:w="9694" w:type="dxa"/>
        <w:jc w:val="left"/>
        <w:tblInd w:w="0" w:type="dxa"/>
        <w:tblCellMar>
          <w:top w:w="0" w:type="dxa"/>
          <w:left w:w="0" w:type="dxa"/>
          <w:bottom w:w="0" w:type="dxa"/>
          <w:right w:w="0" w:type="dxa"/>
        </w:tblCellMar>
      </w:tblPr>
      <w:tblGrid>
        <w:gridCol w:w="5431"/>
        <w:gridCol w:w="146"/>
        <w:gridCol w:w="326"/>
        <w:gridCol w:w="499"/>
        <w:gridCol w:w="146"/>
        <w:gridCol w:w="326"/>
        <w:gridCol w:w="499"/>
        <w:gridCol w:w="146"/>
        <w:gridCol w:w="226"/>
        <w:gridCol w:w="766"/>
        <w:gridCol w:w="146"/>
        <w:gridCol w:w="226"/>
        <w:gridCol w:w="811"/>
      </w:tblGrid>
      <w:tr>
        <w:trPr/>
        <w:tc>
          <w:tcPr>
            <w:tcW w:w="54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117" w:type="dxa"/>
            <w:gridSpan w:val="11"/>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2021</w:t>
            </w:r>
          </w:p>
        </w:tc>
      </w:tr>
      <w:tr>
        <w:trPr/>
        <w:tc>
          <w:tcPr>
            <w:tcW w:w="54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spacing w:before="0" w:after="283"/>
              <w:rPr/>
            </w:pPr>
            <w:r>
              <w:rPr/>
              <w:t> </w:t>
            </w:r>
          </w:p>
        </w:tc>
      </w:tr>
      <w:tr>
        <w:trPr/>
        <w:tc>
          <w:tcPr>
            <w:tcW w:w="543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r>
      <w:tr>
        <w:trPr/>
        <w:tc>
          <w:tcPr>
            <w:tcW w:w="543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64,015</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64,015</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 of the convertible promissory notes, embedded warrants and accrued interest using the following weighted average assumptions:</w:t>
      </w:r>
    </w:p>
    <w:tbl>
      <w:tblPr>
        <w:tblW w:w="8835" w:type="dxa"/>
        <w:jc w:val="left"/>
        <w:tblInd w:w="0" w:type="dxa"/>
        <w:tblCellMar>
          <w:top w:w="0" w:type="dxa"/>
          <w:left w:w="0" w:type="dxa"/>
          <w:bottom w:w="0" w:type="dxa"/>
          <w:right w:w="0" w:type="dxa"/>
        </w:tblCellMar>
      </w:tblPr>
      <w:tblGrid>
        <w:gridCol w:w="2551"/>
        <w:gridCol w:w="146"/>
        <w:gridCol w:w="816"/>
        <w:gridCol w:w="445"/>
        <w:gridCol w:w="146"/>
        <w:gridCol w:w="816"/>
        <w:gridCol w:w="445"/>
        <w:gridCol w:w="146"/>
        <w:gridCol w:w="737"/>
        <w:gridCol w:w="403"/>
        <w:gridCol w:w="146"/>
        <w:gridCol w:w="581"/>
        <w:gridCol w:w="410"/>
        <w:gridCol w:w="146"/>
        <w:gridCol w:w="901"/>
      </w:tblGrid>
      <w:tr>
        <w:trPr/>
        <w:tc>
          <w:tcPr>
            <w:tcW w:w="255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138" w:type="dxa"/>
            <w:gridSpan w:val="1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25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Private</w:t>
            </w:r>
          </w:p>
        </w:tc>
        <w:tc>
          <w:tcPr>
            <w:tcW w:w="146" w:type="dxa"/>
            <w:tcBorders/>
            <w:shd w:fill="auto" w:val="clear"/>
            <w:vAlign w:val="bottom"/>
          </w:tcPr>
          <w:p>
            <w:pPr>
              <w:pStyle w:val="TableContents"/>
              <w:spacing w:before="0" w:after="283"/>
              <w:rPr/>
            </w:pPr>
            <w:r>
              <w:rPr/>
              <w:t> </w:t>
            </w:r>
          </w:p>
        </w:tc>
        <w:tc>
          <w:tcPr>
            <w:tcW w:w="12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Public</w:t>
            </w:r>
          </w:p>
        </w:tc>
        <w:tc>
          <w:tcPr>
            <w:tcW w:w="146"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br/>
              <w:t>Control</w:t>
            </w:r>
          </w:p>
        </w:tc>
        <w:tc>
          <w:tcPr>
            <w:tcW w:w="146" w:type="dxa"/>
            <w:tcBorders/>
            <w:shd w:fill="auto" w:val="clear"/>
            <w:vAlign w:val="bottom"/>
          </w:tcPr>
          <w:p>
            <w:pPr>
              <w:pStyle w:val="TableContents"/>
              <w:spacing w:before="0" w:after="283"/>
              <w:rPr/>
            </w:pPr>
            <w:r>
              <w:rPr/>
              <w:t> </w:t>
            </w:r>
          </w:p>
        </w:tc>
        <w:tc>
          <w:tcPr>
            <w:tcW w:w="99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w:t>
              <w:br/>
              <w:t>Date</w:t>
            </w:r>
          </w:p>
        </w:tc>
        <w:tc>
          <w:tcPr>
            <w:tcW w:w="14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Default</w:t>
            </w:r>
          </w:p>
        </w:tc>
      </w:tr>
      <w:tr>
        <w:trPr/>
        <w:tc>
          <w:tcPr>
            <w:tcW w:w="25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conversion</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1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5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1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5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1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bl>
    <w:tbl>
      <w:tblPr>
        <w:tblW w:w="8835" w:type="dxa"/>
        <w:jc w:val="left"/>
        <w:tblInd w:w="0" w:type="dxa"/>
        <w:tblCellMar>
          <w:top w:w="0" w:type="dxa"/>
          <w:left w:w="0" w:type="dxa"/>
          <w:bottom w:w="0" w:type="dxa"/>
          <w:right w:w="0" w:type="dxa"/>
        </w:tblCellMar>
      </w:tblPr>
      <w:tblGrid>
        <w:gridCol w:w="2551"/>
        <w:gridCol w:w="146"/>
        <w:gridCol w:w="739"/>
        <w:gridCol w:w="522"/>
        <w:gridCol w:w="146"/>
        <w:gridCol w:w="739"/>
        <w:gridCol w:w="522"/>
        <w:gridCol w:w="146"/>
        <w:gridCol w:w="668"/>
        <w:gridCol w:w="472"/>
        <w:gridCol w:w="146"/>
        <w:gridCol w:w="991"/>
        <w:gridCol w:w="146"/>
        <w:gridCol w:w="460"/>
        <w:gridCol w:w="441"/>
      </w:tblGrid>
      <w:tr>
        <w:trPr/>
        <w:tc>
          <w:tcPr>
            <w:tcW w:w="255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138" w:type="dxa"/>
            <w:gridSpan w:val="1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2021</w:t>
            </w:r>
          </w:p>
        </w:tc>
      </w:tr>
      <w:tr>
        <w:trPr/>
        <w:tc>
          <w:tcPr>
            <w:tcW w:w="25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Private</w:t>
            </w:r>
          </w:p>
        </w:tc>
        <w:tc>
          <w:tcPr>
            <w:tcW w:w="146" w:type="dxa"/>
            <w:tcBorders/>
            <w:shd w:fill="auto" w:val="clear"/>
            <w:vAlign w:val="bottom"/>
          </w:tcPr>
          <w:p>
            <w:pPr>
              <w:pStyle w:val="TableContents"/>
              <w:spacing w:before="0" w:after="283"/>
              <w:rPr/>
            </w:pPr>
            <w:r>
              <w:rPr/>
              <w:t> </w:t>
            </w:r>
          </w:p>
        </w:tc>
        <w:tc>
          <w:tcPr>
            <w:tcW w:w="12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Public</w:t>
            </w:r>
          </w:p>
        </w:tc>
        <w:tc>
          <w:tcPr>
            <w:tcW w:w="146"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br/>
              <w:t>Control</w:t>
            </w:r>
          </w:p>
        </w:tc>
        <w:tc>
          <w:tcPr>
            <w:tcW w:w="146"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w:t>
              <w:br/>
              <w:t>Date</w:t>
            </w:r>
          </w:p>
        </w:tc>
        <w:tc>
          <w:tcPr>
            <w:tcW w:w="146"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Default</w:t>
            </w:r>
          </w:p>
        </w:tc>
      </w:tr>
      <w:tr>
        <w:trPr/>
        <w:tc>
          <w:tcPr>
            <w:tcW w:w="25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conversion</w:t>
            </w:r>
          </w:p>
        </w:tc>
        <w:tc>
          <w:tcPr>
            <w:tcW w:w="14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52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52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52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52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5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52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52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tbl>
      <w:tblPr>
        <w:tblW w:w="5189" w:type="dxa"/>
        <w:jc w:val="left"/>
        <w:tblInd w:w="0" w:type="dxa"/>
        <w:tblCellMar>
          <w:top w:w="0" w:type="dxa"/>
          <w:left w:w="0" w:type="dxa"/>
          <w:bottom w:w="0" w:type="dxa"/>
          <w:right w:w="0" w:type="dxa"/>
        </w:tblCellMar>
      </w:tblPr>
      <w:tblGrid>
        <w:gridCol w:w="2536"/>
        <w:gridCol w:w="146"/>
        <w:gridCol w:w="226"/>
        <w:gridCol w:w="646"/>
        <w:gridCol w:w="286"/>
        <w:gridCol w:w="146"/>
        <w:gridCol w:w="226"/>
        <w:gridCol w:w="646"/>
        <w:gridCol w:w="331"/>
      </w:tblGrid>
      <w:tr>
        <w:trPr/>
        <w:tc>
          <w:tcPr>
            <w:tcW w:w="25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50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25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5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0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65.72</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w:t>
            </w:r>
          </w:p>
        </w:tc>
        <w:tc>
          <w:tcPr>
            <w:tcW w:w="3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the difference between the carrying amount and the fair value of Level 3 convertible promissory notes and embedded warrants for which the fair value option was elected:</w:t>
      </w:r>
    </w:p>
    <w:tbl>
      <w:tblPr>
        <w:tblW w:w="9143" w:type="dxa"/>
        <w:jc w:val="left"/>
        <w:tblInd w:w="0" w:type="dxa"/>
        <w:tblCellMar>
          <w:top w:w="0" w:type="dxa"/>
          <w:left w:w="0" w:type="dxa"/>
          <w:bottom w:w="0" w:type="dxa"/>
          <w:right w:w="0" w:type="dxa"/>
        </w:tblCellMar>
      </w:tblPr>
      <w:tblGrid>
        <w:gridCol w:w="5431"/>
        <w:gridCol w:w="146"/>
        <w:gridCol w:w="226"/>
        <w:gridCol w:w="766"/>
        <w:gridCol w:w="146"/>
        <w:gridCol w:w="283"/>
        <w:gridCol w:w="962"/>
        <w:gridCol w:w="146"/>
        <w:gridCol w:w="226"/>
        <w:gridCol w:w="811"/>
      </w:tblGrid>
      <w:tr>
        <w:trPr/>
        <w:tc>
          <w:tcPr>
            <w:tcW w:w="54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566" w:type="dxa"/>
            <w:gridSpan w:val="8"/>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2022</w:t>
            </w:r>
          </w:p>
        </w:tc>
      </w:tr>
      <w:tr>
        <w:trPr/>
        <w:tc>
          <w:tcPr>
            <w:tcW w:w="54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br/>
              <w:t>Amount</w:t>
            </w:r>
          </w:p>
        </w:tc>
        <w:tc>
          <w:tcPr>
            <w:tcW w:w="146"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br/>
              <w:t>Charged to</w:t>
              <w:br/>
              <w:t>Earnings</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br/>
              <w:t>Value</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shd w:fill="auto" w:val="clear"/>
            <w:vAlign w:val="bottom"/>
          </w:tcPr>
          <w:p>
            <w:pPr>
              <w:pStyle w:val="TableContents"/>
              <w:spacing w:before="0" w:after="283"/>
              <w:rPr/>
            </w:pPr>
            <w:r>
              <w:rPr/>
              <w:t> </w:t>
            </w:r>
          </w:p>
        </w:tc>
        <w:tc>
          <w:tcPr>
            <w:tcW w:w="28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bl>
    <w:tbl>
      <w:tblPr>
        <w:tblW w:w="9143" w:type="dxa"/>
        <w:jc w:val="left"/>
        <w:tblInd w:w="0" w:type="dxa"/>
        <w:tblCellMar>
          <w:top w:w="0" w:type="dxa"/>
          <w:left w:w="0" w:type="dxa"/>
          <w:bottom w:w="0" w:type="dxa"/>
          <w:right w:w="0" w:type="dxa"/>
        </w:tblCellMar>
      </w:tblPr>
      <w:tblGrid>
        <w:gridCol w:w="5431"/>
        <w:gridCol w:w="146"/>
        <w:gridCol w:w="226"/>
        <w:gridCol w:w="766"/>
        <w:gridCol w:w="146"/>
        <w:gridCol w:w="283"/>
        <w:gridCol w:w="962"/>
        <w:gridCol w:w="146"/>
        <w:gridCol w:w="226"/>
        <w:gridCol w:w="811"/>
      </w:tblGrid>
      <w:tr>
        <w:trPr/>
        <w:tc>
          <w:tcPr>
            <w:tcW w:w="54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566" w:type="dxa"/>
            <w:gridSpan w:val="8"/>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2021</w:t>
            </w:r>
          </w:p>
        </w:tc>
      </w:tr>
      <w:tr>
        <w:trPr/>
        <w:tc>
          <w:tcPr>
            <w:tcW w:w="54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br/>
              <w:t>Amount</w:t>
            </w:r>
          </w:p>
        </w:tc>
        <w:tc>
          <w:tcPr>
            <w:tcW w:w="146"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br/>
              <w:t>Charged to</w:t>
              <w:br/>
              <w:t>Earnings</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br/>
              <w:t>Value</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14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146" w:type="dxa"/>
            <w:tcBorders/>
            <w:shd w:fill="auto" w:val="clear"/>
            <w:vAlign w:val="bottom"/>
          </w:tcPr>
          <w:p>
            <w:pPr>
              <w:pStyle w:val="TableContents"/>
              <w:spacing w:before="0" w:after="283"/>
              <w:rPr/>
            </w:pPr>
            <w:r>
              <w:rPr/>
              <w:t> </w:t>
            </w:r>
          </w:p>
        </w:tc>
        <w:tc>
          <w:tcPr>
            <w:tcW w:w="28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changes in the fair value of Level 3 warrant liabilities and Level 3 convertible promissory notes and embedded warrants for the years ended June 30, 2022 and 2021:</w:t>
      </w:r>
    </w:p>
    <w:tbl>
      <w:tblPr>
        <w:tblW w:w="10165" w:type="dxa"/>
        <w:jc w:val="left"/>
        <w:tblInd w:w="0" w:type="dxa"/>
        <w:tblCellMar>
          <w:top w:w="0" w:type="dxa"/>
          <w:left w:w="0" w:type="dxa"/>
          <w:bottom w:w="0" w:type="dxa"/>
          <w:right w:w="0" w:type="dxa"/>
        </w:tblCellMar>
      </w:tblPr>
      <w:tblGrid>
        <w:gridCol w:w="7441"/>
        <w:gridCol w:w="146"/>
        <w:gridCol w:w="294"/>
        <w:gridCol w:w="997"/>
        <w:gridCol w:w="146"/>
        <w:gridCol w:w="281"/>
        <w:gridCol w:w="860"/>
      </w:tblGrid>
      <w:tr>
        <w:trPr/>
        <w:tc>
          <w:tcPr>
            <w:tcW w:w="74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Convertible</w:t>
              <w:br/>
              <w:t>Promissory</w:t>
              <w:br/>
              <w:t>Notes and</w:t>
              <w:br/>
              <w:t>Embedded</w:t>
              <w:br/>
              <w:t>Warrants</w:t>
            </w:r>
          </w:p>
        </w:tc>
        <w:tc>
          <w:tcPr>
            <w:tcW w:w="146"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Warrant</w:t>
              <w:br/>
              <w:t>Liabilities</w:t>
            </w:r>
          </w:p>
        </w:tc>
      </w:tr>
      <w:tr>
        <w:trPr/>
        <w:tc>
          <w:tcPr>
            <w:tcW w:w="7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2020</w:t>
            </w:r>
          </w:p>
        </w:tc>
        <w:tc>
          <w:tcPr>
            <w:tcW w:w="146"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r>
      <w:tr>
        <w:trPr/>
        <w:tc>
          <w:tcPr>
            <w:tcW w:w="7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promissory notes</w:t>
            </w:r>
          </w:p>
        </w:tc>
        <w:tc>
          <w:tcPr>
            <w:tcW w:w="146"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9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14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7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947</w:t>
            </w:r>
          </w:p>
        </w:tc>
      </w:tr>
      <w:tr>
        <w:trPr/>
        <w:tc>
          <w:tcPr>
            <w:tcW w:w="7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liabilities and convertible promissory notes</w:t>
            </w:r>
          </w:p>
        </w:tc>
        <w:tc>
          <w:tcPr>
            <w:tcW w:w="146"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9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14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2021</w:t>
            </w:r>
          </w:p>
        </w:tc>
        <w:tc>
          <w:tcPr>
            <w:tcW w:w="146"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14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r>
      <w:tr>
        <w:trPr/>
        <w:tc>
          <w:tcPr>
            <w:tcW w:w="7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promissory notes</w:t>
            </w:r>
          </w:p>
        </w:tc>
        <w:tc>
          <w:tcPr>
            <w:tcW w:w="146"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9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8,150</w:t>
            </w:r>
          </w:p>
        </w:tc>
        <w:tc>
          <w:tcPr>
            <w:tcW w:w="14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7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w:t>
            </w:r>
          </w:p>
        </w:tc>
      </w:tr>
      <w:tr>
        <w:trPr/>
        <w:tc>
          <w:tcPr>
            <w:tcW w:w="7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liabilities and convertible promissory notes</w:t>
            </w:r>
          </w:p>
        </w:tc>
        <w:tc>
          <w:tcPr>
            <w:tcW w:w="146"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9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18,932</w:t>
            </w:r>
          </w:p>
        </w:tc>
        <w:tc>
          <w:tcPr>
            <w:tcW w:w="14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r>
      <w:tr>
        <w:trPr/>
        <w:tc>
          <w:tcPr>
            <w:tcW w:w="7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2022</w:t>
            </w:r>
          </w:p>
        </w:tc>
        <w:tc>
          <w:tcPr>
            <w:tcW w:w="146"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4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Times New Roman PS Std;serif" w:hAnsi="Times New Roman PS Std;serif"/>
          <w:b w:val="false"/>
          <w:i/>
          <w:caps w:val="false"/>
          <w:smallCaps w:val="false"/>
          <w:sz w:val="20"/>
        </w:rPr>
        <w:t>Property and Equipment, Net</w:t>
      </w:r>
      <w:r>
        <w:rPr>
          <w:rFonts w:ascii="Times New Roman PS Std;serif" w:hAnsi="Times New Roman PS Std;serif"/>
          <w:b w:val="false"/>
          <w:i w:val="false"/>
          <w:caps w:val="false"/>
          <w:smallCaps w:val="false"/>
          <w:sz w:val="20"/>
        </w:rPr>
        <w:t>”). The fair value was calculated using a discounted cash flow model determined using “Level 3” inputs, due to the lack of relevant observable market data over fair value inputs.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Consolidated Balance Sheet Components</w:t>
      </w:r>
    </w:p>
    <w:p>
      <w:pPr>
        <w:pStyle w:val="TextBody"/>
        <w:keepNext w:val="true"/>
        <w:pageBreakBefore w:val="false"/>
        <w:widowControl/>
        <w:pBdr/>
        <w:spacing w:before="16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allowance for doubtful accounts is as follows:</w:t>
      </w:r>
    </w:p>
    <w:tbl>
      <w:tblPr>
        <w:tblW w:w="7770" w:type="dxa"/>
        <w:jc w:val="left"/>
        <w:tblInd w:w="0" w:type="dxa"/>
        <w:tblCellMar>
          <w:top w:w="0" w:type="dxa"/>
          <w:left w:w="0" w:type="dxa"/>
          <w:bottom w:w="0" w:type="dxa"/>
          <w:right w:w="0" w:type="dxa"/>
        </w:tblCellMar>
      </w:tblPr>
      <w:tblGrid>
        <w:gridCol w:w="6631"/>
        <w:gridCol w:w="146"/>
        <w:gridCol w:w="226"/>
        <w:gridCol w:w="541"/>
        <w:gridCol w:w="226"/>
      </w:tblGrid>
      <w:tr>
        <w:trPr/>
        <w:tc>
          <w:tcPr>
            <w:tcW w:w="66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 beginning of year – June 30, 2020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 end of period – June 30,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 end of period – June 30, 2022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consisted of the following:</w:t>
      </w:r>
    </w:p>
    <w:tbl>
      <w:tblPr>
        <w:tblW w:w="3672" w:type="dxa"/>
        <w:jc w:val="left"/>
        <w:tblInd w:w="0" w:type="dxa"/>
        <w:tblCellMar>
          <w:top w:w="0" w:type="dxa"/>
          <w:left w:w="0" w:type="dxa"/>
          <w:bottom w:w="0" w:type="dxa"/>
          <w:right w:w="0" w:type="dxa"/>
        </w:tblCellMar>
      </w:tblPr>
      <w:tblGrid>
        <w:gridCol w:w="1771"/>
        <w:gridCol w:w="146"/>
        <w:gridCol w:w="226"/>
        <w:gridCol w:w="466"/>
        <w:gridCol w:w="146"/>
        <w:gridCol w:w="226"/>
        <w:gridCol w:w="691"/>
      </w:tblGrid>
      <w:tr>
        <w:trPr/>
        <w:tc>
          <w:tcPr>
            <w:tcW w:w="177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75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17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7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w:t>
            </w:r>
          </w:p>
        </w:tc>
      </w:tr>
      <w:tr>
        <w:trPr/>
        <w:tc>
          <w:tcPr>
            <w:tcW w:w="17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inventories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Prepaid Expenses and Other Current Assets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consisted of the following:</w:t>
      </w:r>
    </w:p>
    <w:tbl>
      <w:tblPr>
        <w:tblW w:w="6732" w:type="dxa"/>
        <w:jc w:val="left"/>
        <w:tblInd w:w="0" w:type="dxa"/>
        <w:tblCellMar>
          <w:top w:w="0" w:type="dxa"/>
          <w:left w:w="0" w:type="dxa"/>
          <w:bottom w:w="0" w:type="dxa"/>
          <w:right w:w="0" w:type="dxa"/>
        </w:tblCellMar>
      </w:tblPr>
      <w:tblGrid>
        <w:gridCol w:w="4831"/>
        <w:gridCol w:w="146"/>
        <w:gridCol w:w="226"/>
        <w:gridCol w:w="466"/>
        <w:gridCol w:w="146"/>
        <w:gridCol w:w="226"/>
        <w:gridCol w:w="691"/>
      </w:tblGrid>
      <w:tr>
        <w:trPr/>
        <w:tc>
          <w:tcPr>
            <w:tcW w:w="48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75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48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deposits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48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w:t>
            </w:r>
          </w:p>
        </w:tc>
      </w:tr>
      <w:tr>
        <w:trPr/>
        <w:tc>
          <w:tcPr>
            <w:tcW w:w="48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insurance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48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5804" w:type="dxa"/>
        <w:jc w:val="left"/>
        <w:tblInd w:w="0" w:type="dxa"/>
        <w:tblCellMar>
          <w:top w:w="0" w:type="dxa"/>
          <w:left w:w="0" w:type="dxa"/>
          <w:bottom w:w="0" w:type="dxa"/>
          <w:right w:w="0" w:type="dxa"/>
        </w:tblCellMar>
      </w:tblPr>
      <w:tblGrid>
        <w:gridCol w:w="3211"/>
        <w:gridCol w:w="146"/>
        <w:gridCol w:w="226"/>
        <w:gridCol w:w="721"/>
        <w:gridCol w:w="181"/>
        <w:gridCol w:w="146"/>
        <w:gridCol w:w="226"/>
        <w:gridCol w:w="721"/>
        <w:gridCol w:w="226"/>
      </w:tblGrid>
      <w:tr>
        <w:trPr/>
        <w:tc>
          <w:tcPr>
            <w:tcW w:w="32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44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2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Consolidated Balance Sheet Components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useful life of property and equipment, net consisted of the following:</w:t>
      </w:r>
    </w:p>
    <w:tbl>
      <w:tblPr>
        <w:tblW w:w="8353" w:type="dxa"/>
        <w:jc w:val="left"/>
        <w:tblInd w:w="0" w:type="dxa"/>
        <w:tblCellMar>
          <w:top w:w="0" w:type="dxa"/>
          <w:left w:w="0" w:type="dxa"/>
          <w:bottom w:w="0" w:type="dxa"/>
          <w:right w:w="0" w:type="dxa"/>
        </w:tblCellMar>
      </w:tblPr>
      <w:tblGrid>
        <w:gridCol w:w="2596"/>
        <w:gridCol w:w="146"/>
        <w:gridCol w:w="5611"/>
      </w:tblGrid>
      <w:tr>
        <w:trPr/>
        <w:tc>
          <w:tcPr>
            <w:tcW w:w="259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56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w:t>
            </w:r>
          </w:p>
        </w:tc>
      </w:tr>
      <w:tr>
        <w:trPr/>
        <w:tc>
          <w:tcPr>
            <w:tcW w:w="259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Tablets</w:t>
            </w:r>
          </w:p>
        </w:tc>
        <w:tc>
          <w:tcPr>
            <w:tcW w:w="146" w:type="dxa"/>
            <w:tcBorders/>
            <w:shd w:fill="CCEEFF" w:val="clear"/>
          </w:tcPr>
          <w:p>
            <w:pPr>
              <w:pStyle w:val="TableContents"/>
              <w:spacing w:before="0" w:after="283"/>
              <w:rPr/>
            </w:pPr>
            <w:r>
              <w:rPr/>
              <w:t> </w:t>
            </w:r>
          </w:p>
        </w:tc>
        <w:tc>
          <w:tcPr>
            <w:tcW w:w="561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59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auto" w:val="clear"/>
          </w:tcPr>
          <w:p>
            <w:pPr>
              <w:pStyle w:val="TableContents"/>
              <w:spacing w:before="0" w:after="283"/>
              <w:rPr/>
            </w:pPr>
            <w:r>
              <w:rPr/>
              <w:t> </w:t>
            </w:r>
          </w:p>
        </w:tc>
        <w:tc>
          <w:tcPr>
            <w:tcW w:w="561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259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tcPr>
          <w:p>
            <w:pPr>
              <w:pStyle w:val="TableContents"/>
              <w:spacing w:before="0" w:after="283"/>
              <w:rPr/>
            </w:pPr>
            <w:r>
              <w:rPr/>
              <w:t> </w:t>
            </w:r>
          </w:p>
        </w:tc>
        <w:tc>
          <w:tcPr>
            <w:tcW w:w="561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259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auto" w:val="clear"/>
          </w:tcPr>
          <w:p>
            <w:pPr>
              <w:pStyle w:val="TableContents"/>
              <w:spacing w:before="0" w:after="283"/>
              <w:rPr/>
            </w:pPr>
            <w:r>
              <w:rPr/>
              <w:t> </w:t>
            </w:r>
          </w:p>
        </w:tc>
        <w:tc>
          <w:tcPr>
            <w:tcW w:w="561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Shorter of estimated useful life or remaining lease term</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Liabilities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 consisted of the following:</w:t>
      </w:r>
    </w:p>
    <w:tbl>
      <w:tblPr>
        <w:tblW w:w="7887" w:type="dxa"/>
        <w:jc w:val="left"/>
        <w:tblInd w:w="0" w:type="dxa"/>
        <w:tblCellMar>
          <w:top w:w="0" w:type="dxa"/>
          <w:left w:w="0" w:type="dxa"/>
          <w:bottom w:w="0" w:type="dxa"/>
          <w:right w:w="0" w:type="dxa"/>
        </w:tblCellMar>
      </w:tblPr>
      <w:tblGrid>
        <w:gridCol w:w="5806"/>
        <w:gridCol w:w="146"/>
        <w:gridCol w:w="226"/>
        <w:gridCol w:w="646"/>
        <w:gridCol w:w="146"/>
        <w:gridCol w:w="226"/>
        <w:gridCol w:w="691"/>
      </w:tblGrid>
      <w:tr>
        <w:trPr/>
        <w:tc>
          <w:tcPr>
            <w:tcW w:w="58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93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58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8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2,557</w:t>
            </w:r>
          </w:p>
        </w:tc>
      </w:tr>
      <w:tr>
        <w:trPr/>
        <w:tc>
          <w:tcPr>
            <w:tcW w:w="58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cost reserve (Refer to Note 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w:t>
            </w:r>
          </w:p>
        </w:tc>
      </w:tr>
      <w:tr>
        <w:trPr/>
        <w:tc>
          <w:tcPr>
            <w:tcW w:w="58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COVID-19 deferred compensation and deferred payroll tax</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2,330</w:t>
            </w:r>
          </w:p>
        </w:tc>
      </w:tr>
      <w:tr>
        <w:trPr/>
        <w:tc>
          <w:tcPr>
            <w:tcW w:w="58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sales tax</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58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vacation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r>
      <w:tr>
        <w:trPr/>
        <w:tc>
          <w:tcPr>
            <w:tcW w:w="58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r>
      <w:tr>
        <w:trPr/>
        <w:tc>
          <w:tcPr>
            <w:tcW w:w="58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other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58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liabilities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7,256</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Intangible Assets,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consisted of the following:</w:t>
      </w:r>
    </w:p>
    <w:tbl>
      <w:tblPr>
        <w:tblW w:w="5684" w:type="dxa"/>
        <w:jc w:val="left"/>
        <w:tblInd w:w="0" w:type="dxa"/>
        <w:tblCellMar>
          <w:top w:w="0" w:type="dxa"/>
          <w:left w:w="0" w:type="dxa"/>
          <w:bottom w:w="0" w:type="dxa"/>
          <w:right w:w="0" w:type="dxa"/>
        </w:tblCellMar>
      </w:tblPr>
      <w:tblGrid>
        <w:gridCol w:w="3241"/>
        <w:gridCol w:w="146"/>
        <w:gridCol w:w="226"/>
        <w:gridCol w:w="646"/>
        <w:gridCol w:w="181"/>
        <w:gridCol w:w="146"/>
        <w:gridCol w:w="226"/>
        <w:gridCol w:w="646"/>
        <w:gridCol w:w="226"/>
      </w:tblGrid>
      <w:tr>
        <w:trPr/>
        <w:tc>
          <w:tcPr>
            <w:tcW w:w="32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9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2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9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gross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have weighted-average amortization periods as follows:</w:t>
      </w:r>
    </w:p>
    <w:tbl>
      <w:tblPr>
        <w:tblW w:w="3178" w:type="dxa"/>
        <w:jc w:val="left"/>
        <w:tblInd w:w="0" w:type="dxa"/>
        <w:tblCellMar>
          <w:top w:w="0" w:type="dxa"/>
          <w:left w:w="0" w:type="dxa"/>
          <w:bottom w:w="0" w:type="dxa"/>
          <w:right w:w="0" w:type="dxa"/>
        </w:tblCellMar>
      </w:tblPr>
      <w:tblGrid>
        <w:gridCol w:w="2311"/>
        <w:gridCol w:w="146"/>
        <w:gridCol w:w="721"/>
      </w:tblGrid>
      <w:tr>
        <w:trPr/>
        <w:tc>
          <w:tcPr>
            <w:tcW w:w="23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w:t>
            </w:r>
          </w:p>
        </w:tc>
      </w:tr>
      <w:tr>
        <w:trPr/>
        <w:tc>
          <w:tcPr>
            <w:tcW w:w="2311"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tcPr>
          <w:p>
            <w:pPr>
              <w:pStyle w:val="TableContents"/>
              <w:spacing w:before="0" w:after="283"/>
              <w:rPr/>
            </w:pPr>
            <w:r>
              <w:rPr/>
              <w:t> </w:t>
            </w:r>
          </w:p>
        </w:tc>
        <w:tc>
          <w:tcPr>
            <w:tcW w:w="72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auto" w:val="clear"/>
          </w:tcPr>
          <w:p>
            <w:pPr>
              <w:pStyle w:val="TableContents"/>
              <w:spacing w:before="0" w:after="283"/>
              <w:rPr/>
            </w:pPr>
            <w:r>
              <w:rPr/>
              <w:t> </w:t>
            </w:r>
          </w:p>
        </w:tc>
        <w:tc>
          <w:tcPr>
            <w:tcW w:w="72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tcPr>
          <w:p>
            <w:pPr>
              <w:pStyle w:val="TableContents"/>
              <w:spacing w:before="0" w:after="283"/>
              <w:rPr/>
            </w:pPr>
            <w:r>
              <w:rPr/>
              <w:t> </w:t>
            </w:r>
          </w:p>
        </w:tc>
        <w:tc>
          <w:tcPr>
            <w:tcW w:w="72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Intangible Assets,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amortization expense for intangible assets was estimated as follows:</w:t>
      </w:r>
    </w:p>
    <w:tbl>
      <w:tblPr>
        <w:tblW w:w="2204" w:type="dxa"/>
        <w:jc w:val="left"/>
        <w:tblInd w:w="0" w:type="dxa"/>
        <w:tblCellMar>
          <w:top w:w="0" w:type="dxa"/>
          <w:left w:w="0" w:type="dxa"/>
          <w:bottom w:w="0" w:type="dxa"/>
          <w:right w:w="0" w:type="dxa"/>
        </w:tblCellMar>
      </w:tblPr>
      <w:tblGrid>
        <w:gridCol w:w="1141"/>
        <w:gridCol w:w="146"/>
        <w:gridCol w:w="226"/>
        <w:gridCol w:w="691"/>
      </w:tblGrid>
      <w:tr>
        <w:trPr/>
        <w:tc>
          <w:tcPr>
            <w:tcW w:w="1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r>
      <w:tr>
        <w:trPr/>
        <w:tc>
          <w:tcPr>
            <w:tcW w:w="1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r>
        <w:trPr/>
        <w:tc>
          <w:tcPr>
            <w:tcW w:w="1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r>
      <w:tr>
        <w:trPr/>
        <w:tc>
          <w:tcPr>
            <w:tcW w:w="1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w:t>
            </w:r>
          </w:p>
        </w:tc>
      </w:tr>
      <w:tr>
        <w:trPr/>
        <w:tc>
          <w:tcPr>
            <w:tcW w:w="1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1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1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Financing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financing obligations consist of the following:</w:t>
      </w:r>
    </w:p>
    <w:tbl>
      <w:tblPr>
        <w:tblW w:w="6584" w:type="dxa"/>
        <w:jc w:val="left"/>
        <w:tblInd w:w="0" w:type="dxa"/>
        <w:tblCellMar>
          <w:top w:w="0" w:type="dxa"/>
          <w:left w:w="0" w:type="dxa"/>
          <w:bottom w:w="0" w:type="dxa"/>
          <w:right w:w="0" w:type="dxa"/>
        </w:tblCellMar>
      </w:tblPr>
      <w:tblGrid>
        <w:gridCol w:w="3871"/>
        <w:gridCol w:w="146"/>
        <w:gridCol w:w="226"/>
        <w:gridCol w:w="721"/>
        <w:gridCol w:w="181"/>
        <w:gridCol w:w="146"/>
        <w:gridCol w:w="226"/>
        <w:gridCol w:w="841"/>
        <w:gridCol w:w="226"/>
      </w:tblGrid>
      <w:tr>
        <w:trPr/>
        <w:tc>
          <w:tcPr>
            <w:tcW w:w="387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56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8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 financing facility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8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financing facility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financing facility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8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financing obligations, current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(15,763</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 noncurrent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Vendor financing facility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 – 26%. As of June 30, 2022 and 2021, the Company had an outstanding principal balance of $0 and $6,792, respectively.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Receivable financing facility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Financing Obligations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Equipment financing facility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2019, the Company entered into arrangements with third party financiers to secure payments of certain tablet purchases. Such arrangements generally have terms ranging from 3 – 5 years and interest rates ranging from 8% – 14%. The Company then leases the tablets monetized by the financiers to one of its customers through operating leases that have 4-year terms.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Debt Arrangements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outstanding debt, net of debt discounts, consisted of the following:</w:t>
      </w:r>
    </w:p>
    <w:tbl>
      <w:tblPr>
        <w:tblW w:w="5954" w:type="dxa"/>
        <w:jc w:val="left"/>
        <w:tblInd w:w="0" w:type="dxa"/>
        <w:tblCellMar>
          <w:top w:w="0" w:type="dxa"/>
          <w:left w:w="0" w:type="dxa"/>
          <w:bottom w:w="0" w:type="dxa"/>
          <w:right w:w="0" w:type="dxa"/>
        </w:tblCellMar>
      </w:tblPr>
      <w:tblGrid>
        <w:gridCol w:w="3001"/>
        <w:gridCol w:w="146"/>
        <w:gridCol w:w="226"/>
        <w:gridCol w:w="961"/>
        <w:gridCol w:w="181"/>
        <w:gridCol w:w="146"/>
        <w:gridCol w:w="226"/>
        <w:gridCol w:w="841"/>
        <w:gridCol w:w="226"/>
      </w:tblGrid>
      <w:tr>
        <w:trPr/>
        <w:tc>
          <w:tcPr>
            <w:tcW w:w="300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80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0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81,191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debt, current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(115,106</w:t>
            </w:r>
          </w:p>
        </w:tc>
        <w:tc>
          <w:tcPr>
            <w:tcW w:w="18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(12,453</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noncurrent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68,738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promissory notes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Fiscal Year 2021 Notes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July 2020 Notes</w:t>
      </w:r>
      <w:r>
        <w:rPr>
          <w:rFonts w:ascii="Times New Roman PS Std;serif" w:hAnsi="Times New Roman PS Std;serif"/>
          <w:b w:val="false"/>
          <w:i w:val="false"/>
          <w:caps w:val="false"/>
          <w:smallCaps w:val="false"/>
          <w:sz w:val="20"/>
        </w:rPr>
        <w:t> — In July 2020 the Company issued convertible promissory notes (the “July 2020 Notes”) in the amount of $5,500 with an annual interest rate of 5%. The July 2020 Notes mature at the earlier of (a) 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Q3 2021 Notes </w:t>
      </w:r>
      <w:r>
        <w:rPr>
          <w:rFonts w:ascii="Times New Roman PS Std;serif" w:hAnsi="Times New Roman PS Std;serif"/>
          <w:b w:val="false"/>
          <w:i w:val="false"/>
          <w:caps w:val="false"/>
          <w:smallCaps w:val="false"/>
          <w:sz w:val="20"/>
        </w:rPr>
        <w:t>— During January 2021 through March 2021 the Company issued convertible promissory notes (the “Q3 2021 Notes”) in the 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June 2021 Notes </w:t>
      </w:r>
      <w:r>
        <w:rPr>
          <w:rFonts w:ascii="Times New Roman PS Std;serif" w:hAnsi="Times New Roman PS Std;serif"/>
          <w:b w:val="false"/>
          <w:i w:val="false"/>
          <w:caps w:val="false"/>
          <w:smallCaps w:val="false"/>
          <w:sz w:val="20"/>
        </w:rPr>
        <w:t>— In June 2021, the Company issued convertible promissory notes (the “June 2021 Notes”) in the total amount of $20,000 with 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 The June 2021 Notes were settled with the issuance of the February 2022 Note.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July 2021 Notes </w:t>
      </w:r>
      <w:r>
        <w:rPr>
          <w:rFonts w:ascii="Times New Roman PS Std;serif" w:hAnsi="Times New Roman PS Std;serif"/>
          <w:b w:val="false"/>
          <w:i w:val="false"/>
          <w:caps w:val="false"/>
          <w:smallCaps w:val="false"/>
          <w:sz w:val="20"/>
        </w:rPr>
        <w:t>— In July 2021, the Company issued convertible promissory notes (the “July 2021 Notes”) in the total amount of $500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February 2022 Note </w:t>
      </w:r>
      <w:r>
        <w:rPr>
          <w:rFonts w:ascii="Times New Roman PS Std;serif" w:hAnsi="Times New Roman PS Std;serif"/>
          <w:b w:val="false"/>
          <w:i w:val="false"/>
          <w:caps w:val="false"/>
          <w:smallCaps w:val="false"/>
          <w:sz w:val="20"/>
        </w:rPr>
        <w:t>— In February 2022, the Company issued a convertible promissory note (“February 2022 Note”) in the amount of $25,663 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May 2022 Notes </w:t>
      </w:r>
      <w:r>
        <w:rPr>
          <w:rFonts w:ascii="Times New Roman PS Std;serif" w:hAnsi="Times New Roman PS Std;serif"/>
          <w:b w:val="false"/>
          <w:i w:val="false"/>
          <w:caps w:val="false"/>
          <w:smallCaps w:val="false"/>
          <w:sz w:val="20"/>
        </w:rPr>
        <w:t>— In May 2022, the Company issued convertible promissory notes (“May 2022 Notes”) in the amount of $2,650 with an annual interest rate of 5%. The May 2022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prior to the retroactive impact of the recapitalization. Refer to Note 11 for further details. As of June 30, 2022, the Company had an outstanding gross balance of $12,679 on the Lago Loan and an unamortized debt discount of $1,665.</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Paycheck Protection Program Loan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April 2020, the Company obtained a PPP loan for $2,599 through the SBA. In March 2021, a second PPP 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future principal payments on debt were as follows:</w:t>
      </w:r>
    </w:p>
    <w:tbl>
      <w:tblPr>
        <w:tblW w:w="5414" w:type="dxa"/>
        <w:jc w:val="left"/>
        <w:tblInd w:w="0" w:type="dxa"/>
        <w:tblCellMar>
          <w:top w:w="0" w:type="dxa"/>
          <w:left w:w="0" w:type="dxa"/>
          <w:bottom w:w="0" w:type="dxa"/>
          <w:right w:w="0" w:type="dxa"/>
        </w:tblCellMar>
      </w:tblPr>
      <w:tblGrid>
        <w:gridCol w:w="4231"/>
        <w:gridCol w:w="146"/>
        <w:gridCol w:w="226"/>
        <w:gridCol w:w="811"/>
      </w:tblGrid>
      <w:tr>
        <w:trPr/>
        <w:tc>
          <w:tcPr>
            <w:tcW w:w="423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spacing w:before="0" w:after="283"/>
              <w:rPr/>
            </w:pPr>
            <w:r>
              <w:rPr/>
              <w:t> </w:t>
            </w:r>
          </w:p>
        </w:tc>
      </w:tr>
      <w:tr>
        <w:trPr/>
        <w:tc>
          <w:tcPr>
            <w:tcW w:w="42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80,079</w:t>
            </w:r>
          </w:p>
        </w:tc>
      </w:tr>
      <w:tr>
        <w:trPr/>
        <w:tc>
          <w:tcPr>
            <w:tcW w:w="42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42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42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r>
      <w:tr>
        <w:trPr/>
        <w:tc>
          <w:tcPr>
            <w:tcW w:w="42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payments on debt obligations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82,079</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Commitments and Contingencies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Leases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operating lease portfolio currently consists of office space leases. The Company leases its office headquarters under a non-cancellable operating lease expiring in January 2025.</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payments related to operating leases as of June 30, 2022, are as follows:</w:t>
      </w:r>
    </w:p>
    <w:tbl>
      <w:tblPr>
        <w:tblW w:w="4573" w:type="dxa"/>
        <w:jc w:val="left"/>
        <w:tblInd w:w="0" w:type="dxa"/>
        <w:tblCellMar>
          <w:top w:w="0" w:type="dxa"/>
          <w:left w:w="0" w:type="dxa"/>
          <w:bottom w:w="0" w:type="dxa"/>
          <w:right w:w="0" w:type="dxa"/>
        </w:tblCellMar>
      </w:tblPr>
      <w:tblGrid>
        <w:gridCol w:w="3241"/>
        <w:gridCol w:w="146"/>
        <w:gridCol w:w="363"/>
        <w:gridCol w:w="823"/>
      </w:tblGrid>
      <w:tr>
        <w:trPr/>
        <w:tc>
          <w:tcPr>
            <w:tcW w:w="324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c>
          <w:tcPr>
            <w:tcW w:w="146"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w:t>
              <w:br/>
              <w:t>Leases</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r>
      <w:tr>
        <w:trPr/>
        <w:tc>
          <w:tcPr>
            <w:tcW w:w="32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r>
      <w:tr>
        <w:trPr/>
        <w:tc>
          <w:tcPr>
            <w:tcW w:w="32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32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minimum lease payments</w:t>
            </w:r>
          </w:p>
        </w:tc>
        <w:tc>
          <w:tcPr>
            <w:tcW w:w="146" w:type="dxa"/>
            <w:tcBorders/>
            <w:shd w:fill="auto" w:val="clear"/>
            <w:vAlign w:val="bottom"/>
          </w:tcPr>
          <w:p>
            <w:pPr>
              <w:pStyle w:val="TableContents"/>
              <w:spacing w:before="0" w:after="283"/>
              <w:rPr/>
            </w:pPr>
            <w:r>
              <w:rPr/>
              <w:t> </w:t>
            </w:r>
          </w:p>
        </w:tc>
        <w:tc>
          <w:tcPr>
            <w:tcW w:w="36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 expense in the statements of operations, totaled $413 and $208 for the years ended June 30, 2022, and 2021, respectively.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Warranties, Indemnification, and Contingencies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has recorded $724 and $1,166 in accrued liabilities in the consolidated financial statements for expected repair costs for customer tablets currently in the Company’s return merchandise authorization process as of June 30, 2022 and 2021,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Loss on Infrequent Product Repairs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years 2022 and 2021, the Company experienced an increase in hardware returned for repair or replacement using a Return Merchandise Authorization (“</w:t>
      </w:r>
      <w:r>
        <w:rPr>
          <w:rFonts w:ascii="Times New Roman PS Std;serif" w:hAnsi="Times New Roman PS Std;serif"/>
          <w:b/>
          <w:i w:val="false"/>
          <w:caps w:val="false"/>
          <w:smallCaps w:val="false"/>
          <w:sz w:val="20"/>
        </w:rPr>
        <w:t>RMA</w:t>
      </w:r>
      <w:r>
        <w:rPr>
          <w:rFonts w:ascii="Times New Roman PS Std;serif" w:hAnsi="Times New Roman PS Std;serif"/>
          <w:b w:val="false"/>
          <w:i w:val="false"/>
          <w:caps w:val="false"/>
          <w:smallCaps w:val="false"/>
          <w:sz w:val="20"/>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Loss on Infrequent Product Repairs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Stockholders’ Deficit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Preferred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retroactive impact of the recapitalization, the summary of the preferred stock outstanding and other related information is as follows:</w:t>
      </w:r>
    </w:p>
    <w:tbl>
      <w:tblPr>
        <w:tblW w:w="9300" w:type="dxa"/>
        <w:jc w:val="left"/>
        <w:tblInd w:w="0" w:type="dxa"/>
        <w:tblCellMar>
          <w:top w:w="0" w:type="dxa"/>
          <w:left w:w="0" w:type="dxa"/>
          <w:bottom w:w="0" w:type="dxa"/>
          <w:right w:w="0" w:type="dxa"/>
        </w:tblCellMar>
      </w:tblPr>
      <w:tblGrid>
        <w:gridCol w:w="1246"/>
        <w:gridCol w:w="146"/>
        <w:gridCol w:w="226"/>
        <w:gridCol w:w="766"/>
        <w:gridCol w:w="146"/>
        <w:gridCol w:w="1231"/>
        <w:gridCol w:w="146"/>
        <w:gridCol w:w="1396"/>
        <w:gridCol w:w="146"/>
        <w:gridCol w:w="226"/>
        <w:gridCol w:w="766"/>
        <w:gridCol w:w="146"/>
        <w:gridCol w:w="290"/>
        <w:gridCol w:w="986"/>
        <w:gridCol w:w="146"/>
        <w:gridCol w:w="1291"/>
      </w:tblGrid>
      <w:tr>
        <w:trPr/>
        <w:tc>
          <w:tcPr>
            <w:tcW w:w="124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7908" w:type="dxa"/>
            <w:gridSpan w:val="1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2022 and 2021</w:t>
            </w:r>
          </w:p>
        </w:tc>
      </w:tr>
      <w:tr>
        <w:trPr/>
        <w:tc>
          <w:tcPr>
            <w:tcW w:w="12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Original</w:t>
              <w:br/>
              <w:t>Issue</w:t>
              <w:br/>
              <w:t>Price</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br/>
              <w:t>Authorized</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br/>
              <w:t>Outstanding</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br/>
              <w:t>Carrying</w:t>
              <w:br/>
              <w:t>Value</w:t>
            </w:r>
          </w:p>
        </w:tc>
        <w:tc>
          <w:tcPr>
            <w:tcW w:w="146"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Liquidation</w:t>
              <w:br/>
              <w:t>Preference</w:t>
            </w:r>
          </w:p>
        </w:tc>
        <w:tc>
          <w:tcPr>
            <w:tcW w:w="146"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w:t>
              <w:br/>
              <w:t>Stock</w:t>
              <w:br/>
              <w:t>Issuable</w:t>
              <w:br/>
              <w:t>Upon</w:t>
              <w:br/>
              <w:t>Conversion</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0.3017</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9,410,799</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8,621,800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2,567</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146"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8,621,800</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9.3597</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1,131,190</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1,024,349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9,520</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9,588</w:t>
            </w:r>
          </w:p>
        </w:tc>
        <w:tc>
          <w:tcPr>
            <w:tcW w:w="146"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1,024,349</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3.3215</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169,083</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169,083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146"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169,083</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0.9959</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10,364,829</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10,364,829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10,131</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10,322</w:t>
            </w:r>
          </w:p>
        </w:tc>
        <w:tc>
          <w:tcPr>
            <w:tcW w:w="146"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10,364,829</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0.6711</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4,619,282</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4,619,282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w:t>
            </w:r>
          </w:p>
        </w:tc>
        <w:tc>
          <w:tcPr>
            <w:tcW w:w="146"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4,619,282</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6.6080</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3,026,634</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1,513,316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9,965</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1,513,316</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5.2864</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2,030,761</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2,030,761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10,735</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10,735</w:t>
            </w:r>
          </w:p>
        </w:tc>
        <w:tc>
          <w:tcPr>
            <w:tcW w:w="146"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2,030,761</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3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30,752,578</w:t>
            </w:r>
          </w:p>
        </w:tc>
        <w:tc>
          <w:tcPr>
            <w:tcW w:w="146" w:type="dxa"/>
            <w:tcBorders/>
            <w:shd w:fill="auto" w:val="clear"/>
            <w:vAlign w:val="bottom"/>
          </w:tcPr>
          <w:p>
            <w:pPr>
              <w:pStyle w:val="TableContents"/>
              <w:spacing w:before="0" w:after="283"/>
              <w:rPr/>
            </w:pPr>
            <w:r>
              <w:rPr/>
              <w:t> </w:t>
            </w:r>
          </w:p>
        </w:tc>
        <w:tc>
          <w:tcPr>
            <w:tcW w:w="139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28,343,420</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46,564</w:t>
            </w:r>
          </w:p>
        </w:tc>
        <w:tc>
          <w:tcPr>
            <w:tcW w:w="146" w:type="dxa"/>
            <w:tcBorders/>
            <w:shd w:fill="auto" w:val="clear"/>
            <w:vAlign w:val="bottom"/>
          </w:tcPr>
          <w:p>
            <w:pPr>
              <w:pStyle w:val="TableContents"/>
              <w:spacing w:before="0" w:after="283"/>
              <w:rPr/>
            </w:pPr>
            <w:r>
              <w:rPr/>
              <w:t> </w:t>
            </w:r>
          </w:p>
        </w:tc>
        <w:tc>
          <w:tcPr>
            <w:tcW w:w="29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46,908</w:t>
            </w:r>
          </w:p>
        </w:tc>
        <w:tc>
          <w:tcPr>
            <w:tcW w:w="146" w:type="dxa"/>
            <w:tcBorders/>
            <w:shd w:fill="auto" w:val="clear"/>
            <w:vAlign w:val="bottom"/>
          </w:tcPr>
          <w:p>
            <w:pPr>
              <w:pStyle w:val="TableContents"/>
              <w:spacing w:before="0" w:after="283"/>
              <w:rPr/>
            </w:pPr>
            <w:r>
              <w:rPr/>
              <w:t> </w:t>
            </w:r>
          </w:p>
        </w:tc>
        <w:tc>
          <w:tcPr>
            <w:tcW w:w="129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28,343,420</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Rights</w:t>
      </w:r>
      <w:r>
        <w:rPr>
          <w:rFonts w:ascii="Times New Roman PS Std;serif" w:hAnsi="Times New Roman PS Std;serif"/>
          <w:b w:val="false"/>
          <w:i w:val="false"/>
          <w:caps w:val="false"/>
          <w:smallCaps w:val="false"/>
          <w:sz w:val="20"/>
        </w:rPr>
        <w:t> — Holders of Series A convertible preferred stock, Series B convertible preferred stock, Series B-1 convertible preferred stock, 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are payable only when, and if, declared by the Board of Directors and are non-cumulative.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and 2021, no dividends have been declared or paid by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w:t>
      </w:r>
      <w:r>
        <w:rPr>
          <w:rFonts w:ascii="Times New Roman PS Std;serif" w:hAnsi="Times New Roman PS Std;serif"/>
          <w:b w:val="false"/>
          <w:i w:val="false"/>
          <w:caps w:val="false"/>
          <w:smallCaps w:val="false"/>
          <w:sz w:val="20"/>
        </w:rPr>
        <w:t> — In the event of any liquidation event (as defined in the restated certificate of incorporation), whether 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 </w:t>
      </w:r>
      <w:r>
        <w:rPr>
          <w:rFonts w:ascii="Times New Roman PS Std;serif" w:hAnsi="Times New Roman PS Std;serif"/>
          <w:b w:val="false"/>
          <w:i w:val="false"/>
          <w:caps w:val="false"/>
          <w:smallCaps w:val="false"/>
          <w:sz w:val="20"/>
        </w:rPr>
        <w:t>— Each share of a series of convertible preferred stock are convertible, into common 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w:t>
      </w:r>
      <w:r>
        <w:rPr>
          <w:rFonts w:ascii="Times New Roman PS Std;serif" w:hAnsi="Times New Roman PS Std;serif"/>
          <w:b w:val="false"/>
          <w:i w:val="false"/>
          <w:caps w:val="false"/>
          <w:smallCaps w:val="false"/>
          <w:sz w:val="20"/>
        </w:rPr>
        <w:t> — Holders of convertible preferred stock are entitled to vote equal to the number of whole shares of common stock into which the shares of convertible preferred stock are convertible. Holders of convertible preferred stock vote together with the holders of common stock as a single class on an as-converted basis.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has 27,974,439 shares of common stock outstanding and as of June 30, 2021, the Company has 27,112,760 shares of common stock outstanding. The authorized and issued shares of common stock reflect the impact of the retroactive application of the recapitalization.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reserved shares of common stock for issuance, on an as-converted basis and reflecting the impact of the retroactive application of the recapitalization, as follows:</w:t>
      </w:r>
    </w:p>
    <w:tbl>
      <w:tblPr>
        <w:tblW w:w="7750" w:type="dxa"/>
        <w:jc w:val="left"/>
        <w:tblInd w:w="0" w:type="dxa"/>
        <w:tblCellMar>
          <w:top w:w="0" w:type="dxa"/>
          <w:left w:w="0" w:type="dxa"/>
          <w:bottom w:w="0" w:type="dxa"/>
          <w:right w:w="0" w:type="dxa"/>
        </w:tblCellMar>
      </w:tblPr>
      <w:tblGrid>
        <w:gridCol w:w="5041"/>
        <w:gridCol w:w="146"/>
        <w:gridCol w:w="1186"/>
        <w:gridCol w:w="146"/>
        <w:gridCol w:w="1231"/>
      </w:tblGrid>
      <w:tr>
        <w:trPr/>
        <w:tc>
          <w:tcPr>
            <w:tcW w:w="50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56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50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to purchase common stock and RSUs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11,568,090</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12,084,408</w:t>
            </w:r>
          </w:p>
        </w:tc>
      </w:tr>
      <w:tr>
        <w:trPr/>
        <w:tc>
          <w:tcPr>
            <w:tcW w:w="50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common stock</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4,658,865</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4,344,523</w:t>
            </w:r>
          </w:p>
        </w:tc>
      </w:tr>
      <w:tr>
        <w:trPr/>
        <w:tc>
          <w:tcPr>
            <w:tcW w:w="50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5,827,990</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3,449,872</w:t>
            </w:r>
          </w:p>
        </w:tc>
      </w:tr>
      <w:tr>
        <w:trPr/>
        <w:tc>
          <w:tcPr>
            <w:tcW w:w="50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and RSUs available for future grants</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877,627</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621,224</w:t>
            </w:r>
          </w:p>
        </w:tc>
      </w:tr>
      <w:tr>
        <w:trPr/>
        <w:tc>
          <w:tcPr>
            <w:tcW w:w="50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22,932,572</w:t>
            </w:r>
          </w:p>
        </w:tc>
        <w:tc>
          <w:tcPr>
            <w:tcW w:w="146" w:type="dxa"/>
            <w:tcBorders/>
            <w:shd w:fill="CCEEFF" w:val="clear"/>
            <w:vAlign w:val="bottom"/>
          </w:tcPr>
          <w:p>
            <w:pPr>
              <w:pStyle w:val="TableContents"/>
              <w:spacing w:before="0" w:after="283"/>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20,500,027</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issued warrants to purchase convertible preferred and common stock in conjunction with various debt financings.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Preferred Stock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retroactive impact of the recapitalization, the following tables represents the warrants on convertible preferred stock outstanding:</w:t>
      </w:r>
    </w:p>
    <w:tbl>
      <w:tblPr>
        <w:tblW w:w="7801" w:type="dxa"/>
        <w:jc w:val="left"/>
        <w:tblInd w:w="0" w:type="dxa"/>
        <w:tblCellMar>
          <w:top w:w="0" w:type="dxa"/>
          <w:left w:w="0" w:type="dxa"/>
          <w:bottom w:w="0" w:type="dxa"/>
          <w:right w:w="0" w:type="dxa"/>
        </w:tblCellMar>
      </w:tblPr>
      <w:tblGrid>
        <w:gridCol w:w="1246"/>
        <w:gridCol w:w="146"/>
        <w:gridCol w:w="1381"/>
        <w:gridCol w:w="146"/>
        <w:gridCol w:w="284"/>
        <w:gridCol w:w="662"/>
        <w:gridCol w:w="146"/>
        <w:gridCol w:w="1186"/>
        <w:gridCol w:w="146"/>
        <w:gridCol w:w="811"/>
        <w:gridCol w:w="146"/>
        <w:gridCol w:w="1501"/>
      </w:tblGrid>
      <w:tr>
        <w:trPr/>
        <w:tc>
          <w:tcPr>
            <w:tcW w:w="124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09" w:type="dxa"/>
            <w:gridSpan w:val="10"/>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12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shd w:fill="auto" w:val="clear"/>
            <w:vAlign w:val="bottom"/>
          </w:tcPr>
          <w:p>
            <w:pPr>
              <w:pStyle w:val="TableContents"/>
              <w:spacing w:before="0" w:after="283"/>
              <w:rPr/>
            </w:pPr>
            <w:r>
              <w:rPr/>
              <w:t> </w:t>
            </w:r>
          </w:p>
        </w:tc>
        <w:tc>
          <w:tcPr>
            <w:tcW w:w="94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220,263</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71,553</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AA-1</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106,841</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497,183</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224,909</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34,050</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2031</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363,894</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2032</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253,855</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6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1,772,548</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F-76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Warrants </w:t>
      </w:r>
      <w:r>
        <w:rPr>
          <w:rFonts w:ascii="Times New Roman PS Std;serif" w:hAnsi="Times New Roman PS Std;serif"/>
          <w:b w:val="false"/>
          <w:i w:val="false"/>
          <w:caps w:val="false"/>
          <w:smallCaps w:val="false"/>
          <w:sz w:val="20"/>
        </w:rPr>
        <w:t>(cont.)</w:t>
      </w:r>
    </w:p>
    <w:tbl>
      <w:tblPr>
        <w:tblW w:w="7801" w:type="dxa"/>
        <w:jc w:val="left"/>
        <w:tblInd w:w="0" w:type="dxa"/>
        <w:tblCellMar>
          <w:top w:w="0" w:type="dxa"/>
          <w:left w:w="0" w:type="dxa"/>
          <w:bottom w:w="0" w:type="dxa"/>
          <w:right w:w="0" w:type="dxa"/>
        </w:tblCellMar>
      </w:tblPr>
      <w:tblGrid>
        <w:gridCol w:w="1246"/>
        <w:gridCol w:w="146"/>
        <w:gridCol w:w="1381"/>
        <w:gridCol w:w="146"/>
        <w:gridCol w:w="284"/>
        <w:gridCol w:w="662"/>
        <w:gridCol w:w="146"/>
        <w:gridCol w:w="1186"/>
        <w:gridCol w:w="146"/>
        <w:gridCol w:w="811"/>
        <w:gridCol w:w="146"/>
        <w:gridCol w:w="1501"/>
      </w:tblGrid>
      <w:tr>
        <w:trPr/>
        <w:tc>
          <w:tcPr>
            <w:tcW w:w="124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09" w:type="dxa"/>
            <w:gridSpan w:val="10"/>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2021</w:t>
            </w:r>
          </w:p>
        </w:tc>
      </w:tr>
      <w:tr>
        <w:trPr/>
        <w:tc>
          <w:tcPr>
            <w:tcW w:w="12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shd w:fill="auto" w:val="clear"/>
            <w:vAlign w:val="bottom"/>
          </w:tcPr>
          <w:p>
            <w:pPr>
              <w:pStyle w:val="TableContents"/>
              <w:spacing w:before="0" w:after="283"/>
              <w:rPr/>
            </w:pPr>
            <w:r>
              <w:rPr/>
              <w:t> </w:t>
            </w:r>
          </w:p>
        </w:tc>
        <w:tc>
          <w:tcPr>
            <w:tcW w:w="94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220,263</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71,553</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AA-1</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106,841</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497,183</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224,909</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34,050</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2031</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363,894</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6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1,518,693</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 Warrants will expire at the earliest of a consummation of an acquisition and one year after the effective date of a registration statement for an initial public offering.</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 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Common Stock and Non-Voting Common Stock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represents the warrants on common stock outstanding, presented on an as converted basis to reflect the impact of the retroactive application of the recapitalization using the Exchange Ratio:</w:t>
      </w:r>
    </w:p>
    <w:tbl>
      <w:tblPr>
        <w:tblW w:w="7591" w:type="dxa"/>
        <w:jc w:val="left"/>
        <w:tblInd w:w="0" w:type="dxa"/>
        <w:tblCellMar>
          <w:top w:w="0" w:type="dxa"/>
          <w:left w:w="0" w:type="dxa"/>
          <w:bottom w:w="0" w:type="dxa"/>
          <w:right w:w="0" w:type="dxa"/>
        </w:tblCellMar>
      </w:tblPr>
      <w:tblGrid>
        <w:gridCol w:w="1006"/>
        <w:gridCol w:w="146"/>
        <w:gridCol w:w="1411"/>
        <w:gridCol w:w="146"/>
        <w:gridCol w:w="284"/>
        <w:gridCol w:w="662"/>
        <w:gridCol w:w="146"/>
        <w:gridCol w:w="1186"/>
        <w:gridCol w:w="146"/>
        <w:gridCol w:w="811"/>
        <w:gridCol w:w="146"/>
        <w:gridCol w:w="1501"/>
      </w:tblGrid>
      <w:tr>
        <w:trPr/>
        <w:tc>
          <w:tcPr>
            <w:tcW w:w="10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39" w:type="dxa"/>
            <w:gridSpan w:val="10"/>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10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shd w:fill="auto" w:val="clear"/>
            <w:vAlign w:val="bottom"/>
          </w:tcPr>
          <w:p>
            <w:pPr>
              <w:pStyle w:val="TableContents"/>
              <w:spacing w:before="0" w:after="283"/>
              <w:rPr/>
            </w:pPr>
            <w:r>
              <w:rPr/>
              <w:t> </w:t>
            </w:r>
          </w:p>
        </w:tc>
        <w:tc>
          <w:tcPr>
            <w:tcW w:w="94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2027</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141,970</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2,575,190</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2028</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404,961[E]</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6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3,277,683</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r>
    </w:tbl>
    <w:tbl>
      <w:tblPr>
        <w:tblW w:w="7591" w:type="dxa"/>
        <w:jc w:val="left"/>
        <w:tblInd w:w="0" w:type="dxa"/>
        <w:tblCellMar>
          <w:top w:w="0" w:type="dxa"/>
          <w:left w:w="0" w:type="dxa"/>
          <w:bottom w:w="0" w:type="dxa"/>
          <w:right w:w="0" w:type="dxa"/>
        </w:tblCellMar>
      </w:tblPr>
      <w:tblGrid>
        <w:gridCol w:w="1006"/>
        <w:gridCol w:w="146"/>
        <w:gridCol w:w="1411"/>
        <w:gridCol w:w="146"/>
        <w:gridCol w:w="284"/>
        <w:gridCol w:w="662"/>
        <w:gridCol w:w="146"/>
        <w:gridCol w:w="1186"/>
        <w:gridCol w:w="146"/>
        <w:gridCol w:w="811"/>
        <w:gridCol w:w="146"/>
        <w:gridCol w:w="1501"/>
      </w:tblGrid>
      <w:tr>
        <w:trPr/>
        <w:tc>
          <w:tcPr>
            <w:tcW w:w="10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39" w:type="dxa"/>
            <w:gridSpan w:val="10"/>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2021</w:t>
            </w:r>
          </w:p>
        </w:tc>
      </w:tr>
      <w:tr>
        <w:trPr/>
        <w:tc>
          <w:tcPr>
            <w:tcW w:w="10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shd w:fill="auto" w:val="clear"/>
            <w:vAlign w:val="bottom"/>
          </w:tcPr>
          <w:p>
            <w:pPr>
              <w:pStyle w:val="TableContents"/>
              <w:spacing w:before="0" w:after="283"/>
              <w:rPr/>
            </w:pPr>
            <w:r>
              <w:rPr/>
              <w:t> </w:t>
            </w:r>
          </w:p>
        </w:tc>
        <w:tc>
          <w:tcPr>
            <w:tcW w:w="94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2027</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141,970</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2,816,966</w:t>
            </w:r>
          </w:p>
        </w:tc>
        <w:tc>
          <w:tcPr>
            <w:tcW w:w="1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6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3,114,498</w:t>
            </w:r>
          </w:p>
        </w:tc>
        <w:tc>
          <w:tcPr>
            <w:tcW w:w="146"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 Warrants expire at the greater of 7 years from the issuance date or 5 years from the effective date of a registration statement for an initial public offering.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 — 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 — Warrants were issued in October 2021 and are exercisable contingent on rollouts of the Company’s products and services to the warrant holder. Number of shares represents the maximum number of shares to be issued to the warrant holder of 404,961, of which 321,943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Stock-Based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7, 2018, the Company adopted a new equity incentive plan (“</w:t>
      </w:r>
      <w:r>
        <w:rPr>
          <w:rFonts w:ascii="Times New Roman PS Std;serif" w:hAnsi="Times New Roman PS Std;serif"/>
          <w:b/>
          <w:i w:val="false"/>
          <w:caps w:val="false"/>
          <w:smallCaps w:val="false"/>
          <w:sz w:val="20"/>
        </w:rPr>
        <w:t>2018 Plan</w:t>
      </w:r>
      <w:r>
        <w:rPr>
          <w:rFonts w:ascii="Times New Roman PS Std;serif" w:hAnsi="Times New Roman PS Std;serif"/>
          <w:b w:val="false"/>
          <w:i w:val="false"/>
          <w:caps w:val="false"/>
          <w:smallCaps w:val="false"/>
          <w:sz w:val="20"/>
        </w:rPr>
        <w:t>”) which replaced the 2008 Stock Incentive Plan (“</w:t>
      </w:r>
      <w:r>
        <w:rPr>
          <w:rFonts w:ascii="Times New Roman PS Std;serif" w:hAnsi="Times New Roman PS Std;serif"/>
          <w:b/>
          <w:i w:val="false"/>
          <w:caps w:val="false"/>
          <w:smallCaps w:val="false"/>
          <w:sz w:val="20"/>
        </w:rPr>
        <w:t>2008 Plan</w:t>
      </w:r>
      <w:r>
        <w:rPr>
          <w:rFonts w:ascii="Times New Roman PS Std;serif" w:hAnsi="Times New Roman PS Std;serif"/>
          <w:b w:val="false"/>
          <w:i w:val="false"/>
          <w:caps w:val="false"/>
          <w:smallCaps w:val="false"/>
          <w:sz w:val="20"/>
        </w:rPr>
        <w:t>”). As of June 30, 2022 and 2021, the number of shares of common stock reserved for issuance under the 2018 Plan includes 877,627 and 621,224,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2022, the Company granted 360,416 RSUs to its employees and consultants that contain a service-based vesting condition and a performance-based vesting condition, with a weighted average grant date fair value of $7.98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300,376 of the options and in connection with a public liquidity event for 300,376 of the options. A financing event occurred as of June 30, 2021 that satisfied the performance-based vesting condition for 300,376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 During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voluntary or involuntary termination of employment with the Company for any reason, with or without cause, all unvested options and RSUs are forfeited and all vested options must be exercised within a 90-day period under the 2018 Plan and within a 30-day period under the 2008 Plan or they are forfeited.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of the equity incentive plan option activity for the year ended June 30, 2022 is shown collectively for the 2018 Plan and the 2008 Plan, presented on an as converted basis to reflect the impact of the retroactive application of the recapitalization using the Exchange Ratio is as follows:</w:t>
      </w:r>
    </w:p>
    <w:tbl>
      <w:tblPr>
        <w:tblW w:w="10205" w:type="dxa"/>
        <w:jc w:val="left"/>
        <w:tblInd w:w="0" w:type="dxa"/>
        <w:tblCellMar>
          <w:top w:w="0" w:type="dxa"/>
          <w:left w:w="0" w:type="dxa"/>
          <w:bottom w:w="0" w:type="dxa"/>
          <w:right w:w="0" w:type="dxa"/>
        </w:tblCellMar>
      </w:tblPr>
      <w:tblGrid>
        <w:gridCol w:w="2838"/>
        <w:gridCol w:w="146"/>
        <w:gridCol w:w="1201"/>
        <w:gridCol w:w="196"/>
        <w:gridCol w:w="146"/>
        <w:gridCol w:w="1336"/>
        <w:gridCol w:w="196"/>
        <w:gridCol w:w="146"/>
        <w:gridCol w:w="341"/>
        <w:gridCol w:w="830"/>
        <w:gridCol w:w="146"/>
        <w:gridCol w:w="1306"/>
        <w:gridCol w:w="146"/>
        <w:gridCol w:w="1231"/>
      </w:tblGrid>
      <w:tr>
        <w:trPr/>
        <w:tc>
          <w:tcPr>
            <w:tcW w:w="283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39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w:t>
              <w:br/>
              <w:t>Available for</w:t>
              <w:br/>
              <w:t>Grant</w:t>
            </w:r>
          </w:p>
        </w:tc>
        <w:tc>
          <w:tcPr>
            <w:tcW w:w="146" w:type="dxa"/>
            <w:tcBorders/>
            <w:shd w:fill="auto" w:val="clear"/>
            <w:vAlign w:val="bottom"/>
          </w:tcPr>
          <w:p>
            <w:pPr>
              <w:pStyle w:val="TableContents"/>
              <w:spacing w:before="0" w:after="283"/>
              <w:rPr/>
            </w:pPr>
            <w:r>
              <w:rPr/>
              <w:t> </w:t>
            </w:r>
          </w:p>
        </w:tc>
        <w:tc>
          <w:tcPr>
            <w:tcW w:w="15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Options</w:t>
              <w:br/>
              <w:t>Outstanding</w:t>
            </w:r>
          </w:p>
        </w:tc>
        <w:tc>
          <w:tcPr>
            <w:tcW w:w="146"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Exercise</w:t>
              <w:br/>
              <w:t>Price</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Remaining</w:t>
              <w:br/>
              <w:t>Contractual</w:t>
              <w:br/>
              <w:t>Life (years)</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Aggregate</w:t>
              <w:br/>
              <w:t>Intrinsic</w:t>
              <w:br/>
              <w:t>Value</w:t>
            </w:r>
          </w:p>
        </w:tc>
      </w:tr>
      <w:tr>
        <w:trPr/>
        <w:tc>
          <w:tcPr>
            <w:tcW w:w="283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June 30, 2021</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767,017</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14,920,447</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0.52</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83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Retrospective application of recapitalization</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(145,793</w:t>
            </w:r>
          </w:p>
        </w:tc>
        <w:tc>
          <w:tcPr>
            <w:tcW w:w="1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(2,836,039</w:t>
            </w:r>
          </w:p>
        </w:tc>
        <w:tc>
          <w:tcPr>
            <w:tcW w:w="1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0.12</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83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Balance – beginning of period</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621,224</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12,084,408</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0.64</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(321,490</w:t>
            </w:r>
          </w:p>
        </w:tc>
        <w:tc>
          <w:tcPr>
            <w:tcW w:w="1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321,490</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(259,915</w:t>
            </w:r>
          </w:p>
        </w:tc>
        <w:tc>
          <w:tcPr>
            <w:tcW w:w="19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0.43</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and expired</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932,368</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(932,368</w:t>
            </w:r>
          </w:p>
        </w:tc>
        <w:tc>
          <w:tcPr>
            <w:tcW w:w="1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83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June 30, 2022</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1,232,103</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11,213,615</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0.73</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6.66</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83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and expected to vest at June 30, 2022</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10,913,239</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0.73</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94,561</w:t>
            </w:r>
          </w:p>
        </w:tc>
      </w:tr>
      <w:tr>
        <w:trPr/>
        <w:tc>
          <w:tcPr>
            <w:tcW w:w="283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June 30, 2022</w:t>
            </w:r>
          </w:p>
        </w:tc>
        <w:tc>
          <w:tcPr>
            <w:tcW w:w="146" w:type="dxa"/>
            <w:tcBorders/>
            <w:shd w:fill="CCEEFF" w:val="clear"/>
            <w:vAlign w:val="bottom"/>
          </w:tcPr>
          <w:p>
            <w:pPr>
              <w:pStyle w:val="TableContents"/>
              <w:spacing w:before="0" w:after="283"/>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8,135,117</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73,459</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options vested and expected to vest excludes 300,376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$4.10 and $1.19,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equity incentive plan RSU activity for the year ended June 30, 2022 for the 2018 Plan, presented on an as converted basis to reflect the impact of the retroactive application of the recapitalization using the Exchange Ratio is as follows:</w:t>
      </w:r>
    </w:p>
    <w:tbl>
      <w:tblPr>
        <w:tblW w:w="6399" w:type="dxa"/>
        <w:jc w:val="left"/>
        <w:tblInd w:w="0" w:type="dxa"/>
        <w:tblCellMar>
          <w:top w:w="0" w:type="dxa"/>
          <w:left w:w="0" w:type="dxa"/>
          <w:bottom w:w="0" w:type="dxa"/>
          <w:right w:w="0" w:type="dxa"/>
        </w:tblCellMar>
      </w:tblPr>
      <w:tblGrid>
        <w:gridCol w:w="3436"/>
        <w:gridCol w:w="146"/>
        <w:gridCol w:w="1159"/>
        <w:gridCol w:w="237"/>
        <w:gridCol w:w="146"/>
        <w:gridCol w:w="360"/>
        <w:gridCol w:w="915"/>
      </w:tblGrid>
      <w:tr>
        <w:trPr/>
        <w:tc>
          <w:tcPr>
            <w:tcW w:w="34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39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Awards</w:t>
              <w:br/>
              <w:t>Outstanding</w:t>
            </w:r>
          </w:p>
        </w:tc>
        <w:tc>
          <w:tcPr>
            <w:tcW w:w="146" w:type="dxa"/>
            <w:tcBorders/>
            <w:shd w:fill="auto" w:val="clear"/>
            <w:vAlign w:val="bottom"/>
          </w:tcPr>
          <w:p>
            <w:pPr>
              <w:pStyle w:val="TableContents"/>
              <w:spacing w:before="0" w:after="283"/>
              <w:rPr/>
            </w:pPr>
            <w:r>
              <w:rPr/>
              <w:t> </w:t>
            </w:r>
          </w:p>
        </w:tc>
        <w:tc>
          <w:tcPr>
            <w:tcW w:w="127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Grant Date</w:t>
              <w:br/>
              <w:t>Fair Value</w:t>
            </w:r>
          </w:p>
        </w:tc>
      </w:tr>
      <w:tr>
        <w:trPr/>
        <w:tc>
          <w:tcPr>
            <w:tcW w:w="3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June 30, 2021</w:t>
            </w:r>
          </w:p>
        </w:tc>
        <w:tc>
          <w:tcPr>
            <w:tcW w:w="146"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343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360,416</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r>
      <w:tr>
        <w:trPr/>
        <w:tc>
          <w:tcPr>
            <w:tcW w:w="343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343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(9,990</w:t>
            </w:r>
          </w:p>
        </w:tc>
        <w:tc>
          <w:tcPr>
            <w:tcW w:w="23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r>
      <w:tr>
        <w:trPr/>
        <w:tc>
          <w:tcPr>
            <w:tcW w:w="3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June 30, 2022</w:t>
            </w:r>
          </w:p>
        </w:tc>
        <w:tc>
          <w:tcPr>
            <w:tcW w:w="146" w:type="dxa"/>
            <w:tcBorders/>
            <w:shd w:fill="CCEEFF" w:val="clear"/>
            <w:vAlign w:val="bottom"/>
          </w:tcPr>
          <w:p>
            <w:pPr>
              <w:pStyle w:val="TableContents"/>
              <w:spacing w:before="0" w:after="283"/>
              <w:rPr/>
            </w:pPr>
            <w:r>
              <w:rPr/>
              <w:t> </w:t>
            </w:r>
          </w:p>
        </w:tc>
        <w:tc>
          <w:tcPr>
            <w:tcW w:w="11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350,426</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F-79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Stock-Based Compensation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Significant Assumptions used in Estimating Option Fair Value and Stock-Based Compensation Expense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values of each option awarded on the date of grant using the Black-Scholes-Merton option pricing model utilizing the assumptions noted below.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Risk-free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interest rate — </w:t>
      </w:r>
      <w:r>
        <w:rPr>
          <w:rFonts w:ascii="Times New Roman PS Std;serif" w:hAnsi="Times New Roman PS Std;serif"/>
          <w:b w:val="false"/>
          <w:i w:val="false"/>
          <w:caps w:val="false"/>
          <w:smallCaps w:val="false"/>
          <w:sz w:val="20"/>
        </w:rPr>
        <w:t>The risk-free interest rate was calculated using the average of the published interest rates of U.S. Treasury zero-coupon issues with maturities that approximate the expected term. The dividend yield assumption is zero as the Company has no history of, nor plans to distribute, dividend payments.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term —</w:t>
      </w:r>
      <w:r>
        <w:rPr>
          <w:rFonts w:ascii="Times New Roman PS Std;serif" w:hAnsi="Times New Roman PS Std;serif"/>
          <w:b w:val="false"/>
          <w:i w:val="false"/>
          <w:caps w:val="false"/>
          <w:smallCaps w:val="false"/>
          <w:sz w:val="20"/>
        </w:rPr>
        <w:t> The expected term of the options is based on the average period the stock options 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volatility —</w:t>
      </w:r>
      <w:r>
        <w:rPr>
          <w:rFonts w:ascii="Times New Roman PS Std;serif" w:hAnsi="Times New Roman PS Std;serif"/>
          <w:b w:val="false"/>
          <w:i w:val="false"/>
          <w:caps w:val="false"/>
          <w:smallCaps w:val="false"/>
          <w:sz w:val="20"/>
        </w:rPr>
        <w:t> The expected stock price volatility for the Company’s stock was determined by examining the historical volatilities of the Company’s industry peers as the Company did not have any trading history of its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dividend yield —</w:t>
      </w:r>
      <w:r>
        <w:rPr>
          <w:rFonts w:ascii="Times New Roman PS Std;serif" w:hAnsi="Times New Roman PS Std;serif"/>
          <w:b w:val="false"/>
          <w:i w:val="false"/>
          <w:caps w:val="false"/>
          <w:smallCaps w:val="false"/>
          <w:sz w:val="20"/>
        </w:rPr>
        <w:t> The dividend yield assumption is zero as the Company has no history of, nor plans to distribute, dividend payments.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used under the Black-Scholes-Merton option pricing model and the weighted average calculated value of the options granted to employees are as follows:</w:t>
      </w:r>
    </w:p>
    <w:tbl>
      <w:tblPr>
        <w:tblW w:w="6340" w:type="dxa"/>
        <w:jc w:val="left"/>
        <w:tblInd w:w="0" w:type="dxa"/>
        <w:tblCellMar>
          <w:top w:w="0" w:type="dxa"/>
          <w:left w:w="0" w:type="dxa"/>
          <w:bottom w:w="0" w:type="dxa"/>
          <w:right w:w="0" w:type="dxa"/>
        </w:tblCellMar>
      </w:tblPr>
      <w:tblGrid>
        <w:gridCol w:w="2461"/>
        <w:gridCol w:w="146"/>
        <w:gridCol w:w="1771"/>
        <w:gridCol w:w="146"/>
        <w:gridCol w:w="1816"/>
      </w:tblGrid>
      <w:tr>
        <w:trPr/>
        <w:tc>
          <w:tcPr>
            <w:tcW w:w="24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73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June 30,</w:t>
            </w:r>
          </w:p>
        </w:tc>
      </w:tr>
      <w:tr>
        <w:trPr/>
        <w:tc>
          <w:tcPr>
            <w:tcW w:w="24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4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0.46% – 1.25%</w:t>
            </w:r>
          </w:p>
        </w:tc>
      </w:tr>
      <w:tr>
        <w:trPr/>
        <w:tc>
          <w:tcPr>
            <w:tcW w:w="24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 – 6.51</w:t>
            </w:r>
          </w:p>
        </w:tc>
        <w:tc>
          <w:tcPr>
            <w:tcW w:w="146"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 – 6.51</w:t>
            </w:r>
          </w:p>
        </w:tc>
      </w:tr>
      <w:tr>
        <w:trPr/>
        <w:tc>
          <w:tcPr>
            <w:tcW w:w="24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45.84% – 46.15%</w:t>
            </w:r>
          </w:p>
        </w:tc>
        <w:tc>
          <w:tcPr>
            <w:tcW w:w="146"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46.24% – 47.74%</w:t>
            </w:r>
          </w:p>
        </w:tc>
      </w:tr>
      <w:tr>
        <w:trPr/>
        <w:tc>
          <w:tcPr>
            <w:tcW w:w="24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excluding stock-based compensation in capitalized software, by function is as follows:</w:t>
      </w:r>
    </w:p>
    <w:tbl>
      <w:tblPr>
        <w:tblW w:w="4692" w:type="dxa"/>
        <w:jc w:val="left"/>
        <w:tblInd w:w="0" w:type="dxa"/>
        <w:tblCellMar>
          <w:top w:w="0" w:type="dxa"/>
          <w:left w:w="0" w:type="dxa"/>
          <w:bottom w:w="0" w:type="dxa"/>
          <w:right w:w="0" w:type="dxa"/>
        </w:tblCellMar>
      </w:tblPr>
      <w:tblGrid>
        <w:gridCol w:w="2791"/>
        <w:gridCol w:w="146"/>
        <w:gridCol w:w="226"/>
        <w:gridCol w:w="646"/>
        <w:gridCol w:w="146"/>
        <w:gridCol w:w="226"/>
        <w:gridCol w:w="511"/>
      </w:tblGrid>
      <w:tr>
        <w:trPr/>
        <w:tc>
          <w:tcPr>
            <w:tcW w:w="27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75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June 30,</w:t>
            </w:r>
          </w:p>
        </w:tc>
      </w:tr>
      <w:tr>
        <w:trPr/>
        <w:tc>
          <w:tcPr>
            <w:tcW w:w="27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7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7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r>
      <w:tr>
        <w:trPr/>
        <w:tc>
          <w:tcPr>
            <w:tcW w:w="27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27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r>
      <w:tr>
        <w:trPr/>
        <w:tc>
          <w:tcPr>
            <w:tcW w:w="27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F-80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allocated to cost of goods sold was not material for the fiscal years ended June 30, 2022 and 2021. The weighted-average grant date fair value of options vested during the years ended June 30, 2022 and 2021 was $1.05 and $0.47,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Stock-based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of CyborgOps (see Note 15),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U.S. federal, state, and local corporate 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loss before taxes are as follows:</w:t>
      </w:r>
    </w:p>
    <w:tbl>
      <w:tblPr>
        <w:tblW w:w="5189" w:type="dxa"/>
        <w:jc w:val="left"/>
        <w:tblInd w:w="0" w:type="dxa"/>
        <w:tblCellMar>
          <w:top w:w="0" w:type="dxa"/>
          <w:left w:w="0" w:type="dxa"/>
          <w:bottom w:w="0" w:type="dxa"/>
          <w:right w:w="0" w:type="dxa"/>
        </w:tblCellMar>
      </w:tblPr>
      <w:tblGrid>
        <w:gridCol w:w="2356"/>
        <w:gridCol w:w="146"/>
        <w:gridCol w:w="226"/>
        <w:gridCol w:w="841"/>
        <w:gridCol w:w="181"/>
        <w:gridCol w:w="146"/>
        <w:gridCol w:w="226"/>
        <w:gridCol w:w="841"/>
        <w:gridCol w:w="226"/>
      </w:tblGrid>
      <w:tr>
        <w:trPr/>
        <w:tc>
          <w:tcPr>
            <w:tcW w:w="235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23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(56,644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(49,819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loss before taxes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(56,544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(49,779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provision was comprised of the following:</w:t>
      </w:r>
    </w:p>
    <w:tbl>
      <w:tblPr>
        <w:tblW w:w="6299" w:type="dxa"/>
        <w:jc w:val="left"/>
        <w:tblInd w:w="0" w:type="dxa"/>
        <w:tblCellMar>
          <w:top w:w="0" w:type="dxa"/>
          <w:left w:w="0" w:type="dxa"/>
          <w:bottom w:w="0" w:type="dxa"/>
          <w:right w:w="0" w:type="dxa"/>
        </w:tblCellMar>
      </w:tblPr>
      <w:tblGrid>
        <w:gridCol w:w="3721"/>
        <w:gridCol w:w="146"/>
        <w:gridCol w:w="226"/>
        <w:gridCol w:w="541"/>
        <w:gridCol w:w="286"/>
        <w:gridCol w:w="146"/>
        <w:gridCol w:w="226"/>
        <w:gridCol w:w="601"/>
        <w:gridCol w:w="406"/>
      </w:tblGrid>
      <w:tr>
        <w:trPr/>
        <w:tc>
          <w:tcPr>
            <w:tcW w:w="372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43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37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3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7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01"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7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 provision</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01"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(benefit) provision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(benefit) provision</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7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F-81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effective income tax rate reconciliation is composed of the following for the periods presented:</w:t>
      </w:r>
    </w:p>
    <w:tbl>
      <w:tblPr>
        <w:tblW w:w="7932" w:type="dxa"/>
        <w:jc w:val="left"/>
        <w:tblInd w:w="0" w:type="dxa"/>
        <w:tblCellMar>
          <w:top w:w="0" w:type="dxa"/>
          <w:left w:w="0" w:type="dxa"/>
          <w:bottom w:w="0" w:type="dxa"/>
          <w:right w:w="0" w:type="dxa"/>
        </w:tblCellMar>
      </w:tblPr>
      <w:tblGrid>
        <w:gridCol w:w="5431"/>
        <w:gridCol w:w="146"/>
        <w:gridCol w:w="721"/>
        <w:gridCol w:w="361"/>
        <w:gridCol w:w="146"/>
        <w:gridCol w:w="721"/>
        <w:gridCol w:w="406"/>
      </w:tblGrid>
      <w:tr>
        <w:trPr/>
        <w:tc>
          <w:tcPr>
            <w:tcW w:w="543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35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54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8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statutory rate</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 net of federal benefit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6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credits</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0.66</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rate differential</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36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notes</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0.61</w:t>
            </w:r>
          </w:p>
        </w:tc>
        <w:tc>
          <w:tcPr>
            <w:tcW w:w="36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(14.27</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(provision) for income taxes</w:t>
            </w:r>
          </w:p>
        </w:tc>
        <w:tc>
          <w:tcPr>
            <w:tcW w:w="146" w:type="dxa"/>
            <w:tcBorders/>
            <w:shd w:fill="auto" w:val="clear"/>
            <w:vAlign w:val="bottom"/>
          </w:tcPr>
          <w:p>
            <w:pPr>
              <w:pStyle w:val="TableContents"/>
              <w:spacing w:before="0" w:after="283"/>
              <w:rPr/>
            </w:pPr>
            <w:r>
              <w:rPr/>
              <w:t> </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36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net deferred tax assets are as follows (in thousands):</w:t>
      </w:r>
    </w:p>
    <w:tbl>
      <w:tblPr>
        <w:tblW w:w="8114" w:type="dxa"/>
        <w:jc w:val="left"/>
        <w:tblInd w:w="0" w:type="dxa"/>
        <w:tblCellMar>
          <w:top w:w="0" w:type="dxa"/>
          <w:left w:w="0" w:type="dxa"/>
          <w:bottom w:w="0" w:type="dxa"/>
          <w:right w:w="0" w:type="dxa"/>
        </w:tblCellMar>
      </w:tblPr>
      <w:tblGrid>
        <w:gridCol w:w="5281"/>
        <w:gridCol w:w="146"/>
        <w:gridCol w:w="226"/>
        <w:gridCol w:w="841"/>
        <w:gridCol w:w="181"/>
        <w:gridCol w:w="146"/>
        <w:gridCol w:w="226"/>
        <w:gridCol w:w="841"/>
        <w:gridCol w:w="226"/>
      </w:tblGrid>
      <w:tr>
        <w:trPr/>
        <w:tc>
          <w:tcPr>
            <w:tcW w:w="528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52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2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528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carryforwards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31,038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19,659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credits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limitation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38,877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valuation allowance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 net of valuation allowance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are reduced by valuation allowances if, based on the consideration of all available evidence, it is more likely than not that some portion of the deferred tax asset will not be realized.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Times New Roman PS Std;serif" w:hAnsi="Times New Roman PS Std;serif"/>
          <w:b/>
          <w:i w:val="false"/>
          <w:caps w:val="false"/>
          <w:smallCaps w:val="false"/>
          <w:sz w:val="20"/>
        </w:rPr>
        <w:t>NOL</w:t>
      </w:r>
      <w:r>
        <w:rPr>
          <w:rFonts w:ascii="Times New Roman PS Std;serif" w:hAnsi="Times New Roman PS Std;serif"/>
          <w:b w:val="false"/>
          <w:i w:val="false"/>
          <w:caps w:val="false"/>
          <w:smallCaps w:val="false"/>
          <w:sz w:val="20"/>
        </w:rPr>
        <w:t>”) and tax credits carryforwards, the Company will need to generate sufficient future taxable income in each respective jurisdiction.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the activity related to valuation allowances on deferred tax assets:</w:t>
      </w:r>
    </w:p>
    <w:tbl>
      <w:tblPr>
        <w:tblW w:w="6792" w:type="dxa"/>
        <w:jc w:val="left"/>
        <w:tblInd w:w="0" w:type="dxa"/>
        <w:tblCellMar>
          <w:top w:w="0" w:type="dxa"/>
          <w:left w:w="0" w:type="dxa"/>
          <w:bottom w:w="0" w:type="dxa"/>
          <w:right w:w="0" w:type="dxa"/>
        </w:tblCellMar>
      </w:tblPr>
      <w:tblGrid>
        <w:gridCol w:w="4471"/>
        <w:gridCol w:w="146"/>
        <w:gridCol w:w="226"/>
        <w:gridCol w:w="766"/>
        <w:gridCol w:w="146"/>
        <w:gridCol w:w="226"/>
        <w:gridCol w:w="811"/>
      </w:tblGrid>
      <w:tr>
        <w:trPr/>
        <w:tc>
          <w:tcPr>
            <w:tcW w:w="447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44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4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as of beginning of year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22,272</w:t>
            </w:r>
          </w:p>
        </w:tc>
      </w:tr>
      <w:tr>
        <w:trPr/>
        <w:tc>
          <w:tcPr>
            <w:tcW w:w="44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established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44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to existing valuation allowances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7,283</w:t>
            </w:r>
          </w:p>
        </w:tc>
      </w:tr>
      <w:tr>
        <w:trPr/>
        <w:tc>
          <w:tcPr>
            <w:tcW w:w="44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as of end of year</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38,750</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F-82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 Tax Positions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tbl>
      <w:tblPr>
        <w:tblW w:w="6627" w:type="dxa"/>
        <w:jc w:val="left"/>
        <w:tblInd w:w="0" w:type="dxa"/>
        <w:tblCellMar>
          <w:top w:w="0" w:type="dxa"/>
          <w:left w:w="0" w:type="dxa"/>
          <w:bottom w:w="0" w:type="dxa"/>
          <w:right w:w="0" w:type="dxa"/>
        </w:tblCellMar>
      </w:tblPr>
      <w:tblGrid>
        <w:gridCol w:w="4546"/>
        <w:gridCol w:w="146"/>
        <w:gridCol w:w="226"/>
        <w:gridCol w:w="646"/>
        <w:gridCol w:w="146"/>
        <w:gridCol w:w="226"/>
        <w:gridCol w:w="691"/>
      </w:tblGrid>
      <w:tr>
        <w:trPr/>
        <w:tc>
          <w:tcPr>
            <w:tcW w:w="454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93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45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5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beginning of year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3,388</w:t>
            </w:r>
          </w:p>
        </w:tc>
      </w:tr>
      <w:tr>
        <w:trPr/>
        <w:tc>
          <w:tcPr>
            <w:tcW w:w="454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related to prior period tax positions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454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related to current year tax positions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w:t>
            </w:r>
          </w:p>
        </w:tc>
      </w:tr>
      <w:tr>
        <w:trPr/>
        <w:tc>
          <w:tcPr>
            <w:tcW w:w="45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end of year</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4,189</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Net Loss Per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net loss per share attributable to common stockholders for the periods presented after giving effect to the impact of the retroactive application of the recapitalization as discussed in Note 1:</w:t>
      </w:r>
    </w:p>
    <w:tbl>
      <w:tblPr>
        <w:tblW w:w="10205" w:type="dxa"/>
        <w:jc w:val="left"/>
        <w:tblInd w:w="0" w:type="dxa"/>
        <w:tblCellMar>
          <w:top w:w="0" w:type="dxa"/>
          <w:left w:w="0" w:type="dxa"/>
          <w:bottom w:w="0" w:type="dxa"/>
          <w:right w:w="0" w:type="dxa"/>
        </w:tblCellMar>
      </w:tblPr>
      <w:tblGrid>
        <w:gridCol w:w="6682"/>
        <w:gridCol w:w="146"/>
        <w:gridCol w:w="226"/>
        <w:gridCol w:w="1186"/>
        <w:gridCol w:w="181"/>
        <w:gridCol w:w="146"/>
        <w:gridCol w:w="226"/>
        <w:gridCol w:w="1186"/>
        <w:gridCol w:w="226"/>
      </w:tblGrid>
      <w:tr>
        <w:trPr/>
        <w:tc>
          <w:tcPr>
            <w:tcW w:w="668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37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 Ended June 30,</w:t>
            </w:r>
          </w:p>
        </w:tc>
      </w:tr>
      <w:tr>
        <w:trPr/>
        <w:tc>
          <w:tcPr>
            <w:tcW w:w="668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 basic and diluted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loss per share attributable to common stockholders, basic and diluted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27,268,887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27,065,512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F-83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Net Loss Per Share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potential shares of common stock that were excluded from the computation of diluted net loss per share attributable to common stockholders for the periods presented because including them would have been antidilutive are as follows:</w:t>
      </w:r>
    </w:p>
    <w:tbl>
      <w:tblPr>
        <w:tblW w:w="10205" w:type="dxa"/>
        <w:jc w:val="left"/>
        <w:tblInd w:w="0" w:type="dxa"/>
        <w:tblCellMar>
          <w:top w:w="0" w:type="dxa"/>
          <w:left w:w="0" w:type="dxa"/>
          <w:bottom w:w="0" w:type="dxa"/>
          <w:right w:w="0" w:type="dxa"/>
        </w:tblCellMar>
      </w:tblPr>
      <w:tblGrid>
        <w:gridCol w:w="7496"/>
        <w:gridCol w:w="146"/>
        <w:gridCol w:w="1186"/>
        <w:gridCol w:w="146"/>
        <w:gridCol w:w="1231"/>
      </w:tblGrid>
      <w:tr>
        <w:trPr/>
        <w:tc>
          <w:tcPr>
            <w:tcW w:w="749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56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74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4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and RSUs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11,568,090</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12,084,408</w:t>
            </w:r>
          </w:p>
        </w:tc>
      </w:tr>
      <w:tr>
        <w:trPr/>
        <w:tc>
          <w:tcPr>
            <w:tcW w:w="74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5,827,990</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3,449,872</w:t>
            </w:r>
          </w:p>
        </w:tc>
      </w:tr>
      <w:tr>
        <w:trPr/>
        <w:tc>
          <w:tcPr>
            <w:tcW w:w="74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4,658,865</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4,344,523</w:t>
            </w:r>
          </w:p>
        </w:tc>
      </w:tr>
      <w:tr>
        <w:trPr/>
        <w:tc>
          <w:tcPr>
            <w:tcW w:w="74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subject to vesting – CyborgOps (see Note 15)</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475,638</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74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potential shares of common stock excluded from the computation of diluted net loss per share</w:t>
            </w:r>
          </w:p>
        </w:tc>
        <w:tc>
          <w:tcPr>
            <w:tcW w:w="146" w:type="dxa"/>
            <w:tcBorders/>
            <w:shd w:fill="CCEEFF" w:val="clear"/>
            <w:vAlign w:val="bottom"/>
          </w:tcPr>
          <w:p>
            <w:pPr>
              <w:pStyle w:val="TableContents"/>
              <w:spacing w:before="0" w:after="283"/>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22,530,583</w:t>
            </w:r>
          </w:p>
        </w:tc>
        <w:tc>
          <w:tcPr>
            <w:tcW w:w="146" w:type="dxa"/>
            <w:tcBorders/>
            <w:shd w:fill="CCEEFF" w:val="clear"/>
            <w:vAlign w:val="bottom"/>
          </w:tcPr>
          <w:p>
            <w:pPr>
              <w:pStyle w:val="TableContents"/>
              <w:spacing w:before="0" w:after="283"/>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19,878,803</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stock options and RSUs include 650,802 and 300,376 of service-based and performance-based awards as of June 30, 2022 and 2021,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CyborgOps Acquisition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601,764 shares of the Company’s common stock valued at $8.75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$6,795 total consideration, $2,209 was accounted for as consideration transferred, consisting of $155 in cash paid upon closing, $950 deferred cash consideration and $1,104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CyborgOps Acquisition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Employee Benefit Plans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sponsors a 401(k) defined contribution plan covering eligible employees who elect to participate. The plan does not provide for any Company contributions.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Related Party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certain convertible promissory notes and embedded warrants with entities in which a member of the Company’s board of directors is an officer of the entity and has a financial interest in the entity (“</w:t>
      </w:r>
      <w:r>
        <w:rPr>
          <w:rFonts w:ascii="Times New Roman PS Std;serif" w:hAnsi="Times New Roman PS Std;serif"/>
          <w:b/>
          <w:i w:val="false"/>
          <w:caps w:val="false"/>
          <w:smallCaps w:val="false"/>
          <w:sz w:val="20"/>
        </w:rPr>
        <w:t>affiliated entities</w:t>
      </w:r>
      <w:r>
        <w:rPr>
          <w:rFonts w:ascii="Times New Roman PS Std;serif" w:hAnsi="Times New Roman PS Std;serif"/>
          <w:b w:val="false"/>
          <w:i w:val="false"/>
          <w:caps w:val="false"/>
          <w:smallCaps w:val="false"/>
          <w:sz w:val="20"/>
        </w:rPr>
        <w:t>”). In fiscal year 2021, the Company issued $4,500 of convertible promissory notes to the affiliated entities as part of the July 2020 Notes and the Q3 2021 Notes. Refer to Note 7 for further details on settlement of the July 2020 Notes and the Q3 2021 Notes.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and 2021, $9,566 and $6,449, respectively, of the Company’s convertible promissory notes and embedded warrants balance is due to a related party, of which $9,566 and $3,583, respectively, are due within 12 months.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Subsequent Events pertaining to the Merger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issued an aggregate of 7,143,687 shares of New Presto common stock to certain investors for aggregate proceeds of $55,500 to New Presto (the “Equity PIPE Investment”).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Subsequent Events pertaining to the Merger Agreement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Agreement and Convertible Note Subscription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Business Combination, New Presto entered into a Credit Agreement (the “Credit Agreement”) with the Surviving Corporation, Metropolitan Partners Group Administration, LLC, with extended term loans having an aggregate original principal amount of $55,000 (the “Metropolitan Term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 Subscription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Warrant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Subsequent Events pertaining to the Merger Agreement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and as contemplated by the Merger Agreement, the Company entered into an Amended and Restated Warrant Agreement (“</w:t>
      </w:r>
      <w:r>
        <w:rPr>
          <w:rFonts w:ascii="Times New Roman PS Std;serif" w:hAnsi="Times New Roman PS Std;serif"/>
          <w:b w:val="false"/>
          <w:i w:val="false"/>
          <w:caps w:val="false"/>
          <w:smallCaps w:val="false"/>
          <w:sz w:val="20"/>
          <w:u w:val="single"/>
        </w:rPr>
        <w:t>Amended and Restated Warrant Agreement</w:t>
      </w:r>
      <w:r>
        <w:rPr>
          <w:rFonts w:ascii="Times New Roman PS Std;serif" w:hAnsi="Times New Roman PS Std;serif"/>
          <w:b w:val="false"/>
          <w:i w:val="false"/>
          <w:caps w:val="false"/>
          <w:smallCaps w:val="false"/>
          <w:sz w:val="20"/>
        </w:rPr>
        <w:t>”) with Continental, to reflect the issuance of the Metropolitan Warrants, to reflect the transfer of 500,000 Private Warrants (the “</w:t>
      </w:r>
      <w:r>
        <w:rPr>
          <w:rFonts w:ascii="Times New Roman PS Std;serif" w:hAnsi="Times New Roman PS Std;serif"/>
          <w:b w:val="false"/>
          <w:i w:val="false"/>
          <w:caps w:val="false"/>
          <w:smallCaps w:val="false"/>
          <w:sz w:val="20"/>
          <w:u w:val="single"/>
        </w:rPr>
        <w:t>Silver Rock Warrants</w:t>
      </w:r>
      <w:r>
        <w:rPr>
          <w:rFonts w:ascii="Times New Roman PS Std;serif" w:hAnsi="Times New Roman PS Std;serif"/>
          <w:b w:val="false"/>
          <w:i w:val="false"/>
          <w:caps w:val="false"/>
          <w:smallCaps w:val="false"/>
          <w:sz w:val="20"/>
        </w:rPr>
        <w:t>”) to affiliates of Silver Rock Capital Partners LP (“</w:t>
      </w:r>
      <w:r>
        <w:rPr>
          <w:rFonts w:ascii="Times New Roman PS Std;serif" w:hAnsi="Times New Roman PS Std;serif"/>
          <w:b w:val="false"/>
          <w:i w:val="false"/>
          <w:caps w:val="false"/>
          <w:smallCaps w:val="false"/>
          <w:sz w:val="20"/>
          <w:u w:val="single"/>
        </w:rPr>
        <w:t>Silver Rock</w:t>
      </w:r>
      <w:r>
        <w:rPr>
          <w:rFonts w:ascii="Times New Roman PS Std;serif" w:hAnsi="Times New Roman PS Std;serif"/>
          <w:b w:val="false"/>
          <w:i w:val="false"/>
          <w:caps w:val="false"/>
          <w:smallCaps w:val="false"/>
          <w:sz w:val="20"/>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pStyle w:val="TextBody"/>
        <w:keepNext w:val="true"/>
        <w:pageBreakBefore w:val="false"/>
        <w:widowControl/>
        <w:pBdr/>
        <w:spacing w:before="240" w:after="283"/>
        <w:ind w:left="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 Marketing Agreement, Administrative Services Agreement and the Placement Agency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Closing, Ventoux and Chardan Capital Markets, LLC (“</w:t>
      </w:r>
      <w:r>
        <w:rPr>
          <w:rFonts w:ascii="Times New Roman PS Std;serif" w:hAnsi="Times New Roman PS Std;serif"/>
          <w:b w:val="false"/>
          <w:i w:val="false"/>
          <w:caps w:val="false"/>
          <w:smallCaps w:val="false"/>
          <w:sz w:val="20"/>
          <w:u w:val="single"/>
        </w:rPr>
        <w:t>Chardan</w:t>
      </w:r>
      <w:r>
        <w:rPr>
          <w:rFonts w:ascii="Times New Roman PS Std;serif" w:hAnsi="Times New Roman PS Std;serif"/>
          <w:b w:val="false"/>
          <w:i w:val="false"/>
          <w:caps w:val="false"/>
          <w:smallCaps w:val="false"/>
          <w:sz w:val="20"/>
        </w:rPr>
        <w:t>”) waived certain obligations of New Presto to Chardan in connection with the following agreements: (i) 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Other Subsequent Events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evaluated subsequent events after the balance sheet date through September 27, 2022 the date the financial statements were available to be issued.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Company amended its July 2020 Notes to extend the maturity date to the earlier of (a) August 31, 2022, or (b) an event of default.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Company received forgiveness of the second PPP loan of approximately $2,000.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2022, the Company amended the Lago Loan to, among other things, increase the borrowings under the facility by $5,250 and issue approximately 209,044 additional warrants to purchase Series C preferred stock at an exercise price of $6.61, prior to the retroactive impact of the recapitalization, with a maturity date in March 2032. The additional borrowings mature on March 11, 2023 and carry the same interest terms as the original Lago Loan.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15, 2022, the Company issued 133,249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16, 2022, the Company granted 1,200,000 RSUs to a member of its board of directors, a related party to the Company. The RSUs fully vested upon the closing of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18, 2022, the Company rolled forward the receivable financing facility, enabling the Company to continue its quarterly borrowings for a minimum of a rolling twelve-months.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immediately prior to the closing of the Business Combination, the following occurred: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the retroactive impact of the recapitalization, the Company’s convertible preferred stock outstanding was automatically converted into 28,343,420 shares of the Company’s common stock immediately prior to the closing of the Business Combination.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Other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convertible promissory notes and embedded warrants, including the July 2020 Notes, the Q3 2021 Notes, the July 2021 Notes, the February 2022 Note, and the May 2022 Notes, were converted into an aggregate of 8,147,938 shares of the Company’s common stock immediately prior to the closing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Warrants to purchase 141,970 shares of common stock were net exercised for 136,681 shares of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pre-paid the outstanding balance of its Horizon Loan for a total of $17,005, including principal, accrued interest, an end of term fee, and prepayment fees.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paid the outstanding balance, including principal and accrued interest, of its promissory note issued as part of the CyborgOps acquisition for a total of $1,451.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 INFORMATION NOT REQUIRED IN PROSPECTUS</w:t>
      </w:r>
    </w:p>
    <w:p>
      <w:pPr>
        <w:pStyle w:val="TextBody"/>
        <w:keepNext w:val="true"/>
        <w:pageBreakBefore w:val="false"/>
        <w:widowControl/>
        <w:pBdr/>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13.     Other Expenses of Issuance and Distribution.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estimated expenses to be borne by the registrant in connection with the issuance and distribution of the shares of Common Stock and warrants being registered hereby.</w:t>
      </w:r>
    </w:p>
    <w:tbl>
      <w:tblPr>
        <w:tblW w:w="6524" w:type="dxa"/>
        <w:jc w:val="left"/>
        <w:tblInd w:w="0" w:type="dxa"/>
        <w:tblCellMar>
          <w:top w:w="0" w:type="dxa"/>
          <w:left w:w="0" w:type="dxa"/>
          <w:bottom w:w="0" w:type="dxa"/>
          <w:right w:w="0" w:type="dxa"/>
        </w:tblCellMar>
      </w:tblPr>
      <w:tblGrid>
        <w:gridCol w:w="5341"/>
        <w:gridCol w:w="146"/>
        <w:gridCol w:w="226"/>
        <w:gridCol w:w="811"/>
      </w:tblGrid>
      <w:tr>
        <w:trPr/>
        <w:tc>
          <w:tcPr>
            <w:tcW w:w="534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and Exchange Commission registration fee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133.56</w:t>
            </w:r>
          </w:p>
        </w:tc>
      </w:tr>
      <w:tr>
        <w:trPr/>
        <w:tc>
          <w:tcPr>
            <w:tcW w:w="534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4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4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Advisory fees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4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printing and miscellaneous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4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Estimates not presently known.</w:t>
      </w:r>
    </w:p>
    <w:p>
      <w:pPr>
        <w:pStyle w:val="TextBody"/>
        <w:keepNext w:val="true"/>
        <w:pageBreakBefore w:val="false"/>
        <w:widowControl/>
        <w:pBdr/>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14.     Indemnification of Directors and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Indemnification of officers, directors, employees and agents; insurance.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 person eligible for indemnification pursuant to our Current Charter will be indemnified by us in connection with a proceeding initiated by such person only if such proceeding was authorized by the Presto Board, except for proceedings to enforce rights to indemnification.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to indemnification and advancement of expenses will not be deemed exclusive of any other rights which any person covered by our Current Charter may have or hereafter acquire under law, our Current Charter, our Bylaws, an agreement, vote of stockholders or disinterested directors, or otherwise.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Bylaws include the provisions relating to advancement of expenses and indemnification rights consistent with those which are set forth in our Current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repeal or amendment of provisions of our Bylaws affecting indemnification rights, whether by the Presto Board,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each of our officers and directors a form that was filed as Exhibit 10.5 of our Registration Statement on Form S-1, filed with the SEC on January 4, 2021.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keepNext w:val="true"/>
        <w:pageBreakBefore w:val="false"/>
        <w:widowControl/>
        <w:pBdr/>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15.     Recent Sales of Unregistered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years preceding the filing of this registration statement, the Registrant sold the following securities of the Registrant which were not registered under the Securities Act of 1933, as amended (the “Securities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September 19, 2019, Chardan Investments purchased 5,000,000 shares (the “Founder Shares”) for an aggregate price of $25,000. On July 23, 2020, Chardan Investments sold 3,250,000 Founder Shares back to Presto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resulting in an aggregate of 4,312,500 Founder Shares including up to 562,500 shares subject to forfeiture by the initial stockholders;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July 25, 2022 VTAQ entered into certain new and amended and restated Equity Subscription Agreements, with certain accredited investors, pursuant to which, among other things, VTAQ agreed to issue and sell, in private placements to close immediately prior to or substantially concurrently with the Closing, an aggregate of 7,143,687 shares of common stock for an aggregate consideration of $55,000,000. Of 14 Equity Subscription Agreements, 11, representing a total investment of $6.9 million,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were entered into by Legacy Presto investors and directors and officers, such as Rajat Suri, the former Chief Executive of Officer of Presto, and entities affiliated with Krishna K. Gupta and Ilya Golubovich, each of whom serve as a directors of Presto. The remaining Equity Subscription Agreements representing a total investment of $53.1 million were entered into with investors that are unaffiliated with VTAQ, the Sponsors, Presto or any of their affiliates, which includes a $50 million investment from Cleveland Avenue;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September 21, 2022, in connection with the consummation of the Business Combination and as contemplated by the Merger Agreement, the Company entered into an Amended and Restated Warrant Agreement with Continental,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Presto Common Stock at an exercise price of $11.50 per share. Each of the public warrants is exercisable for $8.21 per share.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March 31, 2023, the Company entered into a Waiver and First Amendment to Credit Agreement (the “First Amendment”) with Metropolitan, in which the parties amended certain covenants and payment provisions of the Credit Agreement. In connection with the First Amendment and in consideration for Metropolitan’s entering into the First Amendment, the Company entered into the Amended and Restated Fee Letter (the “Fee Letter”) with Metropolitan, pursuant to which the Company paid an amendment fee equal to $200,000 and granted the Resale Warrants to purchase the Resale Shares, with an exercise price of $0.01 per share, to the Metropolitan Entities.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pStyle w:val="TextBody"/>
        <w:keepNext w:val="true"/>
        <w:pageBreakBefore w:val="false"/>
        <w:widowControl/>
        <w:pBdr/>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16.     Exhibits and Financial Statement Schedules.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filed as part of this registration statement are listed in the index to the financial statements immediately preceding such financial statements, which index to the financial statements is incorporated herein by reference.</w:t>
      </w:r>
    </w:p>
    <w:tbl>
      <w:tblPr>
        <w:tblW w:w="10205" w:type="dxa"/>
        <w:jc w:val="left"/>
        <w:tblInd w:w="0" w:type="dxa"/>
        <w:tblCellMar>
          <w:top w:w="0" w:type="dxa"/>
          <w:left w:w="0" w:type="dxa"/>
          <w:bottom w:w="0" w:type="dxa"/>
          <w:right w:w="0" w:type="dxa"/>
        </w:tblCellMar>
      </w:tblPr>
      <w:tblGrid>
        <w:gridCol w:w="1306"/>
        <w:gridCol w:w="146"/>
        <w:gridCol w:w="8753"/>
      </w:tblGrid>
      <w:tr>
        <w:trPr/>
        <w:tc>
          <w:tcPr>
            <w:tcW w:w="1306" w:type="dxa"/>
            <w:tcBorders/>
            <w:shd w:fill="auto" w:val="clear"/>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2">
              <w:r>
                <w:rPr>
                  <w:rStyle w:val="InternetLink"/>
                  <w:rFonts w:ascii="Times New Roman PS Std;serif" w:hAnsi="Times New Roman PS Std;serif"/>
                  <w:b w:val="false"/>
                  <w:i w:val="false"/>
                  <w:caps w:val="false"/>
                  <w:smallCaps w:val="false"/>
                  <w:sz w:val="20"/>
                </w:rPr>
                <w:t>Merger Agreement, dated as of November 10, 2021, by and among VTAQ, Ventoux Merger Sub I, Ventoux Merger Sub II and Legacy Presto (incorporated by reference to Exhibit 2.1 to the Current Report on Form 8-K filed on November 10, 2021).</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3">
              <w:r>
                <w:rPr>
                  <w:rStyle w:val="InternetLink"/>
                  <w:rFonts w:ascii="Times New Roman PS Std;serif" w:hAnsi="Times New Roman PS Std;serif"/>
                  <w:b w:val="false"/>
                  <w:i w:val="false"/>
                  <w:caps w:val="false"/>
                  <w:smallCaps w:val="false"/>
                  <w:sz w:val="20"/>
                </w:rPr>
                <w:t>Amendment No. 1 to Merger Agreement, dated as of April 1, 2022, by and among VTAQ, Ventoux Merger Sub I, Ventoux Merger Sub II and Presto (incorporated by reference to Exhibit 2.1 to the Current Report on Form 8-K filed on April 4, 2022).</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4">
              <w:r>
                <w:rPr>
                  <w:rStyle w:val="InternetLink"/>
                  <w:rFonts w:ascii="Times New Roman PS Std;serif" w:hAnsi="Times New Roman PS Std;serif"/>
                  <w:b w:val="false"/>
                  <w:i w:val="false"/>
                  <w:caps w:val="false"/>
                  <w:smallCaps w:val="false"/>
                  <w:sz w:val="20"/>
                </w:rPr>
                <w:t>Amendment No. 2 to Merger Agreement, dated as of July 25, 2022, by and among VTAQ, Ventoux Merger Sub I, Ventoux Merger Sub II and Presto (incorporated by reference to Exhibit 2.1 to the Current Report on Form 8-K filed on July 26,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5">
              <w:r>
                <w:rPr>
                  <w:rStyle w:val="InternetLink"/>
                  <w:rFonts w:ascii="Times New Roman PS Std;serif" w:hAnsi="Times New Roman PS Std;serif"/>
                  <w:b w:val="false"/>
                  <w:i w:val="false"/>
                  <w:caps w:val="false"/>
                  <w:smallCaps w:val="false"/>
                  <w:sz w:val="20"/>
                </w:rPr>
                <w:t>Second Amended &amp; Restated Certificate of Incorporation (incorporated by reference to Exhibit 3.1 to the Current Report on Form 8-K filed on September 27, 2022).</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6">
              <w:r>
                <w:rPr>
                  <w:rStyle w:val="InternetLink"/>
                  <w:rFonts w:ascii="Times New Roman PS Std;serif" w:hAnsi="Times New Roman PS Std;serif"/>
                  <w:b w:val="false"/>
                  <w:i w:val="false"/>
                  <w:caps w:val="false"/>
                  <w:smallCaps w:val="false"/>
                  <w:sz w:val="20"/>
                </w:rPr>
                <w:t>Bylaws of Presto Automation Inc. (incorporated by reference to Exhibit 3.2 to the Form S-1/A filed on December 16,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w:anchor="fs12023ex5-1_prestoauto.htm">
              <w:r>
                <w:rPr>
                  <w:rStyle w:val="InternetLink"/>
                  <w:rFonts w:ascii="Times New Roman PS Std;serif" w:hAnsi="Times New Roman PS Std;serif"/>
                  <w:b w:val="false"/>
                  <w:i w:val="false"/>
                  <w:caps w:val="false"/>
                  <w:smallCaps w:val="false"/>
                  <w:sz w:val="20"/>
                </w:rPr>
                <w:t>Opinion of White &amp; Case LLP.</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7">
              <w:r>
                <w:rPr>
                  <w:rStyle w:val="InternetLink"/>
                  <w:rFonts w:ascii="Times New Roman PS Std;serif" w:hAnsi="Times New Roman PS Std;serif"/>
                  <w:b w:val="false"/>
                  <w:i w:val="false"/>
                  <w:caps w:val="false"/>
                  <w:smallCaps w:val="false"/>
                  <w:sz w:val="20"/>
                </w:rPr>
                <w:t>Credit Agreement, dated as of September 21, 2022, by and among New Presto, Surviving Corporation, Metropolitan Partners Group Administration, LLC, as administrative, payment and collateral agent, and the lenders from time to time party thereto (incorporated by reference to Exhibit 10.1 to the Current Report on Form 8-K filed on September 27,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8">
              <w:r>
                <w:rPr>
                  <w:rStyle w:val="InternetLink"/>
                  <w:rFonts w:ascii="Times New Roman PS Std;serif" w:hAnsi="Times New Roman PS Std;serif"/>
                  <w:b w:val="false"/>
                  <w:i w:val="false"/>
                  <w:caps w:val="false"/>
                  <w:smallCaps w:val="false"/>
                  <w:sz w:val="20"/>
                </w:rPr>
                <w:t>Amended &amp; Restated Registration Rights Agreement dated as of September 21, 2022, by and among New Presto, the Sponsors, Cleveland Avenue, VTAQ’s officers and directors, Metropolitan and certain Legacy Presto stockholders (incorporated by reference to Exhibit 10.2 to the Current Report on Form 8-K filed on September 27, 2022).</w:t>
              </w:r>
            </w:hyperlink>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II-5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306"/>
        <w:gridCol w:w="146"/>
        <w:gridCol w:w="8753"/>
      </w:tblGrid>
      <w:tr>
        <w:trPr/>
        <w:tc>
          <w:tcPr>
            <w:tcW w:w="1306" w:type="dxa"/>
            <w:tcBorders/>
            <w:shd w:fill="auto" w:val="clear"/>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9">
              <w:r>
                <w:rPr>
                  <w:rStyle w:val="InternetLink"/>
                  <w:rFonts w:ascii="Times New Roman PS Std;serif" w:hAnsi="Times New Roman PS Std;serif"/>
                  <w:b w:val="false"/>
                  <w:i w:val="false"/>
                  <w:caps w:val="false"/>
                  <w:smallCaps w:val="false"/>
                  <w:sz w:val="20"/>
                </w:rPr>
                <w:t>Amended &amp; Restated Warrant Agreement dated as of September 21, 2022, by and among, New Presto, the Sponsors and Continental Stock Transfer &amp; Trust Company (incorporated by reference to Exhibit 10.3 to the Current Report on Form 8-K filed on September 27,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10">
              <w:r>
                <w:rPr>
                  <w:rStyle w:val="InternetLink"/>
                  <w:rFonts w:ascii="Times New Roman PS Std;serif" w:hAnsi="Times New Roman PS Std;serif"/>
                  <w:b w:val="false"/>
                  <w:i w:val="false"/>
                  <w:caps w:val="false"/>
                  <w:smallCaps w:val="false"/>
                  <w:sz w:val="20"/>
                </w:rPr>
                <w:t>Governance Agreement, dated as of September 21, 2022 by and among, New Presto and certain of its affiliates (incorporated by reference to Exhibit 10.4 to the Current Report on Form 8-K filed on September 27, 2022).</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11">
              <w:r>
                <w:rPr>
                  <w:rStyle w:val="InternetLink"/>
                  <w:rFonts w:ascii="Times New Roman PS Std;serif" w:hAnsi="Times New Roman PS Std;serif"/>
                  <w:b w:val="false"/>
                  <w:i w:val="false"/>
                  <w:caps w:val="false"/>
                  <w:smallCaps w:val="false"/>
                  <w:sz w:val="20"/>
                </w:rPr>
                <w:t>Form of Indemnification Agreement (incorporated by reference to Exhibit 10.5 to the Current Report on Form 8-K filed on September 27,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12">
              <w:r>
                <w:rPr>
                  <w:rStyle w:val="InternetLink"/>
                  <w:rFonts w:ascii="Times New Roman PS Std;serif" w:hAnsi="Times New Roman PS Std;serif"/>
                  <w:b w:val="false"/>
                  <w:i w:val="false"/>
                  <w:caps w:val="false"/>
                  <w:smallCaps w:val="false"/>
                  <w:sz w:val="20"/>
                </w:rPr>
                <w:t>Presto Automation Inc. 2008 Stock Incentive Plan (incorporated by reference to Exhibit 10.6 to the Form S-1 filed on October 21, 2022).</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13">
              <w:r>
                <w:rPr>
                  <w:rStyle w:val="InternetLink"/>
                  <w:rFonts w:ascii="Times New Roman PS Std;serif" w:hAnsi="Times New Roman PS Std;serif"/>
                  <w:b w:val="false"/>
                  <w:i w:val="false"/>
                  <w:caps w:val="false"/>
                  <w:smallCaps w:val="false"/>
                  <w:sz w:val="20"/>
                </w:rPr>
                <w:t>Presto Automation Inc. 2018 Equity Incentive Plan (incorporated by reference to Exhibit 10.7 to the Form S-1/A filed on December 16,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14">
              <w:r>
                <w:rPr>
                  <w:rStyle w:val="InternetLink"/>
                  <w:rFonts w:ascii="Times New Roman PS Std;serif" w:hAnsi="Times New Roman PS Std;serif"/>
                  <w:b w:val="false"/>
                  <w:i w:val="false"/>
                  <w:caps w:val="false"/>
                  <w:smallCaps w:val="false"/>
                  <w:sz w:val="20"/>
                </w:rPr>
                <w:t>Presto Automation Inc. 2022 Incentive Award Plan (incorporated by reference to Exhibit 10.6 to the Current Report on Form 8-K filed on September 27, 2022).</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15">
              <w:r>
                <w:rPr>
                  <w:rStyle w:val="InternetLink"/>
                  <w:rFonts w:ascii="Times New Roman PS Std;serif" w:hAnsi="Times New Roman PS Std;serif"/>
                  <w:b w:val="false"/>
                  <w:i w:val="false"/>
                  <w:caps w:val="false"/>
                  <w:smallCaps w:val="false"/>
                  <w:sz w:val="20"/>
                </w:rPr>
                <w:t>Presto Automation Inc. 2022 Employee Stock Purchase Plan (incorporated by reference to Exhibit 10.7 to the Current Report on Form 8-K filed on September 27,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16">
              <w:r>
                <w:rPr>
                  <w:rStyle w:val="InternetLink"/>
                  <w:rFonts w:ascii="Times New Roman PS Std;serif" w:hAnsi="Times New Roman PS Std;serif"/>
                  <w:b w:val="false"/>
                  <w:i w:val="false"/>
                  <w:caps w:val="false"/>
                  <w:smallCaps w:val="false"/>
                  <w:sz w:val="20"/>
                </w:rPr>
                <w:t>Amended &amp; Restated Cleveland Avenue Subscription Agreement, dated as of July 25, 2022, by and between VTAQ and Presto CA, LLC (incorporated by reference to Exhibit 10.2 to the Current Report on Form 8-K filed on July 26, 2022).</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17">
              <w:r>
                <w:rPr>
                  <w:rStyle w:val="InternetLink"/>
                  <w:rFonts w:ascii="Times New Roman PS Std;serif" w:hAnsi="Times New Roman PS Std;serif"/>
                  <w:b w:val="false"/>
                  <w:i w:val="false"/>
                  <w:caps w:val="false"/>
                  <w:smallCaps w:val="false"/>
                  <w:sz w:val="20"/>
                </w:rPr>
                <w:t>Form of Amended &amp; Restated Equity Subscription Agreement (incorporated by reference to Exhibit 10.3 to the Current Report on Form 8-K filed on July 26,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18">
              <w:r>
                <w:rPr>
                  <w:rStyle w:val="InternetLink"/>
                  <w:rFonts w:ascii="Times New Roman PS Std;serif" w:hAnsi="Times New Roman PS Std;serif"/>
                  <w:b w:val="false"/>
                  <w:i w:val="false"/>
                  <w:caps w:val="false"/>
                  <w:smallCaps w:val="false"/>
                  <w:sz w:val="20"/>
                </w:rPr>
                <w:t>Offer Letter of Employment, dated as of February 23, 2021, by and between Dan Mosher and Presto Automation Inc. (incorporated by reference to Exhibit 10.12 to the Form S-1 filed on October 21, 2022).</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19">
              <w:r>
                <w:rPr>
                  <w:rStyle w:val="InternetLink"/>
                  <w:rFonts w:ascii="Times New Roman PS Std;serif" w:hAnsi="Times New Roman PS Std;serif"/>
                  <w:b w:val="false"/>
                  <w:i w:val="false"/>
                  <w:caps w:val="false"/>
                  <w:smallCaps w:val="false"/>
                  <w:sz w:val="20"/>
                </w:rPr>
                <w:t>Offer Letter of Employment, dated as of August 19, 2019, by and between Ashish Gupta and Presto Automation Inc. (incorporated by reference to Exhibit 10.13 to the Form S-1 filed on October 21, 2022).</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20">
              <w:r>
                <w:rPr>
                  <w:rStyle w:val="InternetLink"/>
                  <w:rFonts w:ascii="Times New Roman PS Std;serif" w:hAnsi="Times New Roman PS Std;serif"/>
                  <w:b w:val="false"/>
                  <w:i w:val="false"/>
                  <w:caps w:val="false"/>
                  <w:smallCaps w:val="false"/>
                  <w:sz w:val="20"/>
                </w:rPr>
                <w:t>Consulting Agreement, dated as of March 4, 2023, by and between Ashish Gupta and Presto Automation Inc. (incorporated by reference to Exhibit 10.1 to the Current Report on Form 8-K filed on March 7, 2023)</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21">
              <w:r>
                <w:rPr>
                  <w:rStyle w:val="InternetLink"/>
                  <w:rFonts w:ascii="Times New Roman PS Std;serif" w:hAnsi="Times New Roman PS Std;serif"/>
                  <w:b w:val="false"/>
                  <w:i w:val="false"/>
                  <w:caps w:val="false"/>
                  <w:smallCaps w:val="false"/>
                  <w:sz w:val="20"/>
                </w:rPr>
                <w:t>Waiver and First Amendment to Credit Agreement, dated March 31, 2023, by and among Presto Automation Inc., E La Carte, LLC, Metropolitan Partners Group Administration, LLC and certain lenders party thereto (incorporated by reference to Exhibit 10.1 to the Current Report on Form 8-K filed on April 6, 2023).</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22">
              <w:r>
                <w:rPr>
                  <w:rStyle w:val="InternetLink"/>
                  <w:rFonts w:ascii="Times New Roman PS Std;serif" w:hAnsi="Times New Roman PS Std;serif"/>
                  <w:b w:val="false"/>
                  <w:i w:val="false"/>
                  <w:caps w:val="false"/>
                  <w:smallCaps w:val="false"/>
                  <w:sz w:val="20"/>
                </w:rPr>
                <w:t>Amended and Restated Fee Letter, dated March 31, 2023, by and among Presto Automation Inc., E La Carte, LLC, Metropolitan Partners Group Administration LLC and certain lenders party thereto (incorporated by reference to Exhibit 10.2 to the Current Report on Form 8-K filed on April 6, 2023).</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23">
              <w:r>
                <w:rPr>
                  <w:rStyle w:val="InternetLink"/>
                  <w:rFonts w:ascii="Times New Roman PS Std;serif" w:hAnsi="Times New Roman PS Std;serif"/>
                  <w:b w:val="false"/>
                  <w:i w:val="false"/>
                  <w:caps w:val="false"/>
                  <w:smallCaps w:val="false"/>
                  <w:sz w:val="20"/>
                </w:rPr>
                <w:t>Warrant to Purchase Common Stock, dated March 31, 2023, by and between Presto Automation Inc. and Metropolitan Levered Partners Fund VII, LP (incorporated by reference to Exhibit 10.3 to the Current Report on Form 8-K filed on April 6, 2023).</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24">
              <w:r>
                <w:rPr>
                  <w:rStyle w:val="InternetLink"/>
                  <w:rFonts w:ascii="Times New Roman PS Std;serif" w:hAnsi="Times New Roman PS Std;serif"/>
                  <w:b w:val="false"/>
                  <w:i w:val="false"/>
                  <w:caps w:val="false"/>
                  <w:smallCaps w:val="false"/>
                  <w:sz w:val="20"/>
                </w:rPr>
                <w:t>Warrant to Purchase Common Stock, dated March 31, 2023, by and between Presto Automation Inc. and Metropolitan Partners Fund VII, LP (incorporated by reference to Exhibit 10.4 to the Current Report on Form 8-K filed on April 6, 2023).</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25">
              <w:r>
                <w:rPr>
                  <w:rStyle w:val="InternetLink"/>
                  <w:rFonts w:ascii="Times New Roman PS Std;serif" w:hAnsi="Times New Roman PS Std;serif"/>
                  <w:b w:val="false"/>
                  <w:i w:val="false"/>
                  <w:caps w:val="false"/>
                  <w:smallCaps w:val="false"/>
                  <w:sz w:val="20"/>
                </w:rPr>
                <w:t>Warrant to Purchase Common Stock, dated March 31, 2023, by and between Presto Automation Inc. and Metropolitan Offshore Partners Fund VII, LP (incorporated by reference to Exhibit 10.5 to the Current Report on Form 8-K filed on April 6, 2023).</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26">
              <w:r>
                <w:rPr>
                  <w:rStyle w:val="InternetLink"/>
                  <w:rFonts w:ascii="Times New Roman PS Std;serif" w:hAnsi="Times New Roman PS Std;serif"/>
                  <w:b w:val="false"/>
                  <w:i w:val="false"/>
                  <w:caps w:val="false"/>
                  <w:smallCaps w:val="false"/>
                  <w:sz w:val="20"/>
                </w:rPr>
                <w:t>Warrant to Purchase Common Stock, dated March 31, 2023, by and between Presto Automation Inc. and CEOF Holdings, LP (incorporated by reference to Exhibit 10.6 to the Current Report on Form 8-K filed on April 6, 2023).</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r:id="rId27">
              <w:r>
                <w:rPr>
                  <w:rStyle w:val="InternetLink"/>
                  <w:rFonts w:ascii="Times New Roman PS Std;serif" w:hAnsi="Times New Roman PS Std;serif"/>
                  <w:b w:val="false"/>
                  <w:i w:val="false"/>
                  <w:caps w:val="false"/>
                  <w:smallCaps w:val="false"/>
                  <w:sz w:val="20"/>
                </w:rPr>
                <w:t>Registration Rights Agreement, dated as of March 31, 2023, by and among Presto Automation Inc. and certain persons listed therein (incorporated by reference to Exhibit 10.7 to the Current Report on Form 8-K filed on April 6, 2023).</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r:id="rId28">
              <w:r>
                <w:rPr>
                  <w:rStyle w:val="InternetLink"/>
                  <w:rFonts w:ascii="Times New Roman PS Std;serif" w:hAnsi="Times New Roman PS Std;serif"/>
                  <w:b w:val="false"/>
                  <w:i w:val="false"/>
                  <w:caps w:val="false"/>
                  <w:smallCaps w:val="false"/>
                  <w:sz w:val="20"/>
                </w:rPr>
                <w:t>List of Subsidiaries of Presto Automation Inc. (incorporated by reference to Exhibit 21.1 to the Form S-1 filed on October 21, 2022).</w:t>
              </w:r>
            </w:hyperlink>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II-6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306"/>
        <w:gridCol w:w="146"/>
        <w:gridCol w:w="8753"/>
      </w:tblGrid>
      <w:tr>
        <w:trPr/>
        <w:tc>
          <w:tcPr>
            <w:tcW w:w="1306" w:type="dxa"/>
            <w:tcBorders/>
            <w:shd w:fill="auto" w:val="clear"/>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w:anchor="fs12023ex23-1_prestoauto.htm">
              <w:r>
                <w:rPr>
                  <w:rStyle w:val="InternetLink"/>
                  <w:rFonts w:ascii="Times New Roman PS Std;serif" w:hAnsi="Times New Roman PS Std;serif"/>
                  <w:b w:val="false"/>
                  <w:i w:val="false"/>
                  <w:caps w:val="false"/>
                  <w:smallCaps w:val="false"/>
                  <w:sz w:val="20"/>
                </w:rPr>
                <w:t>Consent of Moss Adams LLP.</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pPr>
            <w:hyperlink w:anchor="fs12023ex5-1_prestoauto.htm">
              <w:r>
                <w:rPr>
                  <w:rStyle w:val="InternetLink"/>
                  <w:rFonts w:ascii="Times New Roman PS Std;serif" w:hAnsi="Times New Roman PS Std;serif"/>
                  <w:b w:val="false"/>
                  <w:i w:val="false"/>
                  <w:caps w:val="false"/>
                  <w:smallCaps w:val="false"/>
                  <w:sz w:val="20"/>
                </w:rPr>
                <w:t>Consent of White &amp; Case LLP (included in Exhibit 5.1 hereto).</w:t>
              </w:r>
            </w:hyperlink>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w:anchor="T2050">
              <w:r>
                <w:rPr>
                  <w:rStyle w:val="InternetLink"/>
                  <w:rFonts w:ascii="Times New Roman PS Std;serif" w:hAnsi="Times New Roman PS Std;serif"/>
                  <w:b w:val="false"/>
                  <w:i w:val="false"/>
                  <w:caps w:val="false"/>
                  <w:smallCaps w:val="false"/>
                  <w:sz w:val="20"/>
                </w:rPr>
                <w:t>Power of Attorney (included on the signature page to this registration statement).</w:t>
              </w:r>
            </w:hyperlink>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w:t>
            </w:r>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r>
      <w:tr>
        <w:trPr/>
        <w:tc>
          <w:tcPr>
            <w:tcW w:w="130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auto" w:val="clear"/>
          </w:tcPr>
          <w:p>
            <w:pPr>
              <w:pStyle w:val="TableContents"/>
              <w:spacing w:before="0" w:after="283"/>
              <w:rPr/>
            </w:pPr>
            <w:r>
              <w:rPr/>
              <w:t> </w:t>
            </w:r>
          </w:p>
        </w:tc>
        <w:tc>
          <w:tcPr>
            <w:tcW w:w="8753"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Page Interactive Data File (formatted as Inline XBRL and contained in Exhibit 101).</w:t>
            </w:r>
          </w:p>
        </w:tc>
      </w:tr>
      <w:tr>
        <w:trPr/>
        <w:tc>
          <w:tcPr>
            <w:tcW w:w="130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spacing w:before="0" w:after="283"/>
              <w:rPr/>
            </w:pPr>
            <w:r>
              <w:rPr/>
              <w:t> </w:t>
            </w:r>
          </w:p>
        </w:tc>
        <w:tc>
          <w:tcPr>
            <w:tcW w:w="8753" w:type="dxa"/>
            <w:tcBorders/>
            <w:shd w:fill="CCEEFF" w:val="clear"/>
          </w:tcPr>
          <w:p>
            <w:pPr>
              <w:pStyle w:val="TableContents"/>
              <w:keepNext w:val="false"/>
              <w:widowControl/>
              <w:pBdr/>
              <w:spacing w:before="0" w:after="283"/>
              <w:jc w:val="both"/>
              <w:rPr/>
            </w:pPr>
            <w:hyperlink w:anchor="fs12023ex-fee_prestoauto.htm">
              <w:r>
                <w:rPr>
                  <w:rStyle w:val="InternetLink"/>
                  <w:rFonts w:ascii="Times New Roman PS Std;serif" w:hAnsi="Times New Roman PS Std;serif"/>
                  <w:b w:val="false"/>
                  <w:i w:val="false"/>
                  <w:caps w:val="false"/>
                  <w:smallCaps w:val="false"/>
                  <w:sz w:val="20"/>
                </w:rPr>
                <w:t>Filing Fee Table.</w:t>
              </w:r>
            </w:hyperlink>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Certain of the exhibits and schedules to this Exhibit have been omitted in accordance with Regulation S-K Item 601(a)(5). The Registrant agrees to furnish a copy of all omitted exhibits and schedules to the SEC upon its request.</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a management or compensatory plan.</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pStyle w:val="TextBody"/>
        <w:keepNext w:val="true"/>
        <w:pageBreakBefore w:val="false"/>
        <w:widowControl/>
        <w:pBdr/>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17.     Undertakings.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to any purchaser: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preliminary prospectus or prospectus of the undersigned registrant relating to the offering required to be filed pursuant to Rule 424;</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free writing prospectus relating to the offering prepared by or on behalf of the undersigned registrant or used or referred to by the undersigned registrant;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portion of any other free writing prospectus relating to the offering containing material information about the undersigned registrant or its securities provided by or on behalf of an undersigned registrant; and</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other communication that is an offer in the offering made by the undersigned registrant to the purchaser.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9" w:name="T2050"/>
      <w:bookmarkEnd w:id="39"/>
      <w:r>
        <w:rPr>
          <w:rFonts w:ascii="Times New Roman PS Std;serif" w:hAnsi="Times New Roman PS Std;serif"/>
          <w:b/>
          <w:i w:val="false"/>
          <w:caps w:val="false"/>
          <w:smallCaps w:val="false"/>
          <w:sz w:val="20"/>
        </w:rPr>
        <w:t>SIGNATURES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the registrant has duly caused this registration statement to be signed on its behalf by the undersigned, thereunto duly authorized, in the City of San Carlos, State of California, on May 1, 2023.</w:t>
      </w:r>
    </w:p>
    <w:tbl>
      <w:tblPr>
        <w:tblW w:w="4355" w:type="dxa"/>
        <w:jc w:val="left"/>
        <w:tblInd w:w="0" w:type="dxa"/>
        <w:tblCellMar>
          <w:top w:w="0" w:type="dxa"/>
          <w:left w:w="0" w:type="dxa"/>
          <w:bottom w:w="0" w:type="dxa"/>
          <w:right w:w="0" w:type="dxa"/>
        </w:tblCellMar>
      </w:tblPr>
      <w:tblGrid>
        <w:gridCol w:w="161"/>
        <w:gridCol w:w="146"/>
        <w:gridCol w:w="751"/>
        <w:gridCol w:w="146"/>
        <w:gridCol w:w="3151"/>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4048" w:type="dxa"/>
            <w:gridSpan w:val="3"/>
            <w:tcBorders/>
            <w:shd w:fill="auto" w:val="clear"/>
          </w:tcPr>
          <w:p>
            <w:pPr>
              <w:pStyle w:val="TableContents"/>
              <w:keepNext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51"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shd w:fill="auto" w:val="clear"/>
          </w:tcPr>
          <w:p>
            <w:pPr>
              <w:pStyle w:val="TableContents"/>
              <w:spacing w:before="0" w:after="283"/>
              <w:rPr/>
            </w:pPr>
            <w:r>
              <w:rPr/>
              <w:t> </w:t>
            </w:r>
          </w:p>
        </w:tc>
        <w:tc>
          <w:tcPr>
            <w:tcW w:w="315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Krishna Gupta</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5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shd w:fill="auto" w:val="clear"/>
          </w:tcPr>
          <w:p>
            <w:pPr>
              <w:pStyle w:val="TableContents"/>
              <w:spacing w:before="0" w:after="283"/>
              <w:rPr/>
            </w:pPr>
            <w:r>
              <w:rPr/>
              <w:t> </w:t>
            </w:r>
          </w:p>
        </w:tc>
        <w:tc>
          <w:tcPr>
            <w:tcW w:w="315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 Gupta</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5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shd w:fill="auto" w:val="clear"/>
          </w:tcPr>
          <w:p>
            <w:pPr>
              <w:pStyle w:val="TableContents"/>
              <w:spacing w:before="0" w:after="283"/>
              <w:rPr/>
            </w:pPr>
            <w:r>
              <w:rPr/>
              <w:t> </w:t>
            </w:r>
          </w:p>
        </w:tc>
        <w:tc>
          <w:tcPr>
            <w:tcW w:w="315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Chief Executive Officer</w:t>
            </w:r>
          </w:p>
        </w:tc>
      </w:tr>
    </w:tbl>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constitutes and appoints each of Krishna Gupta and Ashish Gupta,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May 1, 2023.</w:t>
      </w:r>
    </w:p>
    <w:tbl>
      <w:tblPr>
        <w:tblW w:w="6523" w:type="dxa"/>
        <w:jc w:val="left"/>
        <w:tblInd w:w="0" w:type="dxa"/>
        <w:tblCellMar>
          <w:top w:w="0" w:type="dxa"/>
          <w:left w:w="0" w:type="dxa"/>
          <w:bottom w:w="0" w:type="dxa"/>
          <w:right w:w="0" w:type="dxa"/>
        </w:tblCellMar>
      </w:tblPr>
      <w:tblGrid>
        <w:gridCol w:w="1966"/>
        <w:gridCol w:w="146"/>
        <w:gridCol w:w="4411"/>
      </w:tblGrid>
      <w:tr>
        <w:trPr/>
        <w:tc>
          <w:tcPr>
            <w:tcW w:w="196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Krishna Gupta</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Chief Executive Officer and Director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 Gupta</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Ashish Gupta</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Officer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Ashish Gupta</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Stanley Mbugua</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Accounting Officer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Stanley Mbugua</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Ilya Golubovich</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Ilya Golubovich</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Keith Kravcik</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Kravcik</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Raskin</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Raskin</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Gail Zauder</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Gail Zauder</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r>
        <w:trPr/>
        <w:tc>
          <w:tcPr>
            <w:tcW w:w="196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Edward Scheetz</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96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w:t>
            </w:r>
          </w:p>
        </w:tc>
        <w:tc>
          <w:tcPr>
            <w:tcW w:w="146" w:type="dxa"/>
            <w:tcBorders/>
            <w:shd w:fill="auto" w:val="clear"/>
            <w:vAlign w:val="bottom"/>
          </w:tcPr>
          <w:p>
            <w:pPr>
              <w:pStyle w:val="TableContents"/>
              <w:spacing w:before="0" w:after="283"/>
              <w:rPr/>
            </w:pPr>
            <w:r>
              <w:rPr/>
              <w:t> </w:t>
            </w:r>
          </w:p>
        </w:tc>
        <w:tc>
          <w:tcPr>
            <w:tcW w:w="4411" w:type="dxa"/>
            <w:tcBorders/>
            <w:shd w:fill="auto" w:val="clear"/>
            <w:vAlign w:val="bottom"/>
          </w:tcPr>
          <w:p>
            <w:pPr>
              <w:pStyle w:val="TableContents"/>
              <w:spacing w:before="0" w:after="283"/>
              <w:rPr/>
            </w:pPr>
            <w:r>
              <w:rPr/>
              <w:t> </w:t>
            </w:r>
          </w:p>
        </w:tc>
      </w:tr>
    </w:tbl>
    <w:p>
      <w:pPr>
        <w:pStyle w:val="TextBody"/>
        <w:keepNext w:val="false"/>
        <w:pageBreakBefore w:val="false"/>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II-9</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0" w:name="fs12023ex5-1_prestoauto.htm"/>
      <w:bookmarkStart w:id="41" w:name="ksfs12023ex51_prestoauto"/>
      <w:bookmarkEnd w:id="40"/>
      <w:bookmarkEnd w:id="41"/>
      <w:r>
        <w:rPr>
          <w:rFonts w:ascii="Times New Roman;Times;Serif" w:hAnsi="Times New Roman;Times;Serif"/>
          <w:b/>
          <w:i w:val="false"/>
          <w:caps w:val="false"/>
          <w:smallCaps w:val="false"/>
          <w:sz w:val="20"/>
        </w:rPr>
        <w:t>Exhibit 5.1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47637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9"/>
                    <a:stretch>
                      <a:fillRect/>
                    </a:stretch>
                  </pic:blipFill>
                  <pic:spPr bwMode="auto">
                    <a:xfrm>
                      <a:off x="0" y="0"/>
                      <a:ext cx="1476375" cy="12382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tbl>
      <w:tblPr>
        <w:tblW w:w="4235" w:type="dxa"/>
        <w:jc w:val="left"/>
        <w:tblInd w:w="0" w:type="dxa"/>
        <w:tblCellMar>
          <w:top w:w="0" w:type="dxa"/>
          <w:left w:w="0" w:type="dxa"/>
          <w:bottom w:w="0" w:type="dxa"/>
          <w:right w:w="0" w:type="dxa"/>
        </w:tblCellMar>
      </w:tblPr>
      <w:tblGrid>
        <w:gridCol w:w="1895"/>
        <w:gridCol w:w="2340"/>
      </w:tblGrid>
      <w:tr>
        <w:trPr/>
        <w:tc>
          <w:tcPr>
            <w:tcW w:w="1895" w:type="dxa"/>
            <w:tcBorders/>
            <w:shd w:fill="auto" w:val="clear"/>
            <w:vAlign w:val="center"/>
          </w:tcPr>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r>
          </w:p>
        </w:tc>
        <w:tc>
          <w:tcPr>
            <w:tcW w:w="2340" w:type="dxa"/>
            <w:tcBorders/>
            <w:shd w:fill="auto" w:val="clear"/>
            <w:vAlign w:val="center"/>
          </w:tcPr>
          <w:p>
            <w:pPr>
              <w:pStyle w:val="TableContents"/>
              <w:spacing w:before="0" w:after="283"/>
              <w:jc w:val="right"/>
              <w:rPr/>
            </w:pPr>
            <w:r>
              <w:rPr/>
              <w:drawing>
                <wp:inline distT="0" distB="0" distL="0" distR="0">
                  <wp:extent cx="1476375" cy="94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0"/>
                          <a:stretch>
                            <a:fillRect/>
                          </a:stretch>
                        </pic:blipFill>
                        <pic:spPr bwMode="auto">
                          <a:xfrm>
                            <a:off x="0" y="0"/>
                            <a:ext cx="1476375" cy="942975"/>
                          </a:xfrm>
                          <a:prstGeom prst="rect">
                            <a:avLst/>
                          </a:prstGeom>
                        </pic:spPr>
                      </pic:pic>
                    </a:graphicData>
                  </a:graphic>
                </wp:inline>
              </w:drawing>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New York counsel to Presto Automation Inc., a corporation organized under the laws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of a registration statement on Form S-1 (as amended,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the related prospectus relating to the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the offer and sale, from time to time, of up to 400,000 shares (the “</w:t>
      </w:r>
      <w:r>
        <w:rPr>
          <w:rFonts w:ascii="Times New Roman;Times;Serif" w:hAnsi="Times New Roman;Times;Serif"/>
          <w:b w:val="false"/>
          <w:i w:val="false"/>
          <w:caps w:val="false"/>
          <w:smallCaps w:val="false"/>
          <w:sz w:val="20"/>
          <w:u w:val="single"/>
        </w:rPr>
        <w:t>Resale Shares</w:t>
      </w:r>
      <w:r>
        <w:rPr>
          <w:rFonts w:ascii="Times New Roman;Times;Serif" w:hAnsi="Times New Roman;Times;Serif"/>
          <w:b w:val="false"/>
          <w:i w:val="false"/>
          <w:caps w:val="false"/>
          <w:smallCaps w:val="false"/>
          <w:sz w:val="20"/>
        </w:rPr>
        <w:t>”) of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by certain of the selling securityholders named in the Registration Statement, that may be issued upon exercise of warrants to purchase shares of Common Stock at an exercise price of $0.01 per share, subject to adjustment (the “</w:t>
      </w:r>
      <w:r>
        <w:rPr>
          <w:rFonts w:ascii="Times New Roman;Times;Serif" w:hAnsi="Times New Roman;Times;Serif"/>
          <w:b w:val="false"/>
          <w:i w:val="false"/>
          <w:caps w:val="false"/>
          <w:smallCaps w:val="false"/>
          <w:sz w:val="20"/>
          <w:u w:val="single"/>
        </w:rPr>
        <w:t>Resale Warrants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in accordance with the requirements of Item 601(b)(5) of Regulation S–K under the Securities Act, and no opinion is expressed herein as to any matter pertaining to the contents of the Registration Statement or related prospectus, or any prospectus filed pursuant to Rule 424(b) with respect thereto, other than as expressly stated herein.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6"/>
        <w:gridCol w:w="920"/>
        <w:gridCol w:w="8592"/>
      </w:tblGrid>
      <w:tr>
        <w:trPr/>
        <w:tc>
          <w:tcPr>
            <w:tcW w:w="12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pPr>
            <w:r>
              <w:rPr/>
              <w:t>(a)</w:t>
            </w:r>
          </w:p>
        </w:tc>
        <w:tc>
          <w:tcPr>
            <w:tcW w:w="8592" w:type="dxa"/>
            <w:tcBorders/>
            <w:shd w:fill="auto" w:val="clear"/>
            <w:vAlign w:val="center"/>
          </w:tcPr>
          <w:p>
            <w:pPr>
              <w:pStyle w:val="TableContents"/>
              <w:spacing w:before="0" w:after="283"/>
              <w:jc w:val="both"/>
              <w:rPr/>
            </w:pPr>
            <w:r>
              <w:rPr/>
              <w:t>the Registration Statement;</w:t>
            </w:r>
          </w:p>
        </w:tc>
      </w:tr>
    </w:tbl>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
        <w:gridCol w:w="235"/>
        <w:gridCol w:w="9368"/>
      </w:tblGrid>
      <w:tr>
        <w:trPr/>
        <w:tc>
          <w:tcPr>
            <w:tcW w:w="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(b)</w:t>
            </w:r>
          </w:p>
        </w:tc>
        <w:tc>
          <w:tcPr>
            <w:tcW w:w="9368" w:type="dxa"/>
            <w:tcBorders/>
            <w:shd w:fill="auto" w:val="clear"/>
            <w:vAlign w:val="center"/>
          </w:tcPr>
          <w:p>
            <w:pPr>
              <w:pStyle w:val="TableContents"/>
              <w:spacing w:before="0" w:after="283"/>
              <w:jc w:val="both"/>
              <w:rPr/>
            </w:pPr>
            <w:r>
              <w:rPr/>
              <w:t>a copy of the Second Amended &amp; Restated Certificate of Incorporation of the Company, certified by the Secretary of State of the State of Delaware on September 21, 2022 and certified by the Secretary of the Company;</w:t>
            </w:r>
          </w:p>
        </w:tc>
      </w:tr>
    </w:tbl>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
        <w:gridCol w:w="252"/>
        <w:gridCol w:w="9351"/>
      </w:tblGrid>
      <w:tr>
        <w:trPr/>
        <w:tc>
          <w:tcPr>
            <w:tcW w:w="3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(c)</w:t>
            </w:r>
          </w:p>
        </w:tc>
        <w:tc>
          <w:tcPr>
            <w:tcW w:w="9351" w:type="dxa"/>
            <w:tcBorders/>
            <w:shd w:fill="auto" w:val="clear"/>
            <w:vAlign w:val="center"/>
          </w:tcPr>
          <w:p>
            <w:pPr>
              <w:pStyle w:val="TableContents"/>
              <w:spacing w:before="0" w:after="283"/>
              <w:jc w:val="both"/>
              <w:rPr/>
            </w:pPr>
            <w:r>
              <w:rPr/>
              <w:t>a copy of the Bylaws of the Company as in effect on September 21, 2022, certified by the Secretary of the Company;</w:t>
            </w:r>
          </w:p>
        </w:tc>
      </w:tr>
    </w:tbl>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
        <w:gridCol w:w="241"/>
        <w:gridCol w:w="9362"/>
      </w:tblGrid>
      <w:tr>
        <w:trPr/>
        <w:tc>
          <w:tcPr>
            <w:tcW w:w="3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pPr>
            <w:r>
              <w:rPr/>
              <w:t>(d)</w:t>
            </w:r>
          </w:p>
        </w:tc>
        <w:tc>
          <w:tcPr>
            <w:tcW w:w="9362" w:type="dxa"/>
            <w:tcBorders/>
            <w:shd w:fill="auto" w:val="clear"/>
            <w:vAlign w:val="center"/>
          </w:tcPr>
          <w:p>
            <w:pPr>
              <w:pStyle w:val="TableContents"/>
              <w:spacing w:before="0" w:after="283"/>
              <w:jc w:val="both"/>
              <w:rPr/>
            </w:pPr>
            <w:r>
              <w:rPr/>
              <w:t>Warrant to Purchase Common Stock, dated March 31, 2023, by and between Presto Automation Inc. and Metropolitan Levered Partners Fund VII, LP (“</w:t>
            </w:r>
            <w:r>
              <w:rPr>
                <w:u w:val="single"/>
              </w:rPr>
              <w:t>Metropolitan Warrant No. 1</w:t>
            </w:r>
            <w:r>
              <w:rPr/>
              <w:t>”);</w:t>
            </w:r>
          </w:p>
        </w:tc>
      </w:tr>
    </w:tbl>
    <w:p>
      <w:pPr>
        <w:pStyle w:val="TextBody"/>
        <w:spacing w:before="0" w:after="0"/>
        <w:ind w:left="1440" w:right="0" w:hanging="720"/>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476375" cy="114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1"/>
                    <a:stretch>
                      <a:fillRect/>
                    </a:stretch>
                  </pic:blipFill>
                  <pic:spPr bwMode="auto">
                    <a:xfrm>
                      <a:off x="0" y="0"/>
                      <a:ext cx="1476375" cy="1143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
        <w:gridCol w:w="229"/>
        <w:gridCol w:w="9374"/>
      </w:tblGrid>
      <w:tr>
        <w:trPr/>
        <w:tc>
          <w:tcPr>
            <w:tcW w:w="3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(e)</w:t>
            </w:r>
          </w:p>
        </w:tc>
        <w:tc>
          <w:tcPr>
            <w:tcW w:w="9374" w:type="dxa"/>
            <w:tcBorders/>
            <w:shd w:fill="auto" w:val="clear"/>
            <w:vAlign w:val="center"/>
          </w:tcPr>
          <w:p>
            <w:pPr>
              <w:pStyle w:val="TableContents"/>
              <w:spacing w:before="0" w:after="283"/>
              <w:jc w:val="both"/>
              <w:rPr/>
            </w:pPr>
            <w:r>
              <w:rPr/>
              <w:t>Warrant to Purchase Common Stock, dated March 31, 2023, by and between Presto Automation Inc. and Metropolitan Partners Fund VII, LP (“</w:t>
            </w:r>
            <w:r>
              <w:rPr>
                <w:u w:val="single"/>
              </w:rPr>
              <w:t>Metropolitan Warrant No. 2</w:t>
            </w:r>
            <w:r>
              <w:rPr/>
              <w:t>”);</w:t>
            </w:r>
          </w:p>
        </w:tc>
      </w:tr>
    </w:tbl>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
        <w:gridCol w:w="199"/>
        <w:gridCol w:w="9404"/>
      </w:tblGrid>
      <w:tr>
        <w:trPr/>
        <w:tc>
          <w:tcPr>
            <w:tcW w:w="3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pPr>
            <w:r>
              <w:rPr/>
              <w:t>(f)</w:t>
            </w:r>
          </w:p>
        </w:tc>
        <w:tc>
          <w:tcPr>
            <w:tcW w:w="9404" w:type="dxa"/>
            <w:tcBorders/>
            <w:shd w:fill="auto" w:val="clear"/>
            <w:vAlign w:val="center"/>
          </w:tcPr>
          <w:p>
            <w:pPr>
              <w:pStyle w:val="TableContents"/>
              <w:spacing w:before="0" w:after="283"/>
              <w:jc w:val="both"/>
              <w:rPr/>
            </w:pPr>
            <w:r>
              <w:rPr/>
              <w:t>Warrant to Purchase Common Stock, dated March 31, 2023, by and between Presto Automation Inc. and Metropolitan Offshore Partners Fund VII, LP (“</w:t>
            </w:r>
            <w:r>
              <w:rPr>
                <w:u w:val="single"/>
              </w:rPr>
              <w:t>Metropolitan Warrant No. 3</w:t>
            </w:r>
            <w:r>
              <w:rPr/>
              <w:t>”);</w:t>
            </w:r>
          </w:p>
        </w:tc>
      </w:tr>
    </w:tbl>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
        <w:gridCol w:w="225"/>
        <w:gridCol w:w="9378"/>
      </w:tblGrid>
      <w:tr>
        <w:trPr/>
        <w:tc>
          <w:tcPr>
            <w:tcW w:w="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pPr>
            <w:r>
              <w:rPr/>
              <w:t>(g)</w:t>
            </w:r>
          </w:p>
        </w:tc>
        <w:tc>
          <w:tcPr>
            <w:tcW w:w="9378" w:type="dxa"/>
            <w:tcBorders/>
            <w:shd w:fill="auto" w:val="clear"/>
            <w:vAlign w:val="center"/>
          </w:tcPr>
          <w:p>
            <w:pPr>
              <w:pStyle w:val="TableContents"/>
              <w:spacing w:before="0" w:after="283"/>
              <w:jc w:val="both"/>
              <w:rPr/>
            </w:pPr>
            <w:r>
              <w:rPr/>
              <w:t>Warrant to Purchase Common Stock, dated March 31, 2023, by and between Presto Automation Inc. and CEOF Holdings, LP (“</w:t>
            </w:r>
            <w:r>
              <w:rPr>
                <w:u w:val="single"/>
              </w:rPr>
              <w:t>Metropolitan Warrant No. 4</w:t>
            </w:r>
            <w:r>
              <w:rPr/>
              <w:t>” and together with Metropolitan Warrant No. 1, Metropolitan Warrant No. 2 and Metropolitan Warrant No. 3, the “</w:t>
            </w:r>
            <w:r>
              <w:rPr>
                <w:u w:val="single"/>
              </w:rPr>
              <w:t>Metropolitan Warrants</w:t>
            </w:r>
            <w:r>
              <w:rPr/>
              <w:t>”); and</w:t>
            </w:r>
          </w:p>
        </w:tc>
      </w:tr>
    </w:tbl>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
        <w:gridCol w:w="242"/>
        <w:gridCol w:w="9361"/>
      </w:tblGrid>
      <w:tr>
        <w:trPr/>
        <w:tc>
          <w:tcPr>
            <w:tcW w:w="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pPr>
            <w:r>
              <w:rPr/>
              <w:t>(h)</w:t>
            </w:r>
          </w:p>
        </w:tc>
        <w:tc>
          <w:tcPr>
            <w:tcW w:w="9361" w:type="dxa"/>
            <w:tcBorders/>
            <w:shd w:fill="auto" w:val="clear"/>
            <w:vAlign w:val="center"/>
          </w:tcPr>
          <w:p>
            <w:pPr>
              <w:pStyle w:val="TableContents"/>
              <w:spacing w:before="0" w:after="283"/>
              <w:jc w:val="both"/>
              <w:rPr/>
            </w:pPr>
            <w:r>
              <w:rPr/>
              <w:t>a copy of the Unanimous Written Consent in Lieu of a Meeting of the Board of Directors of the Company, dated as of March 31, 2023, certified by the Secretary of the Company.</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 the Resale Shares, when issued and paid for upon exercise of the Resale Warrants in accordance with the terms of the Metropolitan Warrants, will be validly issued, fully paid and non-assessable.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limited to questions arising under the law of the State of New York and the Delaware General Corporation Law. We do not express any opinion as to the laws of any other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bdr w:val="single" w:sz="12" w:space="1" w:color="000000"/>
        </w:rPr>
      </w:pPr>
      <w:r>
        <w:rPr>
          <w:bdr w:val="single" w:sz="12"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476375" cy="114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2"/>
                    <a:stretch>
                      <a:fillRect/>
                    </a:stretch>
                  </pic:blipFill>
                  <pic:spPr bwMode="auto">
                    <a:xfrm>
                      <a:off x="0" y="0"/>
                      <a:ext cx="1476375" cy="1143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Common Stock pursuant to the Registration Statement and is not to be relied upon for any other purpose.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and to the reference to our firm as counsel for the Company that has passed on the validity of the Common Stock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pStyle w:val="TextBody"/>
        <w:spacing w:before="0" w:after="0"/>
        <w:ind w:left="4320" w:right="0" w:hanging="0"/>
        <w:rPr>
          <w:caps w:val="false"/>
          <w:smallCaps w:val="false"/>
        </w:rPr>
      </w:pPr>
      <w:r>
        <w:rPr>
          <w:caps w:val="false"/>
          <w:smallCaps w:val="false"/>
        </w:rPr>
        <w:t> </w:t>
      </w:r>
    </w:p>
    <w:tbl>
      <w:tblPr>
        <w:tblW w:w="2210" w:type="dxa"/>
        <w:jc w:val="left"/>
        <w:tblInd w:w="0" w:type="dxa"/>
        <w:tblCellMar>
          <w:top w:w="0" w:type="dxa"/>
          <w:left w:w="0" w:type="dxa"/>
          <w:bottom w:w="0" w:type="dxa"/>
          <w:right w:w="0" w:type="dxa"/>
        </w:tblCellMar>
      </w:tblPr>
      <w:tblGrid>
        <w:gridCol w:w="75"/>
        <w:gridCol w:w="2135"/>
      </w:tblGrid>
      <w:tr>
        <w:trPr/>
        <w:tc>
          <w:tcPr>
            <w:tcW w:w="75"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283"/>
              <w:rPr/>
            </w:pPr>
            <w:r>
              <w:rPr/>
              <w:t>Very truly yours,</w:t>
            </w:r>
          </w:p>
        </w:tc>
      </w:tr>
      <w:tr>
        <w:trPr/>
        <w:tc>
          <w:tcPr>
            <w:tcW w:w="75"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283"/>
              <w:rPr/>
            </w:pPr>
            <w:r>
              <w:rPr/>
              <w:t>/s/ White &amp; Case LLP</w:t>
            </w:r>
          </w:p>
        </w:tc>
      </w:tr>
    </w:tbl>
    <w:p>
      <w:pPr>
        <w:pStyle w:val="TextBody"/>
        <w:spacing w:before="0" w:after="0"/>
        <w:ind w:left="432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CJD; LKM; CMC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rPr>
          <w:bdr w:val="single" w:sz="12" w:space="1" w:color="000000"/>
        </w:rPr>
      </w:pPr>
      <w:r>
        <w:rPr>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2" w:name="fs12023ex23-1_prestoauto.htm"/>
      <w:bookmarkStart w:id="43" w:name="ksfs12023ex231_prestoauto"/>
      <w:bookmarkEnd w:id="42"/>
      <w:bookmarkEnd w:id="43"/>
      <w:r>
        <w:rPr>
          <w:rFonts w:ascii="Times New Roman;Times;Serif" w:hAnsi="Times New Roman;Times;Serif"/>
          <w:b/>
          <w:i w:val="false"/>
          <w:caps w:val="false"/>
          <w:smallCaps w:val="false"/>
          <w:sz w:val="20"/>
        </w:rPr>
        <w:t>Exhibit 23.1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Presto Automation Inc., of our report dated September 27, 2022, (December 16, 2022, as to the effects of the reverse capitalization described in Note 1), relating to the consolidated financial statements of E La Carte, Inc. (dba Presto) (which report expresses an unqualified opinion and includes an explanatory paragraph relating to a going concern uncertainty). We also consent to the reference to us under the heading “Experts” in such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Moss Adams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4" w:name="fs12023ex-fee_prestoauto.htm"/>
      <w:bookmarkStart w:id="45" w:name="ksfs12023exfee_prestoauto"/>
      <w:bookmarkEnd w:id="44"/>
      <w:bookmarkEnd w:id="45"/>
      <w:r>
        <w:rPr>
          <w:rFonts w:ascii="Times New Roman;Times;Serif" w:hAnsi="Times New Roman;Times;Serif"/>
          <w:b/>
          <w:i w:val="false"/>
          <w:caps w:val="false"/>
          <w:smallCaps w:val="false"/>
          <w:sz w:val="20"/>
        </w:rPr>
        <w:t>Exhibit 107</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Fee Table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22"/>
        <w:gridCol w:w="60"/>
        <w:gridCol w:w="1310"/>
        <w:gridCol w:w="60"/>
        <w:gridCol w:w="147"/>
        <w:gridCol w:w="1120"/>
        <w:gridCol w:w="60"/>
        <w:gridCol w:w="60"/>
        <w:gridCol w:w="68"/>
        <w:gridCol w:w="923"/>
        <w:gridCol w:w="60"/>
        <w:gridCol w:w="60"/>
        <w:gridCol w:w="265"/>
        <w:gridCol w:w="835"/>
        <w:gridCol w:w="189"/>
        <w:gridCol w:w="60"/>
        <w:gridCol w:w="140"/>
        <w:gridCol w:w="980"/>
        <w:gridCol w:w="60"/>
        <w:gridCol w:w="60"/>
        <w:gridCol w:w="140"/>
        <w:gridCol w:w="1160"/>
        <w:gridCol w:w="60"/>
        <w:gridCol w:w="60"/>
        <w:gridCol w:w="215"/>
        <w:gridCol w:w="1050"/>
        <w:gridCol w:w="81"/>
      </w:tblGrid>
      <w:tr>
        <w:trPr/>
        <w:tc>
          <w:tcPr>
            <w:tcW w:w="922" w:type="dxa"/>
            <w:tcBorders>
              <w:bottom w:val="single" w:sz="12" w:space="0" w:color="000000"/>
            </w:tcBorders>
            <w:shd w:fill="auto" w:val="clear"/>
            <w:vAlign w:val="center"/>
          </w:tcPr>
          <w:p>
            <w:pPr>
              <w:pStyle w:val="TableContents"/>
              <w:spacing w:before="0" w:after="283"/>
              <w:jc w:val="center"/>
              <w:rPr>
                <w:b/>
              </w:rPr>
            </w:pPr>
            <w:r>
              <w:rPr>
                <w:b/>
              </w:rPr>
              <w:t>Security Type</w:t>
            </w:r>
          </w:p>
        </w:tc>
        <w:tc>
          <w:tcPr>
            <w:tcW w:w="60" w:type="dxa"/>
            <w:tcBorders/>
            <w:shd w:fill="auto" w:val="clear"/>
            <w:tcMar>
              <w:bottom w:w="0" w:type="dxa"/>
            </w:tcMar>
            <w:vAlign w:val="center"/>
          </w:tcPr>
          <w:p>
            <w:pPr>
              <w:pStyle w:val="TableContents"/>
              <w:spacing w:before="0" w:after="283"/>
              <w:rPr/>
            </w:pPr>
            <w:r>
              <w:rPr/>
              <w:t> </w:t>
            </w:r>
          </w:p>
        </w:tc>
        <w:tc>
          <w:tcPr>
            <w:tcW w:w="1310" w:type="dxa"/>
            <w:tcBorders>
              <w:bottom w:val="single" w:sz="12" w:space="0" w:color="000000"/>
            </w:tcBorders>
            <w:shd w:fill="auto" w:val="clear"/>
            <w:vAlign w:val="center"/>
          </w:tcPr>
          <w:p>
            <w:pPr>
              <w:pStyle w:val="TableContents"/>
              <w:spacing w:before="0" w:after="283"/>
              <w:jc w:val="center"/>
              <w:rPr>
                <w:b/>
              </w:rPr>
            </w:pPr>
            <w:r>
              <w:rPr>
                <w:b/>
              </w:rPr>
              <w:t>Security Class Title</w:t>
            </w:r>
          </w:p>
        </w:tc>
        <w:tc>
          <w:tcPr>
            <w:tcW w:w="60" w:type="dxa"/>
            <w:tcBorders/>
            <w:shd w:fill="auto" w:val="clear"/>
            <w:tcMar>
              <w:bottom w:w="0" w:type="dxa"/>
            </w:tcMar>
            <w:vAlign w:val="center"/>
          </w:tcPr>
          <w:p>
            <w:pPr>
              <w:pStyle w:val="TableContents"/>
              <w:spacing w:before="0" w:after="283"/>
              <w:rPr/>
            </w:pPr>
            <w:r>
              <w:rPr/>
              <w:t> </w:t>
            </w:r>
          </w:p>
        </w:tc>
        <w:tc>
          <w:tcPr>
            <w:tcW w:w="1267" w:type="dxa"/>
            <w:gridSpan w:val="2"/>
            <w:tcBorders>
              <w:bottom w:val="single" w:sz="12" w:space="0" w:color="000000"/>
            </w:tcBorders>
            <w:shd w:fill="auto" w:val="clear"/>
            <w:vAlign w:val="center"/>
          </w:tcPr>
          <w:p>
            <w:pPr>
              <w:pStyle w:val="TableContents"/>
              <w:spacing w:before="0" w:after="283"/>
              <w:jc w:val="center"/>
              <w:rPr>
                <w:b/>
              </w:rPr>
            </w:pPr>
            <w:r>
              <w:rPr>
                <w:b/>
              </w:rPr>
              <w:t>Fee Calculation Rule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91" w:type="dxa"/>
            <w:gridSpan w:val="2"/>
            <w:tcBorders>
              <w:bottom w:val="single" w:sz="12" w:space="0" w:color="000000"/>
            </w:tcBorders>
            <w:shd w:fill="auto" w:val="clear"/>
            <w:vAlign w:val="center"/>
          </w:tcPr>
          <w:p>
            <w:pPr>
              <w:pStyle w:val="TableContents"/>
              <w:spacing w:before="0" w:after="283"/>
              <w:jc w:val="center"/>
              <w:rPr>
                <w:b/>
                <w:sz w:val="20"/>
              </w:rPr>
            </w:pPr>
            <w:r>
              <w:rPr>
                <w:b/>
                <w:sz w:val="20"/>
              </w:rPr>
              <w:t>Amount</w:t>
              <w:br/>
              <w:t>Registered</w:t>
            </w:r>
            <w:r>
              <w:rPr>
                <w:b/>
                <w:position w:val="7"/>
                <w:sz w:val="16"/>
                <w:sz w:val="20"/>
              </w:rPr>
              <w:t>(1)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00" w:type="dxa"/>
            <w:gridSpan w:val="2"/>
            <w:tcBorders>
              <w:bottom w:val="single" w:sz="12" w:space="0" w:color="000000"/>
            </w:tcBorders>
            <w:shd w:fill="auto" w:val="clear"/>
            <w:vAlign w:val="center"/>
          </w:tcPr>
          <w:p>
            <w:pPr>
              <w:pStyle w:val="TableContents"/>
              <w:spacing w:before="0" w:after="283"/>
              <w:jc w:val="center"/>
              <w:rPr>
                <w:b/>
              </w:rPr>
            </w:pPr>
            <w:r>
              <w:rPr>
                <w:b/>
              </w:rPr>
              <w:t>Proposed</w:t>
              <w:br/>
              <w:t>Maximum</w:t>
              <w:br/>
              <w:t>Offering Price</w:t>
              <w:br/>
              <w:t>Per Unit</w:t>
            </w:r>
          </w:p>
        </w:tc>
        <w:tc>
          <w:tcPr>
            <w:tcW w:w="18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20" w:type="dxa"/>
            <w:gridSpan w:val="2"/>
            <w:tcBorders>
              <w:bottom w:val="single" w:sz="12" w:space="0" w:color="000000"/>
            </w:tcBorders>
            <w:shd w:fill="auto" w:val="clear"/>
            <w:vAlign w:val="center"/>
          </w:tcPr>
          <w:p>
            <w:pPr>
              <w:pStyle w:val="TableContents"/>
              <w:spacing w:before="0" w:after="283"/>
              <w:jc w:val="center"/>
              <w:rPr>
                <w:b/>
              </w:rPr>
            </w:pPr>
            <w:r>
              <w:rPr>
                <w:b/>
              </w:rPr>
              <w:t>Maximum</w:t>
              <w:br/>
              <w:t>Aggregate</w:t>
              <w:br/>
              <w:t>Offering</w:t>
              <w:br/>
              <w:t>Price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00" w:type="dxa"/>
            <w:gridSpan w:val="2"/>
            <w:tcBorders>
              <w:bottom w:val="single" w:sz="12" w:space="0" w:color="000000"/>
            </w:tcBorders>
            <w:shd w:fill="auto" w:val="clear"/>
            <w:vAlign w:val="center"/>
          </w:tcPr>
          <w:p>
            <w:pPr>
              <w:pStyle w:val="TableContents"/>
              <w:spacing w:before="0" w:after="283"/>
              <w:jc w:val="center"/>
              <w:rPr>
                <w:b/>
              </w:rPr>
            </w:pPr>
            <w:r>
              <w:rPr>
                <w:b/>
              </w:rPr>
              <w:t>Fee Rate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65" w:type="dxa"/>
            <w:gridSpan w:val="2"/>
            <w:tcBorders>
              <w:bottom w:val="single" w:sz="12" w:space="0" w:color="000000"/>
            </w:tcBorders>
            <w:shd w:fill="auto" w:val="clear"/>
            <w:vAlign w:val="center"/>
          </w:tcPr>
          <w:p>
            <w:pPr>
              <w:pStyle w:val="TableContents"/>
              <w:spacing w:before="0" w:after="283"/>
              <w:jc w:val="center"/>
              <w:rPr>
                <w:b/>
              </w:rPr>
            </w:pPr>
            <w:r>
              <w:rPr>
                <w:b/>
              </w:rPr>
              <w:t>Amount of</w:t>
              <w:br/>
              <w:t>Registration</w:t>
              <w:br/>
              <w:t>Fee</w:t>
            </w:r>
          </w:p>
        </w:tc>
        <w:tc>
          <w:tcPr>
            <w:tcW w:w="81" w:type="dxa"/>
            <w:tcBorders/>
            <w:shd w:fill="auto" w:val="clear"/>
            <w:tcMar>
              <w:bottom w:w="0" w:type="dxa"/>
            </w:tcMar>
            <w:vAlign w:val="center"/>
          </w:tcPr>
          <w:p>
            <w:pPr>
              <w:pStyle w:val="TableContents"/>
              <w:spacing w:before="0" w:after="283"/>
              <w:ind w:left="0" w:right="0" w:hanging="200"/>
              <w:rPr/>
            </w:pPr>
            <w:r>
              <w:rPr/>
              <w:t> </w:t>
            </w:r>
          </w:p>
        </w:tc>
      </w:tr>
      <w:tr>
        <w:trPr/>
        <w:tc>
          <w:tcPr>
            <w:tcW w:w="922" w:type="dxa"/>
            <w:tcBorders/>
            <w:shd w:fill="CCEEFF" w:val="clear"/>
            <w:tcMar>
              <w:bottom w:w="0" w:type="dxa"/>
            </w:tcMar>
            <w:vAlign w:val="center"/>
          </w:tcPr>
          <w:p>
            <w:pPr>
              <w:pStyle w:val="TableContents"/>
              <w:spacing w:before="0" w:after="283"/>
              <w:rPr/>
            </w:pPr>
            <w:r>
              <w:rPr/>
              <w:t>Equity</w:t>
            </w:r>
          </w:p>
        </w:tc>
        <w:tc>
          <w:tcPr>
            <w:tcW w:w="60" w:type="dxa"/>
            <w:tcBorders/>
            <w:shd w:fill="CCEEFF" w:val="clear"/>
            <w:tcMar>
              <w:bottom w:w="0" w:type="dxa"/>
            </w:tcMar>
            <w:vAlign w:val="center"/>
          </w:tcPr>
          <w:p>
            <w:pPr>
              <w:pStyle w:val="TableContents"/>
              <w:spacing w:before="0" w:after="283"/>
              <w:ind w:left="0" w:right="0" w:hanging="180"/>
              <w:rPr/>
            </w:pPr>
            <w:r>
              <w:rPr/>
              <w:t> </w:t>
            </w:r>
          </w:p>
        </w:tc>
        <w:tc>
          <w:tcPr>
            <w:tcW w:w="1310" w:type="dxa"/>
            <w:tcBorders/>
            <w:shd w:fill="CCEEFF" w:val="clear"/>
            <w:tcMar>
              <w:bottom w:w="0" w:type="dxa"/>
            </w:tcMar>
            <w:vAlign w:val="center"/>
          </w:tcPr>
          <w:p>
            <w:pPr>
              <w:pStyle w:val="TableContents"/>
              <w:spacing w:before="0" w:after="283"/>
              <w:rPr>
                <w:sz w:val="20"/>
              </w:rPr>
            </w:pPr>
            <w:r>
              <w:rPr>
                <w:sz w:val="20"/>
              </w:rPr>
              <w:t>Common Stock, par value $0.0001 per share (Secondary Offering)</w:t>
            </w: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147" w:type="dxa"/>
            <w:tcBorders/>
            <w:shd w:fill="CCEEFF" w:val="clear"/>
            <w:tcMar>
              <w:bottom w:w="0" w:type="dxa"/>
            </w:tcMar>
            <w:vAlign w:val="center"/>
          </w:tcPr>
          <w:p>
            <w:pPr>
              <w:pStyle w:val="TableContents"/>
              <w:spacing w:before="0" w:after="283"/>
              <w:jc w:val="left"/>
              <w:rPr/>
            </w:pPr>
            <w:r>
              <w:rPr/>
              <w:t> </w:t>
            </w:r>
          </w:p>
        </w:tc>
        <w:tc>
          <w:tcPr>
            <w:tcW w:w="1120" w:type="dxa"/>
            <w:tcBorders/>
            <w:shd w:fill="CCEEFF" w:val="clear"/>
            <w:tcMar>
              <w:bottom w:w="0" w:type="dxa"/>
            </w:tcMar>
            <w:vAlign w:val="center"/>
          </w:tcPr>
          <w:p>
            <w:pPr>
              <w:pStyle w:val="TableContents"/>
              <w:spacing w:before="0" w:after="283"/>
              <w:jc w:val="center"/>
              <w:rPr/>
            </w:pPr>
            <w:r>
              <w:rPr/>
              <w:t>457(c)</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923" w:type="dxa"/>
            <w:tcBorders/>
            <w:shd w:fill="CCEEFF" w:val="clear"/>
            <w:tcMar>
              <w:bottom w:w="0" w:type="dxa"/>
            </w:tcMar>
            <w:vAlign w:val="center"/>
          </w:tcPr>
          <w:p>
            <w:pPr>
              <w:pStyle w:val="TableContents"/>
              <w:spacing w:before="0" w:after="283"/>
              <w:jc w:val="right"/>
              <w:rPr/>
            </w:pPr>
            <w:r>
              <w:rPr/>
              <w:t>400,000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65" w:type="dxa"/>
            <w:tcBorders/>
            <w:shd w:fill="CCEEFF" w:val="clear"/>
            <w:tcMar>
              <w:bottom w:w="0" w:type="dxa"/>
            </w:tcMar>
            <w:vAlign w:val="center"/>
          </w:tcPr>
          <w:p>
            <w:pPr>
              <w:pStyle w:val="TableContents"/>
              <w:spacing w:before="0" w:after="283"/>
              <w:jc w:val="left"/>
              <w:rPr/>
            </w:pPr>
            <w:r>
              <w:rPr/>
              <w:t>$</w:t>
            </w:r>
          </w:p>
        </w:tc>
        <w:tc>
          <w:tcPr>
            <w:tcW w:w="835" w:type="dxa"/>
            <w:tcBorders/>
            <w:shd w:fill="CCEEFF" w:val="clear"/>
            <w:tcMar>
              <w:bottom w:w="0" w:type="dxa"/>
            </w:tcMar>
            <w:vAlign w:val="center"/>
          </w:tcPr>
          <w:p>
            <w:pPr>
              <w:pStyle w:val="TableContents"/>
              <w:spacing w:before="0" w:after="283"/>
              <w:jc w:val="right"/>
              <w:rPr/>
            </w:pPr>
            <w:r>
              <w:rPr/>
              <w:t>3.03</w:t>
            </w:r>
          </w:p>
        </w:tc>
        <w:tc>
          <w:tcPr>
            <w:tcW w:w="189" w:type="dxa"/>
            <w:tcBorders/>
            <w:shd w:fill="CCEEFF" w:val="clear"/>
            <w:tcMar>
              <w:bottom w:w="0" w:type="dxa"/>
            </w:tcMar>
            <w:vAlign w:val="center"/>
          </w:tcPr>
          <w:p>
            <w:pPr>
              <w:pStyle w:val="TableContents"/>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1,212,000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60" w:type="dxa"/>
            <w:tcBorders/>
            <w:shd w:fill="CCEEFF" w:val="clear"/>
            <w:tcMar>
              <w:bottom w:w="0" w:type="dxa"/>
            </w:tcMar>
            <w:vAlign w:val="center"/>
          </w:tcPr>
          <w:p>
            <w:pPr>
              <w:pStyle w:val="TableContents"/>
              <w:spacing w:before="0" w:after="283"/>
              <w:jc w:val="right"/>
              <w:rPr/>
            </w:pPr>
            <w:r>
              <w:rPr/>
              <w:t>0.00011020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5" w:type="dxa"/>
            <w:tcBorders/>
            <w:shd w:fill="CCEEFF" w:val="clear"/>
            <w:tcMar>
              <w:bottom w:w="0" w:type="dxa"/>
            </w:tcMar>
            <w:vAlign w:val="center"/>
          </w:tcPr>
          <w:p>
            <w:pPr>
              <w:pStyle w:val="TableContents"/>
              <w:spacing w:before="0" w:after="283"/>
              <w:jc w:val="left"/>
              <w:rPr/>
            </w:pPr>
            <w:r>
              <w:rPr/>
              <w:t>$</w:t>
            </w:r>
          </w:p>
        </w:tc>
        <w:tc>
          <w:tcPr>
            <w:tcW w:w="1050" w:type="dxa"/>
            <w:tcBorders/>
            <w:shd w:fill="CCEEFF" w:val="clear"/>
            <w:tcMar>
              <w:bottom w:w="0" w:type="dxa"/>
            </w:tcMar>
            <w:vAlign w:val="center"/>
          </w:tcPr>
          <w:p>
            <w:pPr>
              <w:pStyle w:val="TableContents"/>
              <w:spacing w:before="0" w:after="283"/>
              <w:jc w:val="right"/>
              <w:rPr/>
            </w:pPr>
            <w:r>
              <w:rPr/>
              <w:t>133.56</w:t>
            </w:r>
          </w:p>
        </w:tc>
        <w:tc>
          <w:tcPr>
            <w:tcW w:w="81"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92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200"/>
              <w:rPr/>
            </w:pPr>
            <w:r>
              <w:rPr/>
              <w:t> </w:t>
            </w:r>
          </w:p>
        </w:tc>
        <w:tc>
          <w:tcPr>
            <w:tcW w:w="1310" w:type="dxa"/>
            <w:tcBorders/>
            <w:shd w:fill="FFFFFF" w:val="clear"/>
            <w:tcMar>
              <w:bottom w:w="0" w:type="dxa"/>
            </w:tcMar>
            <w:vAlign w:val="center"/>
          </w:tcPr>
          <w:p>
            <w:pPr>
              <w:pStyle w:val="TableContents"/>
              <w:spacing w:before="0" w:after="283"/>
              <w:rPr/>
            </w:pPr>
            <w:r>
              <w:rPr/>
              <w:t>Total</w:t>
            </w:r>
          </w:p>
        </w:tc>
        <w:tc>
          <w:tcPr>
            <w:tcW w:w="60"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center"/>
          </w:tcPr>
          <w:p>
            <w:pPr>
              <w:pStyle w:val="TableContents"/>
              <w:spacing w:before="0" w:after="283"/>
              <w:jc w:val="left"/>
              <w:rPr/>
            </w:pPr>
            <w:r>
              <w:rPr/>
              <w:t> </w:t>
            </w:r>
          </w:p>
        </w:tc>
        <w:tc>
          <w:tcPr>
            <w:tcW w:w="112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923"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65" w:type="dxa"/>
            <w:tcBorders/>
            <w:shd w:fill="FFFFFF" w:val="clear"/>
            <w:tcMar>
              <w:bottom w:w="0" w:type="dxa"/>
            </w:tcMar>
            <w:vAlign w:val="center"/>
          </w:tcPr>
          <w:p>
            <w:pPr>
              <w:pStyle w:val="TableContents"/>
              <w:spacing w:before="0" w:after="283"/>
              <w:jc w:val="left"/>
              <w:rPr/>
            </w:pPr>
            <w:r>
              <w:rPr/>
              <w:t> </w:t>
            </w:r>
          </w:p>
        </w:tc>
        <w:tc>
          <w:tcPr>
            <w:tcW w:w="835" w:type="dxa"/>
            <w:tcBorders/>
            <w:shd w:fill="FFFFFF" w:val="clear"/>
            <w:tcMar>
              <w:bottom w:w="0" w:type="dxa"/>
            </w:tcMar>
            <w:vAlign w:val="center"/>
          </w:tcPr>
          <w:p>
            <w:pPr>
              <w:pStyle w:val="TableContents"/>
              <w:spacing w:before="0" w:after="283"/>
              <w:jc w:val="right"/>
              <w:rPr/>
            </w:pPr>
            <w:r>
              <w:rPr/>
              <w:t> </w:t>
            </w:r>
          </w:p>
        </w:tc>
        <w:tc>
          <w:tcPr>
            <w:tcW w:w="18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6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5" w:type="dxa"/>
            <w:tcBorders/>
            <w:shd w:fill="FFFFFF" w:val="clear"/>
            <w:tcMar>
              <w:bottom w:w="0" w:type="dxa"/>
            </w:tcMar>
            <w:vAlign w:val="center"/>
          </w:tcPr>
          <w:p>
            <w:pPr>
              <w:pStyle w:val="TableContents"/>
              <w:spacing w:before="0" w:after="283"/>
              <w:jc w:val="left"/>
              <w:rPr/>
            </w:pPr>
            <w:r>
              <w:rPr/>
              <w:t>$</w:t>
            </w:r>
          </w:p>
        </w:tc>
        <w:tc>
          <w:tcPr>
            <w:tcW w:w="1050" w:type="dxa"/>
            <w:tcBorders/>
            <w:shd w:fill="FFFFFF" w:val="clear"/>
            <w:tcMar>
              <w:bottom w:w="0" w:type="dxa"/>
            </w:tcMar>
            <w:vAlign w:val="center"/>
          </w:tcPr>
          <w:p>
            <w:pPr>
              <w:pStyle w:val="TableContents"/>
              <w:spacing w:before="0" w:after="283"/>
              <w:jc w:val="right"/>
              <w:rPr/>
            </w:pPr>
            <w:r>
              <w:rPr/>
              <w:t>133.56</w:t>
            </w:r>
          </w:p>
        </w:tc>
        <w:tc>
          <w:tcPr>
            <w:tcW w:w="81" w:type="dxa"/>
            <w:tcBorders/>
            <w:shd w:fill="FFFFFF" w:val="clear"/>
            <w:tcMar>
              <w:bottom w:w="0" w:type="dxa"/>
            </w:tcMar>
            <w:vAlign w:val="center"/>
          </w:tcPr>
          <w:p>
            <w:pPr>
              <w:pStyle w:val="TableContents"/>
              <w:spacing w:before="0" w:after="283"/>
              <w:ind w:left="0" w:right="0" w:hanging="200"/>
              <w:jc w:val="left"/>
              <w:rPr/>
            </w:pPr>
            <w:r>
              <w:rPr/>
              <w:t> </w:t>
            </w:r>
          </w:p>
        </w:tc>
      </w:tr>
      <w:tr>
        <w:trPr/>
        <w:tc>
          <w:tcPr>
            <w:tcW w:w="92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10" w:type="dxa"/>
            <w:tcBorders/>
            <w:shd w:fill="CCEEFF" w:val="clear"/>
            <w:tcMar>
              <w:bottom w:w="0" w:type="dxa"/>
            </w:tcMar>
            <w:vAlign w:val="center"/>
          </w:tcPr>
          <w:p>
            <w:pPr>
              <w:pStyle w:val="TableContents"/>
              <w:spacing w:before="0" w:after="283"/>
              <w:jc w:val="left"/>
              <w:rPr/>
            </w:pPr>
            <w:r>
              <w:rPr/>
              <w:t>Total Fee Offsets</w:t>
            </w:r>
          </w:p>
        </w:tc>
        <w:tc>
          <w:tcPr>
            <w:tcW w:w="60" w:type="dxa"/>
            <w:tcBorders/>
            <w:shd w:fill="CCEEFF" w:val="clear"/>
            <w:tcMar>
              <w:bottom w:w="0" w:type="dxa"/>
            </w:tcMar>
            <w:vAlign w:val="center"/>
          </w:tcPr>
          <w:p>
            <w:pPr>
              <w:pStyle w:val="TableContents"/>
              <w:spacing w:before="0" w:after="283"/>
              <w:rPr/>
            </w:pPr>
            <w:r>
              <w:rPr/>
              <w:t> </w:t>
            </w:r>
          </w:p>
        </w:tc>
        <w:tc>
          <w:tcPr>
            <w:tcW w:w="147" w:type="dxa"/>
            <w:tcBorders/>
            <w:shd w:fill="CCEEFF" w:val="clear"/>
            <w:tcMar>
              <w:bottom w:w="0" w:type="dxa"/>
            </w:tcMar>
            <w:vAlign w:val="center"/>
          </w:tcPr>
          <w:p>
            <w:pPr>
              <w:pStyle w:val="TableContents"/>
              <w:spacing w:before="0" w:after="283"/>
              <w:jc w:val="left"/>
              <w:rPr/>
            </w:pPr>
            <w:r>
              <w:rPr/>
              <w:t> </w:t>
            </w:r>
          </w:p>
        </w:tc>
        <w:tc>
          <w:tcPr>
            <w:tcW w:w="112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923"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65" w:type="dxa"/>
            <w:tcBorders/>
            <w:shd w:fill="CCEEFF" w:val="clear"/>
            <w:tcMar>
              <w:bottom w:w="0" w:type="dxa"/>
            </w:tcMar>
            <w:vAlign w:val="center"/>
          </w:tcPr>
          <w:p>
            <w:pPr>
              <w:pStyle w:val="TableContents"/>
              <w:spacing w:before="0" w:after="283"/>
              <w:jc w:val="left"/>
              <w:rPr/>
            </w:pPr>
            <w:r>
              <w:rPr/>
              <w:t> </w:t>
            </w:r>
          </w:p>
        </w:tc>
        <w:tc>
          <w:tcPr>
            <w:tcW w:w="835" w:type="dxa"/>
            <w:tcBorders/>
            <w:shd w:fill="CCEEFF" w:val="clear"/>
            <w:tcMar>
              <w:bottom w:w="0" w:type="dxa"/>
            </w:tcMar>
            <w:vAlign w:val="center"/>
          </w:tcPr>
          <w:p>
            <w:pPr>
              <w:pStyle w:val="TableContents"/>
              <w:spacing w:before="0" w:after="283"/>
              <w:jc w:val="right"/>
              <w:rPr/>
            </w:pPr>
            <w:r>
              <w:rPr/>
              <w:t> </w:t>
            </w:r>
          </w:p>
        </w:tc>
        <w:tc>
          <w:tcPr>
            <w:tcW w:w="18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98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116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5" w:type="dxa"/>
            <w:tcBorders/>
            <w:shd w:fill="CCEEFF" w:val="clear"/>
            <w:tcMar>
              <w:bottom w:w="0" w:type="dxa"/>
            </w:tcMar>
            <w:vAlign w:val="center"/>
          </w:tcPr>
          <w:p>
            <w:pPr>
              <w:pStyle w:val="TableContents"/>
              <w:spacing w:before="0" w:after="283"/>
              <w:jc w:val="left"/>
              <w:rPr/>
            </w:pPr>
            <w:r>
              <w:rPr/>
              <w:t> </w:t>
            </w:r>
          </w:p>
        </w:tc>
        <w:tc>
          <w:tcPr>
            <w:tcW w:w="1050"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92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200"/>
              <w:rPr/>
            </w:pPr>
            <w:r>
              <w:rPr/>
              <w:t> </w:t>
            </w:r>
          </w:p>
        </w:tc>
        <w:tc>
          <w:tcPr>
            <w:tcW w:w="1310" w:type="dxa"/>
            <w:tcBorders/>
            <w:shd w:fill="FFFFFF" w:val="clear"/>
            <w:tcMar>
              <w:bottom w:w="0" w:type="dxa"/>
            </w:tcMar>
            <w:vAlign w:val="center"/>
          </w:tcPr>
          <w:p>
            <w:pPr>
              <w:pStyle w:val="TableContents"/>
              <w:spacing w:before="0" w:after="283"/>
              <w:jc w:val="left"/>
              <w:rPr/>
            </w:pPr>
            <w:r>
              <w:rPr/>
              <w:t>Net Fee Due</w:t>
            </w:r>
          </w:p>
        </w:tc>
        <w:tc>
          <w:tcPr>
            <w:tcW w:w="60"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center"/>
          </w:tcPr>
          <w:p>
            <w:pPr>
              <w:pStyle w:val="TableContents"/>
              <w:spacing w:before="0" w:after="283"/>
              <w:jc w:val="left"/>
              <w:rPr/>
            </w:pPr>
            <w:r>
              <w:rPr/>
              <w:t> </w:t>
            </w:r>
          </w:p>
        </w:tc>
        <w:tc>
          <w:tcPr>
            <w:tcW w:w="112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923"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65" w:type="dxa"/>
            <w:tcBorders/>
            <w:shd w:fill="FFFFFF" w:val="clear"/>
            <w:tcMar>
              <w:bottom w:w="0" w:type="dxa"/>
            </w:tcMar>
            <w:vAlign w:val="center"/>
          </w:tcPr>
          <w:p>
            <w:pPr>
              <w:pStyle w:val="TableContents"/>
              <w:spacing w:before="0" w:after="283"/>
              <w:jc w:val="left"/>
              <w:rPr/>
            </w:pPr>
            <w:r>
              <w:rPr/>
              <w:t> </w:t>
            </w:r>
          </w:p>
        </w:tc>
        <w:tc>
          <w:tcPr>
            <w:tcW w:w="835" w:type="dxa"/>
            <w:tcBorders/>
            <w:shd w:fill="FFFFFF" w:val="clear"/>
            <w:tcMar>
              <w:bottom w:w="0" w:type="dxa"/>
            </w:tcMar>
            <w:vAlign w:val="center"/>
          </w:tcPr>
          <w:p>
            <w:pPr>
              <w:pStyle w:val="TableContents"/>
              <w:spacing w:before="0" w:after="283"/>
              <w:jc w:val="right"/>
              <w:rPr/>
            </w:pPr>
            <w:r>
              <w:rPr/>
              <w:t> </w:t>
            </w:r>
          </w:p>
        </w:tc>
        <w:tc>
          <w:tcPr>
            <w:tcW w:w="18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6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5" w:type="dxa"/>
            <w:tcBorders/>
            <w:shd w:fill="FFFFFF" w:val="clear"/>
            <w:tcMar>
              <w:bottom w:w="0" w:type="dxa"/>
            </w:tcMar>
            <w:vAlign w:val="center"/>
          </w:tcPr>
          <w:p>
            <w:pPr>
              <w:pStyle w:val="TableContents"/>
              <w:spacing w:before="0" w:after="283"/>
              <w:jc w:val="left"/>
              <w:rPr/>
            </w:pPr>
            <w:r>
              <w:rPr/>
              <w:t>$</w:t>
            </w:r>
          </w:p>
        </w:tc>
        <w:tc>
          <w:tcPr>
            <w:tcW w:w="1050" w:type="dxa"/>
            <w:tcBorders/>
            <w:shd w:fill="FFFFFF" w:val="clear"/>
            <w:tcMar>
              <w:bottom w:w="0" w:type="dxa"/>
            </w:tcMar>
            <w:vAlign w:val="center"/>
          </w:tcPr>
          <w:p>
            <w:pPr>
              <w:pStyle w:val="TableContents"/>
              <w:spacing w:before="0" w:after="283"/>
              <w:jc w:val="right"/>
              <w:rPr/>
            </w:pPr>
            <w:r>
              <w:rPr/>
              <w:t>133.56</w:t>
            </w:r>
          </w:p>
        </w:tc>
        <w:tc>
          <w:tcPr>
            <w:tcW w:w="81" w:type="dxa"/>
            <w:tcBorders/>
            <w:shd w:fill="FFFFFF" w:val="clear"/>
            <w:tcMar>
              <w:bottom w:w="0" w:type="dxa"/>
            </w:tcMar>
            <w:vAlign w:val="center"/>
          </w:tcPr>
          <w:p>
            <w:pPr>
              <w:pStyle w:val="TableContents"/>
              <w:spacing w:before="0" w:after="283"/>
              <w:jc w:val="left"/>
              <w:rPr/>
            </w:pPr>
            <w:r>
              <w:rPr/>
              <w:t> </w:t>
            </w:r>
          </w:p>
        </w:tc>
      </w:tr>
    </w:tbl>
    <w:p>
      <w:pPr>
        <w:pStyle w:val="TextBody"/>
        <w:spacing w:before="0" w:after="0"/>
        <w:ind w:left="360" w:right="0" w:hanging="360"/>
        <w:rPr>
          <w:caps w:val="false"/>
          <w:smallCaps w:val="false"/>
        </w:rPr>
      </w:pPr>
      <w:r>
        <w:rPr>
          <w:caps w:val="false"/>
          <w:smallCaps w:val="false"/>
        </w:rPr>
        <w:t> </w:t>
      </w:r>
    </w:p>
    <w:p>
      <w:pPr>
        <w:pStyle w:val="TextBody"/>
        <w:spacing w:before="0" w:after="0"/>
        <w:ind w:left="360" w:right="0" w:hanging="360"/>
        <w:rPr>
          <w:caps w:val="false"/>
          <w:smallCaps w:val="false"/>
        </w:rPr>
      </w:pPr>
      <w:r>
        <w:rPr>
          <w:caps w:val="false"/>
          <w:smallCaps w:val="false"/>
        </w:rPr>
        <w:t> </w:t>
      </w:r>
    </w:p>
    <w:p>
      <w:pPr>
        <w:pStyle w:val="TextBody"/>
        <w:ind w:left="360" w:right="0" w:hanging="360"/>
        <w:rPr>
          <w:bdr w:val="single" w:sz="12" w:space="1" w:color="000000"/>
        </w:rPr>
      </w:pPr>
      <w:r>
        <w:rPr>
          <w:bdr w:val="single" w:sz="12" w:space="1" w:color="000000"/>
        </w:rPr>
        <w:t> </w:t>
      </w:r>
    </w:p>
    <w:tbl>
      <w:tblPr>
        <w:tblW w:w="10205" w:type="dxa"/>
        <w:jc w:val="left"/>
        <w:tblInd w:w="0" w:type="dxa"/>
        <w:tblCellMar>
          <w:top w:w="0" w:type="dxa"/>
          <w:left w:w="0" w:type="dxa"/>
          <w:bottom w:w="0" w:type="dxa"/>
          <w:right w:w="0" w:type="dxa"/>
        </w:tblCellMar>
      </w:tblPr>
      <w:tblGrid>
        <w:gridCol w:w="38"/>
        <w:gridCol w:w="279"/>
        <w:gridCol w:w="9888"/>
      </w:tblGrid>
      <w:tr>
        <w:trPr/>
        <w:tc>
          <w:tcPr>
            <w:tcW w:w="3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jc w:val="left"/>
              <w:rPr/>
            </w:pPr>
            <w:r>
              <w:rPr/>
              <w:t>(1)</w:t>
            </w:r>
          </w:p>
        </w:tc>
        <w:tc>
          <w:tcPr>
            <w:tcW w:w="9888" w:type="dxa"/>
            <w:tcBorders/>
            <w:shd w:fill="auto" w:val="clear"/>
            <w:vAlign w:val="center"/>
          </w:tcPr>
          <w:p>
            <w:pPr>
              <w:pStyle w:val="TableContents"/>
              <w:spacing w:before="0" w:after="283"/>
              <w:jc w:val="both"/>
              <w:rPr/>
            </w:pPr>
            <w:r>
              <w:rPr/>
              <w:t>Represents the issuance of up to 400,000 shares of common stock that may be issued upon the exercise of the warrants.</w:t>
            </w:r>
          </w:p>
        </w:tc>
      </w:tr>
    </w:tbl>
    <w:tbl>
      <w:tblPr>
        <w:tblW w:w="10205" w:type="dxa"/>
        <w:jc w:val="left"/>
        <w:tblInd w:w="0" w:type="dxa"/>
        <w:tblCellMar>
          <w:top w:w="0" w:type="dxa"/>
          <w:left w:w="0" w:type="dxa"/>
          <w:bottom w:w="0" w:type="dxa"/>
          <w:right w:w="0" w:type="dxa"/>
        </w:tblCellMar>
      </w:tblPr>
      <w:tblGrid>
        <w:gridCol w:w="38"/>
        <w:gridCol w:w="246"/>
        <w:gridCol w:w="9921"/>
      </w:tblGrid>
      <w:tr>
        <w:trPr/>
        <w:tc>
          <w:tcPr>
            <w:tcW w:w="3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jc w:val="both"/>
              <w:rPr/>
            </w:pPr>
            <w:r>
              <w:rPr/>
              <w:t>(2)</w:t>
            </w:r>
          </w:p>
        </w:tc>
        <w:tc>
          <w:tcPr>
            <w:tcW w:w="9921" w:type="dxa"/>
            <w:tcBorders/>
            <w:shd w:fill="auto" w:val="clear"/>
            <w:vAlign w:val="center"/>
          </w:tcPr>
          <w:p>
            <w:pPr>
              <w:pStyle w:val="TableContents"/>
              <w:spacing w:before="0" w:after="283"/>
              <w:jc w:val="both"/>
              <w:rPr/>
            </w:pPr>
            <w:r>
              <w:rPr/>
              <w:t>Estimated solely for the purpose of calculating the registration fee pursuant to Rule 457(c) of the Securities Act, based upon the average of the high and low selling prices of the Common Stock on April 25, 2023, as reported on Nasdaq.</w:t>
            </w:r>
          </w:p>
        </w:tc>
      </w:tr>
    </w:tbl>
    <w:p>
      <w:pPr>
        <w:pStyle w:val="TextBody"/>
        <w:spacing w:before="0" w:after="283"/>
        <w:rPr/>
      </w:pPr>
      <w:r>
        <w:br w:type="page"/>
      </w:r>
      <w:r>
        <w:rPr/>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PS Std">
    <w:altName w:val="serif"/>
    <w:charset w:val="00"/>
    <w:family w:val="auto"/>
    <w:pitch w:val="default"/>
  </w:font>
  <w:font w:name="TimesNewRomanPSStd-Regular">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2145/000121390021058217/ea150262ex2-1_ventouxccm.htm" TargetMode="External"/><Relationship Id="rId3" Type="http://schemas.openxmlformats.org/officeDocument/2006/relationships/hyperlink" Target="http://www.sec.gov/Archives/edgar/data/1822145/000121390022017828/ea157923ex2-1_ventoux.htm" TargetMode="External"/><Relationship Id="rId4" Type="http://schemas.openxmlformats.org/officeDocument/2006/relationships/hyperlink" Target="http://www.sec.gov/Archives/edgar/data/1822145/000121390022041523/ea163294ex2-1_ventoux.htm" TargetMode="External"/><Relationship Id="rId5" Type="http://schemas.openxmlformats.org/officeDocument/2006/relationships/hyperlink" Target="http://www.sec.gov/Archives/edgar/data/1822145/000121390022059478/ea166244ex3-1_prestoauto.htm" TargetMode="External"/><Relationship Id="rId6" Type="http://schemas.openxmlformats.org/officeDocument/2006/relationships/hyperlink" Target="http://www.sec.gov/Archives/edgar/data/1822145/000121390022080538/fs12022a1ex3-2_prestoauto.htm" TargetMode="External"/><Relationship Id="rId7" Type="http://schemas.openxmlformats.org/officeDocument/2006/relationships/hyperlink" Target="http://www.sec.gov/Archives/edgar/data/1822145/000121390022059478/ea166244ex10-1_prestoauto.htm" TargetMode="External"/><Relationship Id="rId8" Type="http://schemas.openxmlformats.org/officeDocument/2006/relationships/hyperlink" Target="http://www.sec.gov/Archives/edgar/data/1822145/000121390022059478/ea166244ex10-2_prestoauto.htm" TargetMode="External"/><Relationship Id="rId9" Type="http://schemas.openxmlformats.org/officeDocument/2006/relationships/hyperlink" Target="http://www.sec.gov/Archives/edgar/data/1822145/000121390022059478/ea166244ex10-3_prestoauto.htm" TargetMode="External"/><Relationship Id="rId10" Type="http://schemas.openxmlformats.org/officeDocument/2006/relationships/hyperlink" Target="http://www.sec.gov/Archives/edgar/data/1822145/000121390022059478/ea166244ex10-4_prestoauto.htm" TargetMode="External"/><Relationship Id="rId11" Type="http://schemas.openxmlformats.org/officeDocument/2006/relationships/hyperlink" Target="http://www.sec.gov/Archives/edgar/data/1822145/000121390022059478/ea166244ex10-5_prestoauto.htm" TargetMode="External"/><Relationship Id="rId12" Type="http://schemas.openxmlformats.org/officeDocument/2006/relationships/hyperlink" Target="http://www.sec.gov/Archives/edgar/data/1822145/000121390022065582/fs12022ex10-6_presto.htm" TargetMode="External"/><Relationship Id="rId13" Type="http://schemas.openxmlformats.org/officeDocument/2006/relationships/hyperlink" Target="http://www.sec.gov/Archives/edgar/data/1822145/000121390022065582/fs12022ex10-7_presto.htm" TargetMode="External"/><Relationship Id="rId14" Type="http://schemas.openxmlformats.org/officeDocument/2006/relationships/hyperlink" Target="http://www.sec.gov/Archives/edgar/data/1822145/000121390022059478/ea166244ex10-6_prestoauto.htm" TargetMode="External"/><Relationship Id="rId15" Type="http://schemas.openxmlformats.org/officeDocument/2006/relationships/hyperlink" Target="http://www.sec.gov/Archives/edgar/data/1822145/000121390022059478/ea166244ex10-7_prestoauto.htm" TargetMode="External"/><Relationship Id="rId16" Type="http://schemas.openxmlformats.org/officeDocument/2006/relationships/hyperlink" Target="http://www.sec.gov/Archives/edgar/data/1822145/000121390022041523/ea163294ex10-2_ventoux.htm" TargetMode="External"/><Relationship Id="rId17" Type="http://schemas.openxmlformats.org/officeDocument/2006/relationships/hyperlink" Target="http://www.sec.gov/Archives/edgar/data/1822145/000121390022041523/ea163294ex10-3_ventoux.htm" TargetMode="External"/><Relationship Id="rId18" Type="http://schemas.openxmlformats.org/officeDocument/2006/relationships/hyperlink" Target="http://www.sec.gov/Archives/edgar/data/1822145/000121390022065582/fs12022ex10-12_presto.htm" TargetMode="External"/><Relationship Id="rId19" Type="http://schemas.openxmlformats.org/officeDocument/2006/relationships/hyperlink" Target="http://www.sec.gov/Archives/edgar/data/1822145/000121390022065582/fs12022ex10-13_presto.htm" TargetMode="External"/><Relationship Id="rId20" Type="http://schemas.openxmlformats.org/officeDocument/2006/relationships/hyperlink" Target="http://www.sec.gov/Archives/edgar/data/1822145/000155837023003048/prst-20230304xex10d1.htm" TargetMode="External"/><Relationship Id="rId21" Type="http://schemas.openxmlformats.org/officeDocument/2006/relationships/hyperlink" Target="http://www.sec.gov/Archives/edgar/data/1822145/000155837023005593/prst-20230331xex10d1.htm" TargetMode="External"/><Relationship Id="rId22" Type="http://schemas.openxmlformats.org/officeDocument/2006/relationships/hyperlink" Target="http://www.sec.gov/Archives/edgar/data/1822145/000155837023005593/prst-20230331xex10d2.htm" TargetMode="External"/><Relationship Id="rId23" Type="http://schemas.openxmlformats.org/officeDocument/2006/relationships/hyperlink" Target="http://www.sec.gov/Archives/edgar/data/1822145/000155837023005593/prst-20230331xex10d3.htm" TargetMode="External"/><Relationship Id="rId24" Type="http://schemas.openxmlformats.org/officeDocument/2006/relationships/hyperlink" Target="http://www.sec.gov/Archives/edgar/data/1822145/000155837023005593/prst-20230331xex10d4.htm" TargetMode="External"/><Relationship Id="rId25" Type="http://schemas.openxmlformats.org/officeDocument/2006/relationships/hyperlink" Target="http://www.sec.gov/Archives/edgar/data/1822145/000155837023005593/prst-20230331xex10d5.htm" TargetMode="External"/><Relationship Id="rId26" Type="http://schemas.openxmlformats.org/officeDocument/2006/relationships/hyperlink" Target="http://www.sec.gov/Archives/edgar/data/1822145/000155837023005593/prst-20230331xex10d6.htm" TargetMode="External"/><Relationship Id="rId27" Type="http://schemas.openxmlformats.org/officeDocument/2006/relationships/hyperlink" Target="http://www.sec.gov/Archives/edgar/data/1822145/000155837023005593/prst-20230331xex10d7.htm" TargetMode="External"/><Relationship Id="rId28" Type="http://schemas.openxmlformats.org/officeDocument/2006/relationships/hyperlink" Target="http://www.sec.gov/Archives/edgar/data/1822145/000121390022065582/fs12022ex21-1_presto.htm" TargetMode="External"/><Relationship Id="rId29" Type="http://schemas.openxmlformats.org/officeDocument/2006/relationships/image" Target="media/image1.jpeg"/><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221</Pages>
  <Words>130048</Words>
  <CharactersWithSpaces>839910</CharactersWithSpaces>
  <Paragraphs>14057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