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333-263516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Proxy/Prospectus dated August 12,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IN LIEU OF AN ANNUAL MEETING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9,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FOR SHARES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OF VENTOUX CCM ACQUISITION CORP.</w:t>
      </w:r>
    </w:p>
    <w:p>
      <w:pPr>
        <w:spacing w:after="0" w:line="207" w:lineRule="exact"/>
        <w:rPr>
          <w:sz w:val="24"/>
          <w:szCs w:val="24"/>
          <w:color w:val="auto"/>
        </w:rPr>
      </w:pPr>
    </w:p>
    <w:p>
      <w:pPr>
        <w:ind w:right="280" w:firstLine="459"/>
        <w:spacing w:after="0" w:line="261" w:lineRule="auto"/>
        <w:rPr>
          <w:sz w:val="20"/>
          <w:szCs w:val="20"/>
          <w:color w:val="auto"/>
        </w:rPr>
      </w:pPr>
      <w:r>
        <w:rPr>
          <w:rFonts w:ascii="Times New Roman" w:cs="Times New Roman" w:eastAsia="Times New Roman" w:hAnsi="Times New Roman"/>
          <w:sz w:val="18"/>
          <w:szCs w:val="18"/>
          <w:color w:val="auto"/>
        </w:rPr>
        <w:t>Ventoux CCM Acquisition Company (the “Company”) has filed a proxy statement/prospectus, dated August 12, 2022, pursuant to Rule 424(b)(3) with the Securities and Exchange Commission (“SEC”) for the offering to which this communication relates. Before you invest, you should read the proxy statement/prospectus and other documents the Company has filed with the SEC for more complete information about the issuer and this offering. You may get these documents for free by visiting EDGAR on the SEC website at www.sec.gov.</w:t>
      </w:r>
    </w:p>
    <w:p>
      <w:pPr>
        <w:spacing w:after="0" w:line="180" w:lineRule="exact"/>
        <w:rPr>
          <w:sz w:val="24"/>
          <w:szCs w:val="24"/>
          <w:color w:val="auto"/>
        </w:rPr>
      </w:pPr>
    </w:p>
    <w:p>
      <w:pPr>
        <w:ind w:right="280" w:firstLine="459"/>
        <w:spacing w:after="0" w:line="258" w:lineRule="auto"/>
        <w:rPr>
          <w:sz w:val="20"/>
          <w:szCs w:val="20"/>
          <w:color w:val="auto"/>
        </w:rPr>
      </w:pPr>
      <w:r>
        <w:rPr>
          <w:rFonts w:ascii="Times New Roman" w:cs="Times New Roman" w:eastAsia="Times New Roman" w:hAnsi="Times New Roman"/>
          <w:sz w:val="18"/>
          <w:szCs w:val="18"/>
          <w:color w:val="auto"/>
        </w:rPr>
        <w:t>The following information supplements and updates the information contained in the proxy statement/prospectus dated August 12, 2022 (the “Prospectus”) (File No. 333-263516) of the Company and is not complete without, and may not be delivered or utilized except in combination with, the Prospectus, including any amendments or supplements thereto. This prospectus supplement (the “Prospectus Supplement”) should be read together with the Prospectus and if there is any inconsistency between the information in the Prospectus and this prospectus supplement, you should rely on the information in this prospectus supplement. A copy of the Prospectus can be accessed through the following link:</w:t>
      </w:r>
    </w:p>
    <w:p>
      <w:pPr>
        <w:spacing w:after="0" w:line="183" w:lineRule="exact"/>
        <w:rPr>
          <w:sz w:val="24"/>
          <w:szCs w:val="24"/>
          <w:color w:val="auto"/>
        </w:rPr>
      </w:pPr>
    </w:p>
    <w:p>
      <w:pPr>
        <w:ind w:right="580" w:firstLine="459"/>
        <w:spacing w:after="0" w:line="282" w:lineRule="auto"/>
        <w:rPr>
          <w:sz w:val="20"/>
          <w:szCs w:val="20"/>
          <w:color w:val="auto"/>
        </w:rPr>
      </w:pPr>
      <w:r>
        <w:rPr>
          <w:rFonts w:ascii="Times New Roman" w:cs="Times New Roman" w:eastAsia="Times New Roman" w:hAnsi="Times New Roman"/>
          <w:sz w:val="18"/>
          <w:szCs w:val="18"/>
          <w:color w:val="auto"/>
        </w:rPr>
        <w:t>https://www.cstproxy.com/ventouxccm/sm2022/ Defined terms used herein and not otherwise defined shall have the meanings set forth in the Prospectus.</w:t>
      </w:r>
    </w:p>
    <w:p>
      <w:pPr>
        <w:spacing w:after="0" w:line="158" w:lineRule="exact"/>
        <w:rPr>
          <w:sz w:val="24"/>
          <w:szCs w:val="24"/>
          <w:color w:val="auto"/>
        </w:rPr>
      </w:pPr>
    </w:p>
    <w:p>
      <w:pPr>
        <w:ind w:right="260" w:firstLine="459"/>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a high degree of risk. See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12 of the Prospectus and in any applicable prospectus supplement, as well as in our periodic reports under the Securities Exchange Act of 1934, as amended, including our Annual Report on Form 10-K for the year ended March 31, 2022, to read about factors you should consider before buying our securities.</w:t>
      </w:r>
    </w:p>
    <w:p>
      <w:pPr>
        <w:spacing w:after="0" w:line="176" w:lineRule="exact"/>
        <w:rPr>
          <w:sz w:val="24"/>
          <w:szCs w:val="24"/>
          <w:color w:val="auto"/>
        </w:rPr>
      </w:pPr>
    </w:p>
    <w:p>
      <w:pPr>
        <w:ind w:right="340" w:firstLine="462"/>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September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Ventoux CCM Acquisition Corp.</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001-39830</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296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1 East Putnam Avenue, Floor 4</w:t>
            </w:r>
          </w:p>
        </w:tc>
        <w:tc>
          <w:tcPr>
            <w:tcW w:w="27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Greenwich, CT 06830</w:t>
            </w:r>
          </w:p>
        </w:tc>
        <w:tc>
          <w:tcPr>
            <w:tcW w:w="27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(zip code)</w:t>
            </w:r>
          </w:p>
        </w:tc>
        <w:tc>
          <w:tcPr>
            <w:tcW w:w="276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5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(646) 465-9000</w:t>
            </w:r>
          </w:p>
        </w:tc>
        <w:tc>
          <w:tcPr>
            <w:tcW w:w="2760" w:type="dxa"/>
            <w:vAlign w:val="bottom"/>
          </w:tcPr>
          <w:p>
            <w:pPr>
              <w:spacing w:after="0"/>
              <w:rPr>
                <w:sz w:val="20"/>
                <w:szCs w:val="20"/>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w:t>
            </w:r>
          </w:p>
        </w:tc>
        <w:tc>
          <w:tcPr>
            <w:tcW w:w="2760" w:type="dxa"/>
            <w:vAlign w:val="bottom"/>
          </w:tcPr>
          <w:p>
            <w:pPr>
              <w:spacing w:after="0"/>
              <w:rPr>
                <w:sz w:val="24"/>
                <w:szCs w:val="24"/>
                <w:color w:val="auto"/>
              </w:rPr>
            </w:pPr>
          </w:p>
        </w:tc>
      </w:tr>
      <w:tr>
        <w:trPr>
          <w:trHeight w:val="245"/>
        </w:trPr>
        <w:tc>
          <w:tcPr>
            <w:tcW w:w="296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Borders>
              <w:bottom w:val="single" w:sz="8" w:color="auto"/>
            </w:tcBorders>
          </w:tcPr>
          <w:p>
            <w:pPr>
              <w:spacing w:after="0"/>
              <w:rPr>
                <w:sz w:val="21"/>
                <w:szCs w:val="21"/>
                <w:color w:val="auto"/>
              </w:rPr>
            </w:pPr>
          </w:p>
        </w:tc>
      </w:tr>
    </w:tbl>
    <w:p>
      <w:pPr>
        <w:spacing w:after="0" w:line="21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6"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VTAQ</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VTAQW</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VTAQR</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VTAQU</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6"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Ventoux CCM Acquisition Corp. (“</w:t>
      </w:r>
      <w:r>
        <w:rPr>
          <w:rFonts w:ascii="Times New Roman" w:cs="Times New Roman" w:eastAsia="Times New Roman" w:hAnsi="Times New Roman"/>
          <w:sz w:val="18"/>
          <w:szCs w:val="18"/>
          <w:b w:val="1"/>
          <w:bCs w:val="1"/>
          <w:color w:val="auto"/>
        </w:rPr>
        <w:t>VTAQ</w:t>
      </w:r>
      <w:r>
        <w:rPr>
          <w:rFonts w:ascii="Times New Roman" w:cs="Times New Roman" w:eastAsia="Times New Roman" w:hAnsi="Times New Roman"/>
          <w:sz w:val="18"/>
          <w:szCs w:val="18"/>
          <w:color w:val="auto"/>
        </w:rPr>
        <w:t>”) is currently party to an Amended and Restated Subscription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which contemplates the issuance upon closing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its business combination, of $25.0 million convertible senior notes to certain note investors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VTAQ and E La Carte, Inc. (d/b/a Presto, Inc. “</w:t>
      </w:r>
      <w:r>
        <w:rPr>
          <w:rFonts w:ascii="Times New Roman" w:cs="Times New Roman" w:eastAsia="Times New Roman" w:hAnsi="Times New Roman"/>
          <w:sz w:val="18"/>
          <w:szCs w:val="18"/>
          <w:b w:val="1"/>
          <w:bCs w:val="1"/>
          <w:color w:val="auto"/>
        </w:rPr>
        <w:t>Presto</w:t>
      </w:r>
      <w:r>
        <w:rPr>
          <w:rFonts w:ascii="Times New Roman" w:cs="Times New Roman" w:eastAsia="Times New Roman" w:hAnsi="Times New Roman"/>
          <w:sz w:val="18"/>
          <w:szCs w:val="18"/>
          <w:color w:val="auto"/>
        </w:rPr>
        <w:t>”) have considered the funding arrangements for the combined company (“</w:t>
      </w:r>
      <w:r>
        <w:rPr>
          <w:rFonts w:ascii="Times New Roman" w:cs="Times New Roman" w:eastAsia="Times New Roman" w:hAnsi="Times New Roman"/>
          <w:sz w:val="18"/>
          <w:szCs w:val="18"/>
          <w:b w:val="1"/>
          <w:bCs w:val="1"/>
          <w:color w:val="auto"/>
        </w:rPr>
        <w:t>New Presto</w:t>
      </w:r>
      <w:r>
        <w:rPr>
          <w:rFonts w:ascii="Times New Roman" w:cs="Times New Roman" w:eastAsia="Times New Roman" w:hAnsi="Times New Roman"/>
          <w:sz w:val="18"/>
          <w:szCs w:val="18"/>
          <w:color w:val="auto"/>
        </w:rPr>
        <w:t>”) following the Closing and have concluded that it would be in the best interests of Presto, VTAQ and their shareholders to seek an alternative to the indebtedness proposed to be incurred under the Agreement at Closing. Accordingly, VTAQ and Presto are in the process of negotiating alternative funding in the form of a senior secured term loan, and they have entered into a non-binding letter-of-intent (the “</w:t>
      </w:r>
      <w:r>
        <w:rPr>
          <w:rFonts w:ascii="Times New Roman" w:cs="Times New Roman" w:eastAsia="Times New Roman" w:hAnsi="Times New Roman"/>
          <w:sz w:val="18"/>
          <w:szCs w:val="18"/>
          <w:b w:val="1"/>
          <w:bCs w:val="1"/>
          <w:color w:val="auto"/>
        </w:rPr>
        <w:t>LOI</w:t>
      </w:r>
      <w:r>
        <w:rPr>
          <w:rFonts w:ascii="Times New Roman" w:cs="Times New Roman" w:eastAsia="Times New Roman" w:hAnsi="Times New Roman"/>
          <w:sz w:val="18"/>
          <w:szCs w:val="18"/>
          <w:color w:val="auto"/>
        </w:rPr>
        <w:t>”) with Metropolitan Partners Group Management, LLC (“</w:t>
      </w:r>
      <w:r>
        <w:rPr>
          <w:rFonts w:ascii="Times New Roman" w:cs="Times New Roman" w:eastAsia="Times New Roman" w:hAnsi="Times New Roman"/>
          <w:sz w:val="18"/>
          <w:szCs w:val="18"/>
          <w:b w:val="1"/>
          <w:bCs w:val="1"/>
          <w:color w:val="auto"/>
        </w:rPr>
        <w:t>Metropolitan</w:t>
      </w:r>
      <w:r>
        <w:rPr>
          <w:rFonts w:ascii="Times New Roman" w:cs="Times New Roman" w:eastAsia="Times New Roman" w:hAnsi="Times New Roman"/>
          <w:sz w:val="18"/>
          <w:szCs w:val="18"/>
          <w:color w:val="auto"/>
        </w:rPr>
        <w:t>”) for a proposed $55.0 million term loan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to be provided by Metropolitan to New Presto at the Closing, which will be used to repay certain outstanding debt of Presto and for working capital and general corporate purposes.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LOI envisages that:</w:t>
      </w:r>
    </w:p>
    <w:p>
      <w:pPr>
        <w:spacing w:after="0" w:line="225" w:lineRule="exact"/>
        <w:rPr>
          <w:sz w:val="20"/>
          <w:szCs w:val="20"/>
          <w:color w:val="auto"/>
        </w:rPr>
      </w:pPr>
    </w:p>
    <w:p>
      <w:pPr>
        <w:ind w:left="980" w:right="1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will bear interest at 15% payable monthly in cash, provided that (i) for the first six months New Presto may choose to pay 100% of the interest in kind and (ii) for the following 12 months New Presto may elect to pay 50% of the interest in kind;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will mature thirty months following the Closing;</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will be secured by a first priority lien on substantially all of New Presto’ real and personal property and will be guaranteed by each of New Presto’s subsidiaries;</w:t>
      </w:r>
    </w:p>
    <w:p>
      <w:pPr>
        <w:spacing w:after="0" w:line="157" w:lineRule="exact"/>
        <w:rPr>
          <w:rFonts w:ascii="Times New Roman" w:cs="Times New Roman" w:eastAsia="Times New Roman" w:hAnsi="Times New Roman"/>
          <w:sz w:val="18"/>
          <w:szCs w:val="18"/>
          <w:color w:val="auto"/>
        </w:rPr>
      </w:pPr>
    </w:p>
    <w:p>
      <w:pPr>
        <w:ind w:left="980" w:hanging="324"/>
        <w:spacing w:after="0" w:line="26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definitive agreement containing the final terms of the Loan (the “</w:t>
      </w:r>
      <w:r>
        <w:rPr>
          <w:rFonts w:ascii="Times New Roman" w:cs="Times New Roman" w:eastAsia="Times New Roman" w:hAnsi="Times New Roman"/>
          <w:sz w:val="18"/>
          <w:szCs w:val="18"/>
          <w:b w:val="1"/>
          <w:bCs w:val="1"/>
          <w:color w:val="auto"/>
        </w:rPr>
        <w:t>Loan Documentation</w:t>
      </w:r>
      <w:r>
        <w:rPr>
          <w:rFonts w:ascii="Times New Roman" w:cs="Times New Roman" w:eastAsia="Times New Roman" w:hAnsi="Times New Roman"/>
          <w:sz w:val="18"/>
          <w:szCs w:val="18"/>
          <w:color w:val="auto"/>
        </w:rPr>
        <w:t>”) will contain closing conditions, representations and warranties, events of default and covenants that are customary for term loans of this type, including covenants requiring the maintenance of minimum unrestricted cash on New Presto’s balance sheet and a ratio of the amount of the Loan outstanding, less New Presto’s unrestricted cash on its balance sheet, to its annualized rolling 3-month revenue;</w:t>
      </w:r>
    </w:p>
    <w:p>
      <w:pPr>
        <w:spacing w:after="0" w:line="180"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will pay Metropolitan an initial onboarding fee of $500,000 on the Closing Date and a quarterly monitoring fee of $125,000 thereafter;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may prepay the Loan at any time, but if such prepayment is prior to the 18 month anniversary of the Closing Date, it must include an amount of interest and fees that would have accrued up until such anniversary;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Loan remains outstanding, Metropolitan will have board observer rights;</w:t>
      </w:r>
    </w:p>
    <w:p>
      <w:pPr>
        <w:spacing w:after="0" w:line="225"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Metropolitan will receive 1,500,000 warrants to purchase shares of New Presto common stock that are nonredeemable, exercisable on a cashless basis and have an exercise price of $11.50 per share, among other terms to be described in an amended and restated warrant agreement that will be entered in connection with the Closing;</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Metropolitan will receive 600,000 shares of New Presto common stock from VTAQ’s founders;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will pay Metropolitan all of its reasonable and documented expenses, including legal fees.</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entry into the Loan Documentation in a form satisfactory to the parties is subject to the completion of Metropolitan’s due diligence and other conditions. No assurance can be given that the Loan Documentation will be entered into or that it will contain terms identical to those described above. Upon entry into the Loan Documentation, VTAQ will file a current report on Form 8-K disclosing the final terms of the Loan.</w:t>
      </w:r>
    </w:p>
    <w:p>
      <w:pPr>
        <w:spacing w:after="0" w:line="17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entry into the Loan Documentation is also subject to VTAQ and the Investors reaching a mutually satisfactory agreement to terminate the Agreement. VTAQ and the Investors have discussed certain terms including payment of fees and expenses incurred by the Investors, the issuance to the Investors of 400,000 shares of New Presto common stock as well as the transfer of 500,000 warrants currently held by VTAQ’s founders.</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Neither VTAQ nor Presto can offer any assurance that the Loan Documentation will be entered into or that an agreement will be reached to terminate the Agreement. If such agreements are not reached, the Agreement will continue in effect subject to its terms.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VTAQ will make further disclosure if the Loan Documentation is executed or if the Agreement is terminated. The disclosures provided herein is intended to disclose information that may be material to any investment and/or voting decision in connection with VTAQ’s upcoming special meeting.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Ventoux CCM Acquisition Corp.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9, 2022</w:t>
      </w:r>
      <w:r>
        <w:rPr>
          <w:sz w:val="20"/>
          <w:szCs w:val="20"/>
          <w:color w:val="auto"/>
        </w:rPr>
        <w:tab/>
      </w:r>
      <w:r>
        <w:rPr>
          <w:rFonts w:ascii="Times New Roman" w:cs="Times New Roman" w:eastAsia="Times New Roman" w:hAnsi="Times New Roman"/>
          <w:sz w:val="18"/>
          <w:szCs w:val="18"/>
          <w:color w:val="auto"/>
        </w:rPr>
        <w:t>By:</w:t>
        <w:tab/>
        <w:t>/s/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 MacDonald</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2022-09-12T05:09:21Z</dcterms:created>
  <dcterms:modified xsi:type="dcterms:W3CDTF">2022-09-12T05:09:21Z</dcterms:modified>
</cp:coreProperties>
</file>