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50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Cleveland Avenue Food &amp; Beverage</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Fund II, LP</w:t>
        </w:r>
      </w:hyperlink>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222 N. CANAL ST.</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Presto Automation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PRST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060" w:type="dxa"/>
            <w:vAlign w:val="bottom"/>
            <w:gridSpan w:val="3"/>
          </w:tcPr>
          <w:p>
            <w:pPr>
              <w:ind w:left="80"/>
              <w:spacing w:after="0"/>
              <w:rPr>
                <w:sz w:val="20"/>
                <w:szCs w:val="20"/>
                <w:color w:val="auto"/>
              </w:rPr>
            </w:pPr>
            <w:r>
              <w:rPr>
                <w:rFonts w:ascii="Arial" w:cs="Arial" w:eastAsia="Arial" w:hAnsi="Arial"/>
                <w:sz w:val="17"/>
                <w:szCs w:val="17"/>
                <w:color w:val="0000FF"/>
              </w:rPr>
              <w:t>10/16/2023</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6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10/16/2023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1,500,000</w:t>
            </w:r>
          </w:p>
        </w:tc>
        <w:tc>
          <w:tcPr>
            <w:tcW w:w="38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2"/>
                <w:szCs w:val="22"/>
                <w:color w:val="auto"/>
              </w:rPr>
            </w:pP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w:t>
            </w:r>
          </w:p>
        </w:tc>
        <w:tc>
          <w:tcPr>
            <w:tcW w:w="80" w:type="dxa"/>
            <w:vAlign w:val="bottom"/>
          </w:tcPr>
          <w:p>
            <w:pPr>
              <w:spacing w:after="0"/>
              <w:rPr>
                <w:sz w:val="22"/>
                <w:szCs w:val="22"/>
                <w:color w:val="auto"/>
              </w:rPr>
            </w:pPr>
          </w:p>
        </w:tc>
        <w:tc>
          <w:tcPr>
            <w:tcW w:w="13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10,000,000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 shares received in connection with a PIPE investment in the issuer.</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of record by Presto CA LLC ("Presto CA"). The reporting person is the sole member of Presto CA. Cleveland Avenue GP II, LLC ("Cleveland Avenue GP II") is the general partner of the reporting person. Cleveland Avenue, LLC ("CA LLC") is the sole member of Cleveland Avenue GP II. Donald Thompson is the sole manager of CA LLC. Mr. Thompson disclaims beneficial ownership of these securities except to the extent of any pecuniary interest therein.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1440" w:gutter="0" w:footer="0" w:header="0"/>
          <w:type w:val="continuous"/>
        </w:sectPr>
      </w:pP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Joseph McCoy,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80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Operating Officer and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wp:posOffset>
            </wp:positionV>
            <wp:extent cx="1344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Counsel of Cleveland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wp:posOffset>
            </wp:positionV>
            <wp:extent cx="1341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0000FF"/>
        </w:rPr>
        <w:t>10/26/2023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0"/>
          <w:szCs w:val="20"/>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827795"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2023-10-26T20:43:21Z</dcterms:created>
  <dcterms:modified xsi:type="dcterms:W3CDTF">2023-10-26T20:43:21Z</dcterms:modified>
</cp:coreProperties>
</file>